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357505</wp:posOffset>
            </wp:positionV>
            <wp:extent cx="6883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271780</wp:posOffset>
            </wp:positionV>
            <wp:extent cx="6883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700" w:right="920" w:hanging="665"/>
        <w:spacing w:after="0" w:line="256"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FOR THE QUARTER ENDED JUNE 30, 2011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900" w:hanging="665"/>
        <w:spacing w:after="0" w:line="256"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700"/>
        <w:spacing w:after="0"/>
        <w:tabs>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2584450</wp:posOffset>
            </wp:positionH>
            <wp:positionV relativeFrom="paragraph">
              <wp:posOffset>-7620</wp:posOffset>
            </wp:positionV>
            <wp:extent cx="903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360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CAPITAL LTD.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5960" w:type="dxa"/>
            <w:vAlign w:val="bottom"/>
          </w:tcPr>
          <w:p>
            <w:pPr>
              <w:jc w:val="center"/>
              <w:ind w:right="3458"/>
              <w:spacing w:after="0"/>
              <w:rPr>
                <w:sz w:val="20"/>
                <w:szCs w:val="20"/>
                <w:color w:val="auto"/>
              </w:rPr>
            </w:pPr>
            <w:r>
              <w:rPr>
                <w:rFonts w:ascii="Arial" w:cs="Arial" w:eastAsia="Arial" w:hAnsi="Arial"/>
                <w:sz w:val="18"/>
                <w:szCs w:val="18"/>
                <w:b w:val="1"/>
                <w:bCs w:val="1"/>
                <w:color w:val="auto"/>
              </w:rPr>
              <w:t>MARYLAND</w:t>
            </w:r>
          </w:p>
        </w:tc>
        <w:tc>
          <w:tcPr>
            <w:tcW w:w="1320" w:type="dxa"/>
            <w:vAlign w:val="bottom"/>
          </w:tcPr>
          <w:p>
            <w:pPr>
              <w:jc w:val="right"/>
              <w:ind w:right="41"/>
              <w:spacing w:after="0"/>
              <w:rPr>
                <w:sz w:val="20"/>
                <w:szCs w:val="20"/>
                <w:color w:val="auto"/>
              </w:rPr>
            </w:pPr>
            <w:r>
              <w:rPr>
                <w:rFonts w:ascii="Arial" w:cs="Arial" w:eastAsia="Arial" w:hAnsi="Arial"/>
                <w:sz w:val="18"/>
                <w:szCs w:val="18"/>
                <w:b w:val="1"/>
                <w:bCs w:val="1"/>
                <w:color w:val="auto"/>
              </w:rPr>
              <w:t>27-3794690</w:t>
            </w:r>
          </w:p>
        </w:tc>
      </w:tr>
      <w:tr>
        <w:trPr>
          <w:trHeight w:val="180"/>
        </w:trPr>
        <w:tc>
          <w:tcPr>
            <w:tcW w:w="5960" w:type="dxa"/>
            <w:vAlign w:val="bottom"/>
          </w:tcPr>
          <w:p>
            <w:pPr>
              <w:jc w:val="center"/>
              <w:ind w:right="3478"/>
              <w:spacing w:after="0"/>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60" w:type="dxa"/>
            <w:vAlign w:val="bottom"/>
          </w:tcPr>
          <w:p>
            <w:pPr>
              <w:jc w:val="center"/>
              <w:ind w:right="3478"/>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5960" w:type="dxa"/>
            <w:vAlign w:val="bottom"/>
          </w:tcPr>
          <w:p>
            <w:pPr>
              <w:jc w:val="center"/>
              <w:ind w:right="3478"/>
              <w:spacing w:after="0"/>
              <w:rPr>
                <w:sz w:val="20"/>
                <w:szCs w:val="20"/>
                <w:color w:val="auto"/>
              </w:rPr>
            </w:pPr>
            <w:r>
              <w:rPr>
                <w:rFonts w:ascii="Arial" w:cs="Arial" w:eastAsia="Arial" w:hAnsi="Arial"/>
                <w:sz w:val="18"/>
                <w:szCs w:val="18"/>
                <w:b w:val="1"/>
                <w:bCs w:val="1"/>
                <w:color w:val="auto"/>
                <w:w w:val="89"/>
              </w:rPr>
              <w:t>590 Madison Avenue, 15</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Floor</w:t>
            </w:r>
          </w:p>
        </w:tc>
        <w:tc>
          <w:tcPr>
            <w:tcW w:w="1320" w:type="dxa"/>
            <w:vAlign w:val="bottom"/>
          </w:tcPr>
          <w:p>
            <w:pPr>
              <w:spacing w:after="0"/>
              <w:rPr>
                <w:sz w:val="24"/>
                <w:szCs w:val="24"/>
                <w:color w:val="auto"/>
              </w:rPr>
            </w:pPr>
          </w:p>
        </w:tc>
      </w:tr>
      <w:tr>
        <w:trPr>
          <w:trHeight w:val="248"/>
        </w:trPr>
        <w:tc>
          <w:tcPr>
            <w:tcW w:w="5960" w:type="dxa"/>
            <w:vAlign w:val="bottom"/>
          </w:tcPr>
          <w:p>
            <w:pPr>
              <w:jc w:val="center"/>
              <w:ind w:right="3458"/>
              <w:spacing w:after="0"/>
              <w:rPr>
                <w:sz w:val="20"/>
                <w:szCs w:val="20"/>
                <w:color w:val="auto"/>
              </w:rPr>
            </w:pPr>
            <w:r>
              <w:rPr>
                <w:rFonts w:ascii="Arial" w:cs="Arial" w:eastAsia="Arial" w:hAnsi="Arial"/>
                <w:sz w:val="18"/>
                <w:szCs w:val="18"/>
                <w:b w:val="1"/>
                <w:bCs w:val="1"/>
                <w:color w:val="auto"/>
                <w:w w:val="92"/>
              </w:rPr>
              <w:t>New York, N.Y.</w:t>
            </w:r>
          </w:p>
        </w:tc>
        <w:tc>
          <w:tcPr>
            <w:tcW w:w="132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211"/>
        </w:trPr>
        <w:tc>
          <w:tcPr>
            <w:tcW w:w="5960" w:type="dxa"/>
            <w:vAlign w:val="bottom"/>
          </w:tcPr>
          <w:p>
            <w:pPr>
              <w:jc w:val="center"/>
              <w:ind w:right="34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8"/>
              </w:rPr>
              <w:t>(Zip Code)</w:t>
            </w:r>
          </w:p>
        </w:tc>
      </w:tr>
      <w:tr>
        <w:trPr>
          <w:trHeight w:val="212"/>
        </w:trPr>
        <w:tc>
          <w:tcPr>
            <w:tcW w:w="5960" w:type="dxa"/>
            <w:vAlign w:val="bottom"/>
          </w:tcPr>
          <w:p>
            <w:pPr>
              <w:jc w:val="right"/>
              <w:ind w:right="1398"/>
              <w:spacing w:after="0"/>
              <w:rPr>
                <w:sz w:val="20"/>
                <w:szCs w:val="20"/>
                <w:color w:val="auto"/>
              </w:rPr>
            </w:pPr>
            <w:r>
              <w:rPr>
                <w:rFonts w:ascii="Arial" w:cs="Arial" w:eastAsia="Arial" w:hAnsi="Arial"/>
                <w:sz w:val="18"/>
                <w:szCs w:val="18"/>
                <w:b w:val="1"/>
                <w:bCs w:val="1"/>
                <w:color w:val="auto"/>
              </w:rPr>
              <w:t>(212)-905-1000</w:t>
            </w:r>
          </w:p>
        </w:tc>
        <w:tc>
          <w:tcPr>
            <w:tcW w:w="1320" w:type="dxa"/>
            <w:vAlign w:val="bottom"/>
          </w:tcPr>
          <w:p>
            <w:pPr>
              <w:spacing w:after="0"/>
              <w:rPr>
                <w:sz w:val="18"/>
                <w:szCs w:val="18"/>
                <w:color w:val="auto"/>
              </w:rPr>
            </w:pPr>
          </w:p>
        </w:tc>
      </w:tr>
      <w:tr>
        <w:trPr>
          <w:trHeight w:val="170"/>
        </w:trPr>
        <w:tc>
          <w:tcPr>
            <w:tcW w:w="5960" w:type="dxa"/>
            <w:vAlign w:val="bottom"/>
          </w:tcPr>
          <w:p>
            <w:pPr>
              <w:ind w:left="22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320" w:type="dxa"/>
            <w:vAlign w:val="bottom"/>
          </w:tcPr>
          <w:p>
            <w:pPr>
              <w:spacing w:after="0"/>
              <w:rPr>
                <w:sz w:val="14"/>
                <w:szCs w:val="14"/>
                <w:color w:val="auto"/>
              </w:rPr>
            </w:pPr>
          </w:p>
        </w:tc>
      </w:tr>
      <w:tr>
        <w:trPr>
          <w:trHeight w:val="230"/>
        </w:trPr>
        <w:tc>
          <w:tcPr>
            <w:tcW w:w="5960" w:type="dxa"/>
            <w:vAlign w:val="bottom"/>
          </w:tcPr>
          <w:p>
            <w:pPr>
              <w:jc w:val="right"/>
              <w:ind w:right="138"/>
              <w:spacing w:after="0"/>
              <w:rPr>
                <w:sz w:val="20"/>
                <w:szCs w:val="20"/>
                <w:color w:val="auto"/>
              </w:rPr>
            </w:pPr>
            <w:r>
              <w:rPr>
                <w:rFonts w:ascii="Arial" w:cs="Arial" w:eastAsia="Arial" w:hAnsi="Arial"/>
                <w:sz w:val="18"/>
                <w:szCs w:val="18"/>
                <w:color w:val="auto"/>
              </w:rPr>
              <w:t>_________________________________________</w:t>
            </w:r>
          </w:p>
        </w:tc>
        <w:tc>
          <w:tcPr>
            <w:tcW w:w="1320" w:type="dxa"/>
            <w:vAlign w:val="bottom"/>
          </w:tcPr>
          <w:p>
            <w:pPr>
              <w:spacing w:after="0"/>
              <w:rPr>
                <w:sz w:val="20"/>
                <w:szCs w:val="20"/>
                <w:color w:val="auto"/>
              </w:rPr>
            </w:pPr>
          </w:p>
        </w:tc>
      </w:tr>
    </w:tbl>
    <w:p>
      <w:pPr>
        <w:spacing w:after="0" w:line="148" w:lineRule="exact"/>
        <w:rPr>
          <w:sz w:val="24"/>
          <w:szCs w:val="24"/>
          <w:color w:val="auto"/>
        </w:rPr>
      </w:pPr>
    </w:p>
    <w:p>
      <w:pPr>
        <w:ind w:right="2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2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5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80" w:type="dxa"/>
            <w:vAlign w:val="bottom"/>
            <w:vMerge w:val="restart"/>
          </w:tcPr>
          <w:p>
            <w:pPr>
              <w:jc w:val="right"/>
              <w:spacing w:after="0"/>
              <w:rPr>
                <w:sz w:val="20"/>
                <w:szCs w:val="20"/>
                <w:color w:val="auto"/>
              </w:rPr>
            </w:pPr>
            <w:r>
              <w:rPr>
                <w:rFonts w:ascii="Arial" w:cs="Arial" w:eastAsia="Arial" w:hAnsi="Arial"/>
                <w:sz w:val="18"/>
                <w:szCs w:val="18"/>
                <w:color w:val="auto"/>
              </w:rPr>
              <w:t>Accelerated Filer £</w:t>
            </w:r>
          </w:p>
        </w:tc>
        <w:tc>
          <w:tcPr>
            <w:tcW w:w="0" w:type="dxa"/>
            <w:vAlign w:val="bottom"/>
          </w:tcPr>
          <w:p>
            <w:pPr>
              <w:spacing w:after="0"/>
              <w:rPr>
                <w:sz w:val="1"/>
                <w:szCs w:val="1"/>
                <w:color w:val="auto"/>
              </w:rPr>
            </w:pPr>
          </w:p>
        </w:tc>
      </w:tr>
      <w:tr>
        <w:trPr>
          <w:trHeight w:val="135"/>
        </w:trPr>
        <w:tc>
          <w:tcPr>
            <w:tcW w:w="70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70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8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 £</w:t>
            </w:r>
          </w:p>
        </w:tc>
        <w:tc>
          <w:tcPr>
            <w:tcW w:w="0" w:type="dxa"/>
            <w:vAlign w:val="bottom"/>
          </w:tcPr>
          <w:p>
            <w:pPr>
              <w:spacing w:after="0"/>
              <w:rPr>
                <w:sz w:val="1"/>
                <w:szCs w:val="1"/>
                <w:color w:val="auto"/>
              </w:rPr>
            </w:pPr>
          </w:p>
        </w:tc>
      </w:tr>
      <w:tr>
        <w:trPr>
          <w:trHeight w:val="115"/>
        </w:trPr>
        <w:tc>
          <w:tcPr>
            <w:tcW w:w="700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10780" w:type="dxa"/>
            <w:vAlign w:val="bottom"/>
            <w:gridSpan w:val="2"/>
          </w:tcPr>
          <w:p>
            <w:pPr>
              <w:ind w:left="4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number of shares of the issuer’s common stock, $0.001 par value, outstanding as of August 4, 2011 was 6,850,667.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883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6883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7"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FOR THE QUARTER ENDED JUNE 30, 2011</w:t>
      </w:r>
    </w:p>
    <w:p>
      <w:pPr>
        <w:spacing w:after="0" w:line="9"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p>
      <w:pPr>
        <w:ind w:left="258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CONSOLIDATED FINANCIAL INFORMATION</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 Consolidated Financial Statements</w:t>
        </w:r>
      </w:hyperlink>
    </w:p>
    <w:p>
      <w:pPr>
        <w:spacing w:after="0" w:line="391"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Consolidated Statement of Assets and Liabilities as of June 30, 2011 (unaudited)</w:t>
      </w:r>
    </w:p>
    <w:p>
      <w:pPr>
        <w:spacing w:after="0" w:line="63" w:lineRule="exact"/>
        <w:rPr>
          <w:sz w:val="20"/>
          <w:szCs w:val="20"/>
          <w:color w:val="auto"/>
        </w:rPr>
      </w:pPr>
    </w:p>
    <w:p>
      <w:pPr>
        <w:ind w:left="380" w:right="520"/>
        <w:spacing w:after="0" w:line="277" w:lineRule="auto"/>
        <w:rPr>
          <w:sz w:val="20"/>
          <w:szCs w:val="20"/>
          <w:color w:val="auto"/>
        </w:rPr>
      </w:pPr>
      <w:r>
        <w:rPr>
          <w:rFonts w:ascii="Arial" w:cs="Arial" w:eastAsia="Arial" w:hAnsi="Arial"/>
          <w:sz w:val="18"/>
          <w:szCs w:val="18"/>
          <w:u w:val="single" w:color="auto"/>
          <w:color w:val="0000FF"/>
        </w:rPr>
        <w:t>Consolidated Statement of Operations for the period from March 4, 2011 (Commencement of Operations) to June 30, 2011 (unaudited)</w:t>
      </w:r>
    </w:p>
    <w:p>
      <w:pPr>
        <w:spacing w:after="0" w:line="8" w:lineRule="exact"/>
        <w:rPr>
          <w:sz w:val="20"/>
          <w:szCs w:val="20"/>
          <w:color w:val="auto"/>
        </w:rPr>
      </w:pPr>
    </w:p>
    <w:p>
      <w:pPr>
        <w:ind w:left="380" w:right="80"/>
        <w:spacing w:after="0" w:line="277" w:lineRule="auto"/>
        <w:rPr>
          <w:sz w:val="20"/>
          <w:szCs w:val="20"/>
          <w:color w:val="auto"/>
        </w:rPr>
      </w:pPr>
      <w:r>
        <w:rPr>
          <w:rFonts w:ascii="Arial" w:cs="Arial" w:eastAsia="Arial" w:hAnsi="Arial"/>
          <w:sz w:val="18"/>
          <w:szCs w:val="18"/>
          <w:u w:val="single" w:color="auto"/>
          <w:color w:val="0000FF"/>
        </w:rPr>
        <w:t>Consolidated Statement of Changes in Net Assets for the period from March 4, 2011 (Commencement of Operations) to June 30, 2011 (unaudited)</w:t>
      </w:r>
    </w:p>
    <w:p>
      <w:pPr>
        <w:spacing w:after="0" w:line="8" w:lineRule="exact"/>
        <w:rPr>
          <w:sz w:val="20"/>
          <w:szCs w:val="20"/>
          <w:color w:val="auto"/>
        </w:rPr>
      </w:pPr>
    </w:p>
    <w:p>
      <w:pPr>
        <w:ind w:left="380" w:right="400"/>
        <w:spacing w:after="0" w:line="277" w:lineRule="auto"/>
        <w:rPr>
          <w:sz w:val="20"/>
          <w:szCs w:val="20"/>
          <w:color w:val="auto"/>
        </w:rPr>
      </w:pPr>
      <w:r>
        <w:rPr>
          <w:rFonts w:ascii="Arial" w:cs="Arial" w:eastAsia="Arial" w:hAnsi="Arial"/>
          <w:sz w:val="18"/>
          <w:szCs w:val="18"/>
          <w:u w:val="single" w:color="auto"/>
          <w:color w:val="0000FF"/>
        </w:rPr>
        <w:t>Consolidated Statements of Cash Flows for the period from March 4, 2011 (Commencement of Operations) to June 30, 2011 (unaudited)</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Consolidated Schedule of Investments as of June 30, 2011 (unaudited)</w:t>
      </w:r>
    </w:p>
    <w:p>
      <w:pPr>
        <w:spacing w:after="0" w:line="63" w:lineRule="exact"/>
        <w:rPr>
          <w:sz w:val="20"/>
          <w:szCs w:val="20"/>
          <w:color w:val="auto"/>
        </w:rPr>
      </w:pPr>
    </w:p>
    <w:p>
      <w:pPr>
        <w:ind w:left="3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Financial Statements (unaudited)</w:t>
        </w:r>
      </w:hyperlink>
    </w:p>
    <w:p>
      <w:pPr>
        <w:spacing w:after="0" w:line="63" w:lineRule="exact"/>
        <w:rPr>
          <w:sz w:val="20"/>
          <w:szCs w:val="20"/>
          <w:color w:val="auto"/>
        </w:rPr>
      </w:pPr>
    </w:p>
    <w:p>
      <w:pPr>
        <w:ind w:left="38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Report of Independent Registered Public Accounting Firm</w:t>
        </w:r>
      </w:hyperlink>
    </w:p>
    <w:p>
      <w:pPr>
        <w:spacing w:after="0" w:line="383"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Item 2. Management’s Discussion and Analysis of Financial Condition and Results of Operations</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3. Quantitative And Qualitative Disclosures About Market Risk</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4. Controls and Procedures</w:t>
        </w:r>
      </w:hyperlink>
    </w:p>
    <w:p>
      <w:pPr>
        <w:spacing w:after="0" w:line="387" w:lineRule="exact"/>
        <w:rPr>
          <w:sz w:val="20"/>
          <w:szCs w:val="20"/>
          <w:color w:val="auto"/>
        </w:rPr>
      </w:pPr>
    </w:p>
    <w:p>
      <w:pPr>
        <w:ind w:left="348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PART II. OTHER INFORMATION</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1. Legal Proceedings</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1A. Risk Factors</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2. Unregistered Sales of Equity Securities and Use of Proceeds</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3. Defaults Upon Senior Securities</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 xml:space="preserve">Item 4. </w:t>
        </w:r>
      </w:hyperlink>
      <w:r>
        <w:rPr>
          <w:rFonts w:ascii="Arial" w:cs="Arial" w:eastAsia="Arial" w:hAnsi="Arial"/>
          <w:sz w:val="18"/>
          <w:szCs w:val="18"/>
          <w:b w:val="1"/>
          <w:bCs w:val="1"/>
          <w:u w:val="single" w:color="auto"/>
          <w:color w:val="0000FF"/>
        </w:rPr>
        <w:t>Reserved</w:t>
      </w:r>
    </w:p>
    <w:p>
      <w:pPr>
        <w:spacing w:after="0" w:line="200" w:lineRule="exact"/>
        <w:rPr>
          <w:sz w:val="20"/>
          <w:szCs w:val="20"/>
          <w:color w:val="auto"/>
        </w:rPr>
      </w:pPr>
    </w:p>
    <w:p>
      <w:pPr>
        <w:spacing w:after="0" w:line="201"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5. Other Information</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6. Exhibits</w:t>
        </w:r>
      </w:hyperlink>
    </w:p>
    <w:p>
      <w:pPr>
        <w:spacing w:after="0" w:line="38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p>
      <w:pPr>
        <w:spacing w:after="0" w:line="171"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p>
      <w:pPr>
        <w:spacing w:after="0" w:line="279"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p>
      <w:pPr>
        <w:spacing w:after="0" w:line="279"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171"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63" w:lineRule="exact"/>
        <w:rPr>
          <w:sz w:val="20"/>
          <w:szCs w:val="20"/>
          <w:color w:val="auto"/>
        </w:rPr>
      </w:pPr>
    </w:p>
    <w:p>
      <w:pPr>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22</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32</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34</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34</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35</w:t>
        </w:r>
      </w:hyperlink>
    </w:p>
    <w:p>
      <w:pPr>
        <w:spacing w:after="0" w:line="200" w:lineRule="exact"/>
        <w:rPr>
          <w:sz w:val="20"/>
          <w:szCs w:val="20"/>
          <w:color w:val="auto"/>
        </w:rPr>
      </w:pPr>
    </w:p>
    <w:p>
      <w:pPr>
        <w:spacing w:after="0" w:line="224" w:lineRule="exact"/>
        <w:rPr>
          <w:sz w:val="20"/>
          <w:szCs w:val="20"/>
          <w:color w:val="auto"/>
        </w:rPr>
      </w:pPr>
    </w:p>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36</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37</w:t>
        </w:r>
      </w:hyperlink>
    </w:p>
    <w:p>
      <w:pPr>
        <w:spacing w:after="0" w:line="218" w:lineRule="exact"/>
        <w:rPr>
          <w:sz w:val="20"/>
          <w:szCs w:val="20"/>
          <w:color w:val="auto"/>
        </w:rPr>
      </w:pPr>
    </w:p>
    <w:p>
      <w:pPr>
        <w:sectPr>
          <w:pgSz w:w="11900" w:h="16838" w:orient="portrait"/>
          <w:cols w:equalWidth="0" w:num="2">
            <w:col w:w="9760" w:space="720"/>
            <w:col w:w="180"/>
          </w:cols>
          <w:pgMar w:left="320" w:top="12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660"/>
          </w:cols>
          <w:pgMar w:left="320" w:top="125" w:right="9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on form 10-Q (the “Report”) is not a prospectus and is not intended to be used as a prospectus. We are filing this Report in compliance with Rule 13a-13 promulgated by the Securities and Exchange Commission (“SEC”). In this Report, “Company,” “we,” “our” or “us” refer to PennantPark Floating Rate Capital Ltd. unless the context suggests otherwise. References to “our subsidiary” refer to PennantPark Floating Rate Funding I, LLC (“Funding I”), which is wholly owned and consolidated. References to our portfolio, our investments and our business include investments and activities of our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87" w:lineRule="exact"/>
        <w:rPr>
          <w:sz w:val="20"/>
          <w:szCs w:val="20"/>
          <w:color w:val="auto"/>
        </w:rPr>
      </w:pPr>
    </w:p>
    <w:p>
      <w:pPr>
        <w:jc w:val="center"/>
        <w:ind w:left="540" w:right="25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ASSETS AND LIABILITIES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2011</w:t>
            </w:r>
          </w:p>
        </w:tc>
        <w:tc>
          <w:tcPr>
            <w:tcW w:w="0" w:type="dxa"/>
            <w:vAlign w:val="bottom"/>
          </w:tcPr>
          <w:p>
            <w:pPr>
              <w:spacing w:after="0"/>
              <w:rPr>
                <w:sz w:val="1"/>
                <w:szCs w:val="1"/>
                <w:color w:val="auto"/>
              </w:rPr>
            </w:pPr>
          </w:p>
        </w:tc>
      </w:tr>
      <w:tr>
        <w:trPr>
          <w:trHeight w:val="230"/>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9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6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 at fair value (cost—$87,345,961)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87,273,617</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 (See Note 7)</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10,451,169</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Interest receivable</w:t>
            </w: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646,069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for investments sold</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4,509,438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226,703</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103,106,996</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9951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Payable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 fee payable (See Note 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Performance-based incentive fee payable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expenses</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9516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Assets</w:t>
      </w:r>
    </w:p>
    <w:p>
      <w:pPr>
        <w:spacing w:after="0" w:line="94" w:lineRule="exact"/>
        <w:rPr>
          <w:sz w:val="20"/>
          <w:szCs w:val="20"/>
          <w:color w:val="auto"/>
        </w:rPr>
      </w:pPr>
    </w:p>
    <w:p>
      <w:pPr>
        <w:ind w:left="360" w:right="820" w:hanging="323"/>
        <w:spacing w:after="0" w:line="277" w:lineRule="auto"/>
        <w:rPr>
          <w:sz w:val="20"/>
          <w:szCs w:val="20"/>
          <w:color w:val="auto"/>
        </w:rPr>
      </w:pPr>
      <w:r>
        <w:rPr>
          <w:rFonts w:ascii="Arial" w:cs="Arial" w:eastAsia="Arial" w:hAnsi="Arial"/>
          <w:sz w:val="18"/>
          <w:szCs w:val="18"/>
          <w:color w:val="auto"/>
        </w:rPr>
        <w:t>Common stock, 6,850,667 shares are issued and outstanding. Par value is $0.001 per share and 100,000,000 shares are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9951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Paid-in capital in excess of par value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Undistributed net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net realized gain on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unrealized depreciation on investments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342,533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5,773,125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99,001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43,865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544,933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31750</wp:posOffset>
            </wp:positionV>
            <wp:extent cx="1054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6,803,457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31750</wp:posOffset>
            </wp:positionV>
            <wp:extent cx="1054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6,851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97,303,202</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(1,225,839)</w:t>
      </w:r>
    </w:p>
    <w:p>
      <w:pPr>
        <w:spacing w:after="0" w:line="7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291,669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(72,344)</w:t>
      </w:r>
    </w:p>
    <w:p>
      <w:pPr>
        <w:spacing w:after="0" w:line="30" w:lineRule="exact"/>
        <w:rPr>
          <w:sz w:val="20"/>
          <w:szCs w:val="20"/>
          <w:color w:val="auto"/>
        </w:rPr>
      </w:pPr>
    </w:p>
    <w:p>
      <w:pPr>
        <w:sectPr>
          <w:pgSz w:w="11900" w:h="16838" w:orient="portrait"/>
          <w:cols w:equalWidth="0" w:num="2">
            <w:col w:w="9380" w:space="720"/>
            <w:col w:w="920"/>
          </w:cols>
          <w:pgMar w:left="3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93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net assets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96,303,539</w:t>
            </w:r>
          </w:p>
        </w:tc>
      </w:tr>
      <w:tr>
        <w:trPr>
          <w:trHeight w:val="237"/>
        </w:trPr>
        <w:tc>
          <w:tcPr>
            <w:tcW w:w="9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net assets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103,106,996</w:t>
            </w:r>
          </w:p>
        </w:tc>
      </w:tr>
      <w:tr>
        <w:trPr>
          <w:trHeight w:val="67"/>
        </w:trPr>
        <w:tc>
          <w:tcPr>
            <w:tcW w:w="93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5"/>
        </w:trPr>
        <w:tc>
          <w:tcPr>
            <w:tcW w:w="9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asset value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125" w:right="5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380" w:right="26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OPERATIONS (Unaudited)</w:t>
      </w:r>
    </w:p>
    <w:p>
      <w:pPr>
        <w:spacing w:after="0" w:line="306"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For the period from March 4, 2011</w:t>
      </w:r>
    </w:p>
    <w:p>
      <w:pPr>
        <w:spacing w:after="0" w:line="4" w:lineRule="exact"/>
        <w:rPr>
          <w:sz w:val="20"/>
          <w:szCs w:val="20"/>
          <w:color w:val="auto"/>
        </w:rPr>
      </w:pPr>
    </w:p>
    <w:p>
      <w:pPr>
        <w:jc w:val="center"/>
        <w:ind w:left="8420"/>
        <w:spacing w:after="0"/>
        <w:rPr>
          <w:sz w:val="20"/>
          <w:szCs w:val="20"/>
          <w:color w:val="auto"/>
        </w:rPr>
      </w:pPr>
      <w:r>
        <w:rPr>
          <w:rFonts w:ascii="Arial" w:cs="Arial" w:eastAsia="Arial" w:hAnsi="Arial"/>
          <w:sz w:val="12"/>
          <w:szCs w:val="12"/>
          <w:b w:val="1"/>
          <w:bCs w:val="1"/>
          <w:color w:val="auto"/>
        </w:rPr>
        <w:t>(Commencement of Operations) to June 30,</w:t>
      </w:r>
    </w:p>
    <w:p>
      <w:pPr>
        <w:spacing w:after="0" w:line="11"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From non-controlled, non-affiliated investments:</w:t>
      </w:r>
    </w:p>
    <w:p>
      <w:pPr>
        <w:spacing w:after="0" w:line="63" w:lineRule="exact"/>
        <w:rPr>
          <w:sz w:val="20"/>
          <w:szCs w:val="20"/>
          <w:color w:val="auto"/>
        </w:rPr>
      </w:pPr>
    </w:p>
    <w:p>
      <w:pPr>
        <w:ind w:left="380"/>
        <w:spacing w:after="0"/>
        <w:tabs>
          <w:tab w:leader="none" w:pos="8440" w:val="left"/>
          <w:tab w:leader="none" w:pos="10520" w:val="left"/>
        </w:tabs>
        <w:rPr>
          <w:sz w:val="20"/>
          <w:szCs w:val="20"/>
          <w:color w:val="auto"/>
        </w:rPr>
      </w:pPr>
      <w:r>
        <w:rPr>
          <w:rFonts w:ascii="Arial" w:cs="Arial" w:eastAsia="Arial" w:hAnsi="Arial"/>
          <w:sz w:val="18"/>
          <w:szCs w:val="18"/>
          <w:color w:val="auto"/>
        </w:rPr>
        <w:t>Interest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898,719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ectPr>
          <w:pgSz w:w="11900" w:h="16838" w:orient="portrait"/>
          <w:cols w:equalWidth="0" w:num="1">
            <w:col w:w="11240"/>
          </w:cols>
          <w:pgMar w:left="320" w:top="125" w:right="339" w:bottom="1440" w:gutter="0" w:footer="0" w:header="0"/>
        </w:sectPr>
      </w:pPr>
    </w:p>
    <w:p>
      <w:pPr>
        <w:spacing w:after="0" w:line="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 management fee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Performance-based incentive fee (See Note 3)</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Administrative services expenses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general and administrative expenses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Total expenses before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issuance costs (See Note 5)</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Net investment loss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Realized and unrealized gain (loss) on investments: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99,001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43,865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84,749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218,675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31750</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446,290</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1,335,735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46355</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0"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1,782,025</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(883,306)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31750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9700" w:space="720"/>
            <w:col w:w="8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realized gain on non-controlled, non-affiliated investments</w:t>
            </w: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291,669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unrealized (depreciation) on:</w:t>
            </w:r>
          </w:p>
        </w:tc>
        <w:tc>
          <w:tcPr>
            <w:tcW w:w="10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Non-controlled, non-affiliated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(72,344)</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b w:val="1"/>
                <w:bCs w:val="1"/>
                <w:color w:val="auto"/>
              </w:rPr>
              <w:t>Net realized and unrealized gain from investments</w:t>
            </w:r>
          </w:p>
        </w:tc>
        <w:tc>
          <w:tcPr>
            <w:tcW w:w="10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219,325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(663,981)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decrease in net assets resulting from operations per common share (See Note 6)</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vMerge w:val="continue"/>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loss per common share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CHANGES IN NET ASSETS (Unaudited)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For the period from March 4, 2011</w:t>
            </w:r>
          </w:p>
        </w:tc>
      </w:tr>
      <w:tr>
        <w:trPr>
          <w:trHeight w:val="148"/>
        </w:trPr>
        <w:tc>
          <w:tcPr>
            <w:tcW w:w="8340" w:type="dxa"/>
            <w:vAlign w:val="bottom"/>
          </w:tcPr>
          <w:p>
            <w:pPr>
              <w:spacing w:after="0"/>
              <w:rPr>
                <w:sz w:val="12"/>
                <w:szCs w:val="12"/>
                <w:color w:val="auto"/>
              </w:rPr>
            </w:pPr>
          </w:p>
        </w:tc>
        <w:tc>
          <w:tcPr>
            <w:tcW w:w="2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(Commencement of Operations) to June 30,</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2011</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Decrease in net assets from operations:</w:t>
            </w: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0"/>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loss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(883,306)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realized gain on investments</w:t>
            </w:r>
          </w:p>
        </w:tc>
        <w:tc>
          <w:tcPr>
            <w:tcW w:w="220" w:type="dxa"/>
            <w:vAlign w:val="bottom"/>
          </w:tcPr>
          <w:p>
            <w:pPr>
              <w:spacing w:after="0"/>
              <w:rPr>
                <w:sz w:val="21"/>
                <w:szCs w:val="21"/>
                <w:color w:val="auto"/>
              </w:rPr>
            </w:pPr>
          </w:p>
        </w:tc>
        <w:tc>
          <w:tcPr>
            <w:tcW w:w="2560" w:type="dxa"/>
            <w:vAlign w:val="bottom"/>
          </w:tcPr>
          <w:p>
            <w:pPr>
              <w:jc w:val="right"/>
              <w:ind w:right="13"/>
              <w:spacing w:after="0"/>
              <w:rPr>
                <w:sz w:val="20"/>
                <w:szCs w:val="20"/>
                <w:color w:val="auto"/>
              </w:rPr>
            </w:pPr>
            <w:r>
              <w:rPr>
                <w:rFonts w:ascii="Arial" w:cs="Arial" w:eastAsia="Arial" w:hAnsi="Arial"/>
                <w:sz w:val="18"/>
                <w:szCs w:val="18"/>
                <w:color w:val="auto"/>
              </w:rPr>
              <w:t>291,669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depreciation on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2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(663,981)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 to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 to stockholders</w:t>
            </w:r>
          </w:p>
        </w:tc>
        <w:tc>
          <w:tcPr>
            <w:tcW w:w="22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(342,533)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offerings</w:t>
            </w:r>
          </w:p>
        </w:tc>
        <w:tc>
          <w:tcPr>
            <w:tcW w:w="220" w:type="dxa"/>
            <w:vAlign w:val="bottom"/>
          </w:tcPr>
          <w:p>
            <w:pPr>
              <w:spacing w:after="0"/>
              <w:rPr>
                <w:sz w:val="21"/>
                <w:szCs w:val="21"/>
                <w:color w:val="auto"/>
              </w:rPr>
            </w:pPr>
          </w:p>
        </w:tc>
        <w:tc>
          <w:tcPr>
            <w:tcW w:w="2560" w:type="dxa"/>
            <w:vAlign w:val="bottom"/>
          </w:tcPr>
          <w:p>
            <w:pPr>
              <w:jc w:val="right"/>
              <w:ind w:right="13"/>
              <w:spacing w:after="0"/>
              <w:rPr>
                <w:sz w:val="20"/>
                <w:szCs w:val="20"/>
                <w:color w:val="auto"/>
              </w:rPr>
            </w:pPr>
            <w:r>
              <w:rPr>
                <w:rFonts w:ascii="Arial" w:cs="Arial" w:eastAsia="Arial" w:hAnsi="Arial"/>
                <w:sz w:val="18"/>
                <w:szCs w:val="18"/>
                <w:color w:val="auto"/>
              </w:rPr>
              <w:t>102,760,000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Offering costs (See Note 3)</w:t>
            </w:r>
          </w:p>
        </w:tc>
        <w:tc>
          <w:tcPr>
            <w:tcW w:w="22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(5,449,947)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increase in net assets</w:t>
            </w:r>
          </w:p>
        </w:tc>
        <w:tc>
          <w:tcPr>
            <w:tcW w:w="22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96,303,539</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w:t>
            </w:r>
          </w:p>
        </w:tc>
        <w:tc>
          <w:tcPr>
            <w:tcW w:w="2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2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96,303,539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Undistributed net investment loss, end of period</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(1,225,839)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Capital Share Activity:</w:t>
            </w:r>
          </w:p>
        </w:tc>
        <w:tc>
          <w:tcPr>
            <w:tcW w:w="2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tcPr>
          <w:p>
            <w:pPr>
              <w:spacing w:after="0"/>
              <w:rPr>
                <w:sz w:val="19"/>
                <w:szCs w:val="19"/>
                <w:color w:val="auto"/>
              </w:rPr>
            </w:pPr>
          </w:p>
        </w:tc>
      </w:tr>
      <w:tr>
        <w:trPr>
          <w:trHeight w:val="40"/>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r>
      <w:tr>
        <w:trPr>
          <w:trHeight w:val="243"/>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from offerings (Note 1)</w:t>
            </w:r>
          </w:p>
        </w:tc>
        <w:tc>
          <w:tcPr>
            <w:tcW w:w="220" w:type="dxa"/>
            <w:vAlign w:val="bottom"/>
            <w:shd w:val="clear" w:color="auto" w:fill="CCEEFF"/>
          </w:tcPr>
          <w:p>
            <w:pPr>
              <w:spacing w:after="0"/>
              <w:rPr>
                <w:sz w:val="21"/>
                <w:szCs w:val="21"/>
                <w:color w:val="auto"/>
              </w:rPr>
            </w:pP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6,850,667</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125" w:right="4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CASH FLOWS (Unaudited)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For the period from March 4, 2011</w:t>
            </w:r>
          </w:p>
        </w:tc>
      </w:tr>
      <w:tr>
        <w:trPr>
          <w:trHeight w:val="148"/>
        </w:trPr>
        <w:tc>
          <w:tcPr>
            <w:tcW w:w="8440" w:type="dxa"/>
            <w:vAlign w:val="bottom"/>
          </w:tcPr>
          <w:p>
            <w:pPr>
              <w:spacing w:after="0"/>
              <w:rPr>
                <w:sz w:val="12"/>
                <w:szCs w:val="12"/>
                <w:color w:val="auto"/>
              </w:rPr>
            </w:pPr>
          </w:p>
        </w:tc>
        <w:tc>
          <w:tcPr>
            <w:tcW w:w="2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(Commencement of Operations) to June 30,</w:t>
            </w: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decrease in net assets resulting from operations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(663,981)</w:t>
            </w: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w w:val="94"/>
              </w:rPr>
              <w:t>Adjustments to reconcile net decrease in net assets resulting from operations to net cash used by operating</w:t>
            </w:r>
          </w:p>
        </w:tc>
        <w:tc>
          <w:tcPr>
            <w:tcW w:w="22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change in unrealized depreciation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72,344</w:t>
            </w:r>
          </w:p>
        </w:tc>
      </w:tr>
      <w:tr>
        <w:trPr>
          <w:trHeight w:val="243"/>
        </w:trPr>
        <w:tc>
          <w:tcPr>
            <w:tcW w:w="8440" w:type="dxa"/>
            <w:vAlign w:val="bottom"/>
          </w:tcPr>
          <w:p>
            <w:pPr>
              <w:ind w:left="680"/>
              <w:spacing w:after="0"/>
              <w:rPr>
                <w:sz w:val="20"/>
                <w:szCs w:val="20"/>
                <w:color w:val="auto"/>
              </w:rPr>
            </w:pPr>
            <w:r>
              <w:rPr>
                <w:rFonts w:ascii="Arial" w:cs="Arial" w:eastAsia="Arial" w:hAnsi="Arial"/>
                <w:sz w:val="18"/>
                <w:szCs w:val="18"/>
                <w:color w:val="auto"/>
              </w:rPr>
              <w:t>Net realized (gain) on investments</w:t>
            </w:r>
          </w:p>
        </w:tc>
        <w:tc>
          <w:tcPr>
            <w:tcW w:w="2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(291,669)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accretion of discount and amortization of premium</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(28,253)</w:t>
            </w:r>
          </w:p>
        </w:tc>
      </w:tr>
      <w:tr>
        <w:trPr>
          <w:trHeight w:val="243"/>
        </w:trPr>
        <w:tc>
          <w:tcPr>
            <w:tcW w:w="8440" w:type="dxa"/>
            <w:vAlign w:val="bottom"/>
          </w:tcPr>
          <w:p>
            <w:pPr>
              <w:ind w:left="68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(114,843,476)</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Payment-in-kind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(12,503)</w:t>
            </w:r>
          </w:p>
        </w:tc>
      </w:tr>
      <w:tr>
        <w:trPr>
          <w:trHeight w:val="243"/>
        </w:trPr>
        <w:tc>
          <w:tcPr>
            <w:tcW w:w="8440" w:type="dxa"/>
            <w:vAlign w:val="bottom"/>
          </w:tcPr>
          <w:p>
            <w:pPr>
              <w:ind w:left="680"/>
              <w:spacing w:after="0"/>
              <w:rPr>
                <w:sz w:val="20"/>
                <w:szCs w:val="20"/>
                <w:color w:val="auto"/>
              </w:rPr>
            </w:pPr>
            <w:r>
              <w:rPr>
                <w:rFonts w:ascii="Arial" w:cs="Arial" w:eastAsia="Arial" w:hAnsi="Arial"/>
                <w:sz w:val="18"/>
                <w:szCs w:val="18"/>
                <w:color w:val="auto"/>
              </w:rPr>
              <w:t>Proceeds from dispositions of investments</w:t>
            </w:r>
          </w:p>
        </w:tc>
        <w:tc>
          <w:tcPr>
            <w:tcW w:w="220" w:type="dxa"/>
            <w:vAlign w:val="bottom"/>
          </w:tcPr>
          <w:p>
            <w:pPr>
              <w:spacing w:after="0"/>
              <w:rPr>
                <w:sz w:val="21"/>
                <w:szCs w:val="21"/>
                <w:color w:val="auto"/>
              </w:rPr>
            </w:pPr>
          </w:p>
        </w:tc>
        <w:tc>
          <w:tcPr>
            <w:tcW w:w="2580" w:type="dxa"/>
            <w:vAlign w:val="bottom"/>
          </w:tcPr>
          <w:p>
            <w:pPr>
              <w:jc w:val="right"/>
              <w:ind w:right="12"/>
              <w:spacing w:after="0"/>
              <w:rPr>
                <w:sz w:val="20"/>
                <w:szCs w:val="20"/>
                <w:color w:val="auto"/>
              </w:rPr>
            </w:pPr>
            <w:r>
              <w:rPr>
                <w:rFonts w:ascii="Arial" w:cs="Arial" w:eastAsia="Arial" w:hAnsi="Arial"/>
                <w:sz w:val="18"/>
                <w:szCs w:val="18"/>
                <w:color w:val="auto"/>
              </w:rPr>
              <w:t>27,829,940</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(Increase) in interest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(646,069)</w:t>
            </w:r>
          </w:p>
        </w:tc>
      </w:tr>
      <w:tr>
        <w:trPr>
          <w:trHeight w:val="243"/>
        </w:trPr>
        <w:tc>
          <w:tcPr>
            <w:tcW w:w="8440" w:type="dxa"/>
            <w:vAlign w:val="bottom"/>
          </w:tcPr>
          <w:p>
            <w:pPr>
              <w:ind w:left="680"/>
              <w:spacing w:after="0"/>
              <w:rPr>
                <w:sz w:val="20"/>
                <w:szCs w:val="20"/>
                <w:color w:val="auto"/>
              </w:rPr>
            </w:pPr>
            <w:r>
              <w:rPr>
                <w:rFonts w:ascii="Arial" w:cs="Arial" w:eastAsia="Arial" w:hAnsi="Arial"/>
                <w:sz w:val="18"/>
                <w:szCs w:val="18"/>
                <w:color w:val="auto"/>
              </w:rPr>
              <w:t>(Increase) in receivable for investments sold</w:t>
            </w:r>
          </w:p>
        </w:tc>
        <w:tc>
          <w:tcPr>
            <w:tcW w:w="2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(4,509,438)</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(Increase) in 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(226,703)</w:t>
            </w:r>
          </w:p>
        </w:tc>
      </w:tr>
      <w:tr>
        <w:trPr>
          <w:trHeight w:val="243"/>
        </w:trPr>
        <w:tc>
          <w:tcPr>
            <w:tcW w:w="8440" w:type="dxa"/>
            <w:vAlign w:val="bottom"/>
          </w:tcPr>
          <w:p>
            <w:pPr>
              <w:ind w:left="680"/>
              <w:spacing w:after="0"/>
              <w:rPr>
                <w:sz w:val="20"/>
                <w:szCs w:val="20"/>
                <w:color w:val="auto"/>
              </w:rPr>
            </w:pPr>
            <w:r>
              <w:rPr>
                <w:rFonts w:ascii="Arial" w:cs="Arial" w:eastAsia="Arial" w:hAnsi="Arial"/>
                <w:sz w:val="18"/>
                <w:szCs w:val="18"/>
                <w:color w:val="auto"/>
              </w:rPr>
              <w:t>Increase in payable for investments purchased</w:t>
            </w:r>
          </w:p>
        </w:tc>
        <w:tc>
          <w:tcPr>
            <w:tcW w:w="220" w:type="dxa"/>
            <w:vAlign w:val="bottom"/>
          </w:tcPr>
          <w:p>
            <w:pPr>
              <w:spacing w:after="0"/>
              <w:rPr>
                <w:sz w:val="21"/>
                <w:szCs w:val="21"/>
                <w:color w:val="auto"/>
              </w:rPr>
            </w:pPr>
          </w:p>
        </w:tc>
        <w:tc>
          <w:tcPr>
            <w:tcW w:w="2580" w:type="dxa"/>
            <w:vAlign w:val="bottom"/>
          </w:tcPr>
          <w:p>
            <w:pPr>
              <w:jc w:val="right"/>
              <w:ind w:right="12"/>
              <w:spacing w:after="0"/>
              <w:rPr>
                <w:sz w:val="20"/>
                <w:szCs w:val="20"/>
                <w:color w:val="auto"/>
              </w:rPr>
            </w:pPr>
            <w:r>
              <w:rPr>
                <w:rFonts w:ascii="Arial" w:cs="Arial" w:eastAsia="Arial" w:hAnsi="Arial"/>
                <w:sz w:val="18"/>
                <w:szCs w:val="18"/>
                <w:color w:val="auto"/>
              </w:rPr>
              <w:t>5,773,125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Increase in management fee payable</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99,001</w:t>
            </w:r>
          </w:p>
        </w:tc>
      </w:tr>
      <w:tr>
        <w:trPr>
          <w:trHeight w:val="243"/>
        </w:trPr>
        <w:tc>
          <w:tcPr>
            <w:tcW w:w="8440" w:type="dxa"/>
            <w:vAlign w:val="bottom"/>
          </w:tcPr>
          <w:p>
            <w:pPr>
              <w:ind w:left="680"/>
              <w:spacing w:after="0"/>
              <w:rPr>
                <w:sz w:val="20"/>
                <w:szCs w:val="20"/>
                <w:color w:val="auto"/>
              </w:rPr>
            </w:pPr>
            <w:r>
              <w:rPr>
                <w:rFonts w:ascii="Arial" w:cs="Arial" w:eastAsia="Arial" w:hAnsi="Arial"/>
                <w:sz w:val="18"/>
                <w:szCs w:val="18"/>
                <w:color w:val="auto"/>
              </w:rPr>
              <w:t>Increase in performance-based incentive fee payable</w:t>
            </w:r>
          </w:p>
        </w:tc>
        <w:tc>
          <w:tcPr>
            <w:tcW w:w="220" w:type="dxa"/>
            <w:vAlign w:val="bottom"/>
          </w:tcPr>
          <w:p>
            <w:pPr>
              <w:spacing w:after="0"/>
              <w:rPr>
                <w:sz w:val="21"/>
                <w:szCs w:val="21"/>
                <w:color w:val="auto"/>
              </w:rPr>
            </w:pPr>
          </w:p>
        </w:tc>
        <w:tc>
          <w:tcPr>
            <w:tcW w:w="2580" w:type="dxa"/>
            <w:vAlign w:val="bottom"/>
          </w:tcPr>
          <w:p>
            <w:pPr>
              <w:jc w:val="right"/>
              <w:ind w:right="12"/>
              <w:spacing w:after="0"/>
              <w:rPr>
                <w:sz w:val="20"/>
                <w:szCs w:val="20"/>
                <w:color w:val="auto"/>
              </w:rPr>
            </w:pPr>
            <w:r>
              <w:rPr>
                <w:rFonts w:ascii="Arial" w:cs="Arial" w:eastAsia="Arial" w:hAnsi="Arial"/>
                <w:sz w:val="18"/>
                <w:szCs w:val="18"/>
                <w:color w:val="auto"/>
              </w:rPr>
              <w:t>43,865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Increase in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544,933</w:t>
            </w:r>
          </w:p>
        </w:tc>
      </w:tr>
      <w:tr>
        <w:trPr>
          <w:trHeight w:val="237"/>
        </w:trPr>
        <w:tc>
          <w:tcPr>
            <w:tcW w:w="8440" w:type="dxa"/>
            <w:vAlign w:val="bottom"/>
          </w:tcPr>
          <w:p>
            <w:pPr>
              <w:ind w:left="1000"/>
              <w:spacing w:after="0"/>
              <w:rPr>
                <w:sz w:val="20"/>
                <w:szCs w:val="20"/>
                <w:color w:val="auto"/>
              </w:rPr>
            </w:pPr>
            <w:r>
              <w:rPr>
                <w:rFonts w:ascii="Arial" w:cs="Arial" w:eastAsia="Arial" w:hAnsi="Arial"/>
                <w:sz w:val="18"/>
                <w:szCs w:val="18"/>
                <w:color w:val="auto"/>
              </w:rPr>
              <w:t>Net cash used by operating activities</w:t>
            </w:r>
          </w:p>
        </w:tc>
        <w:tc>
          <w:tcPr>
            <w:tcW w:w="22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(86,858,884)</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680"/>
              <w:spacing w:after="0"/>
              <w:rPr>
                <w:sz w:val="20"/>
                <w:szCs w:val="20"/>
                <w:color w:val="auto"/>
              </w:rPr>
            </w:pPr>
            <w:r>
              <w:rPr>
                <w:rFonts w:ascii="Arial" w:cs="Arial" w:eastAsia="Arial" w:hAnsi="Arial"/>
                <w:sz w:val="18"/>
                <w:szCs w:val="18"/>
                <w:color w:val="auto"/>
              </w:rPr>
              <w:t>Proceeds from offerings</w:t>
            </w:r>
          </w:p>
        </w:tc>
        <w:tc>
          <w:tcPr>
            <w:tcW w:w="220" w:type="dxa"/>
            <w:vAlign w:val="bottom"/>
          </w:tcPr>
          <w:p>
            <w:pPr>
              <w:spacing w:after="0"/>
              <w:rPr>
                <w:sz w:val="21"/>
                <w:szCs w:val="21"/>
                <w:color w:val="auto"/>
              </w:rPr>
            </w:pPr>
          </w:p>
        </w:tc>
        <w:tc>
          <w:tcPr>
            <w:tcW w:w="2580" w:type="dxa"/>
            <w:vAlign w:val="bottom"/>
          </w:tcPr>
          <w:p>
            <w:pPr>
              <w:jc w:val="right"/>
              <w:ind w:right="12"/>
              <w:spacing w:after="0"/>
              <w:rPr>
                <w:sz w:val="20"/>
                <w:szCs w:val="20"/>
                <w:color w:val="auto"/>
              </w:rPr>
            </w:pPr>
            <w:r>
              <w:rPr>
                <w:rFonts w:ascii="Arial" w:cs="Arial" w:eastAsia="Arial" w:hAnsi="Arial"/>
                <w:sz w:val="18"/>
                <w:szCs w:val="18"/>
                <w:color w:val="auto"/>
              </w:rPr>
              <w:t>102,760,000</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(5,449,947)</w:t>
            </w:r>
          </w:p>
        </w:tc>
      </w:tr>
      <w:tr>
        <w:trPr>
          <w:trHeight w:val="237"/>
        </w:trPr>
        <w:tc>
          <w:tcPr>
            <w:tcW w:w="8440" w:type="dxa"/>
            <w:vAlign w:val="bottom"/>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97,310,053</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3"/>
        </w:trPr>
        <w:tc>
          <w:tcPr>
            <w:tcW w:w="8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equivalents</w:t>
            </w:r>
          </w:p>
        </w:tc>
        <w:tc>
          <w:tcPr>
            <w:tcW w:w="220" w:type="dxa"/>
            <w:vAlign w:val="bottom"/>
          </w:tcPr>
          <w:p>
            <w:pPr>
              <w:spacing w:after="0"/>
              <w:rPr>
                <w:sz w:val="21"/>
                <w:szCs w:val="21"/>
                <w:color w:val="auto"/>
              </w:rPr>
            </w:pPr>
          </w:p>
        </w:tc>
        <w:tc>
          <w:tcPr>
            <w:tcW w:w="2580" w:type="dxa"/>
            <w:vAlign w:val="bottom"/>
          </w:tcPr>
          <w:p>
            <w:pPr>
              <w:jc w:val="right"/>
              <w:ind w:right="12"/>
              <w:spacing w:after="0"/>
              <w:rPr>
                <w:sz w:val="20"/>
                <w:szCs w:val="20"/>
                <w:color w:val="auto"/>
              </w:rPr>
            </w:pPr>
            <w:r>
              <w:rPr>
                <w:rFonts w:ascii="Arial" w:cs="Arial" w:eastAsia="Arial" w:hAnsi="Arial"/>
                <w:sz w:val="18"/>
                <w:szCs w:val="18"/>
                <w:color w:val="auto"/>
              </w:rPr>
              <w:t>10,451,169</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equivalents, end of period</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10,451,169</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PENNANTPARK FLOATING RATE CAPITAL LTD. AND SUBSIDIARY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60"/>
          </w:cols>
          <w:pgMar w:left="32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10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Maturity</w:t>
            </w:r>
          </w:p>
        </w:tc>
        <w:tc>
          <w:tcPr>
            <w:tcW w:w="17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7"/>
              </w:rPr>
              <w:t>Industry</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Coupon</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Investments in Non-Controlled, Non-Affiliated Portfolio Companies — 90.6%</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b w:val="1"/>
                <w:bCs w:val="1"/>
                <w:color w:val="auto"/>
              </w:rPr>
              <w:t>First Lien Secured Debt – 80.3%</w:t>
            </w:r>
          </w:p>
        </w:tc>
        <w:tc>
          <w:tcPr>
            <w:tcW w:w="10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Airvana Network Solutions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03/25/2015</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Telecommunications</w:t>
            </w: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Artel, LLC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06/01/2016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Telecommunications</w:t>
            </w:r>
          </w:p>
        </w:tc>
        <w:tc>
          <w:tcPr>
            <w:tcW w:w="740" w:type="dxa"/>
            <w:vAlign w:val="bottom"/>
          </w:tcPr>
          <w:p>
            <w:pPr>
              <w:jc w:val="right"/>
              <w:spacing w:after="0"/>
              <w:rPr>
                <w:sz w:val="20"/>
                <w:szCs w:val="20"/>
                <w:color w:val="auto"/>
              </w:rPr>
            </w:pPr>
            <w:r>
              <w:rPr>
                <w:rFonts w:ascii="Arial" w:cs="Arial" w:eastAsia="Arial" w:hAnsi="Arial"/>
                <w:sz w:val="14"/>
                <w:szCs w:val="14"/>
                <w:color w:val="auto"/>
              </w:rPr>
              <w:t>5.50%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Chester Downs and Marina, LLC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07/31/2016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4"/>
              </w:rPr>
              <w:t>Hotel, Gaming and</w:t>
            </w:r>
          </w:p>
        </w:tc>
        <w:tc>
          <w:tcPr>
            <w:tcW w:w="740" w:type="dxa"/>
            <w:vAlign w:val="bottom"/>
          </w:tcPr>
          <w:p>
            <w:pPr>
              <w:jc w:val="right"/>
              <w:spacing w:after="0"/>
              <w:rPr>
                <w:sz w:val="20"/>
                <w:szCs w:val="20"/>
                <w:color w:val="auto"/>
              </w:rPr>
            </w:pPr>
            <w:r>
              <w:rPr>
                <w:rFonts w:ascii="Arial" w:cs="Arial" w:eastAsia="Arial" w:hAnsi="Arial"/>
                <w:sz w:val="14"/>
                <w:szCs w:val="14"/>
                <w:color w:val="auto"/>
              </w:rPr>
              <w:t>12.38%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Leisure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40"/>
              <w:spacing w:after="0"/>
              <w:rPr>
                <w:sz w:val="20"/>
                <w:szCs w:val="20"/>
                <w:color w:val="auto"/>
              </w:rPr>
            </w:pPr>
            <w:r>
              <w:rPr>
                <w:rFonts w:ascii="Arial" w:cs="Arial" w:eastAsia="Arial" w:hAnsi="Arial"/>
                <w:sz w:val="14"/>
                <w:szCs w:val="14"/>
                <w:color w:val="auto"/>
              </w:rPr>
              <w:t>Ernest Health,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05/13/2016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0"/>
              </w:rPr>
              <w:t>Healthcare and</w:t>
            </w:r>
          </w:p>
        </w:tc>
        <w:tc>
          <w:tcPr>
            <w:tcW w:w="740" w:type="dxa"/>
            <w:vAlign w:val="bottom"/>
          </w:tcPr>
          <w:p>
            <w:pPr>
              <w:jc w:val="right"/>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0"/>
              </w:rPr>
              <w:t>Pharmaceuticals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0"/>
              <w:spacing w:after="0"/>
              <w:rPr>
                <w:sz w:val="20"/>
                <w:szCs w:val="20"/>
                <w:color w:val="auto"/>
              </w:rPr>
            </w:pPr>
            <w:r>
              <w:rPr>
                <w:rFonts w:ascii="Arial" w:cs="Arial" w:eastAsia="Arial" w:hAnsi="Arial"/>
                <w:sz w:val="14"/>
                <w:szCs w:val="14"/>
                <w:color w:val="auto"/>
              </w:rPr>
              <w:t>Frac Tech International, LLC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05/06/2016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3"/>
              </w:rPr>
              <w:t>Energy: Oil and Gas</w:t>
            </w:r>
          </w:p>
        </w:tc>
        <w:tc>
          <w:tcPr>
            <w:tcW w:w="740" w:type="dxa"/>
            <w:vAlign w:val="bottom"/>
          </w:tcPr>
          <w:p>
            <w:pPr>
              <w:jc w:val="right"/>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Gundle/SLT Environmental,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05/27/2016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6"/>
              </w:rPr>
              <w:t>Environmental</w:t>
            </w:r>
          </w:p>
        </w:tc>
        <w:tc>
          <w:tcPr>
            <w:tcW w:w="740" w:type="dxa"/>
            <w:vAlign w:val="bottom"/>
          </w:tcPr>
          <w:p>
            <w:pPr>
              <w:jc w:val="right"/>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5"/>
              </w:rPr>
              <w:t>Industries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40"/>
              <w:spacing w:after="0"/>
              <w:rPr>
                <w:sz w:val="20"/>
                <w:szCs w:val="20"/>
                <w:color w:val="auto"/>
              </w:rPr>
            </w:pPr>
            <w:r>
              <w:rPr>
                <w:rFonts w:ascii="Arial" w:cs="Arial" w:eastAsia="Arial" w:hAnsi="Arial"/>
                <w:sz w:val="14"/>
                <w:szCs w:val="14"/>
                <w:color w:val="auto"/>
              </w:rPr>
              <w:t xml:space="preserve">Harmony Foods Corporation </w:t>
            </w:r>
            <w:r>
              <w:rPr>
                <w:rFonts w:ascii="Arial" w:cs="Arial" w:eastAsia="Arial" w:hAnsi="Arial"/>
                <w:sz w:val="8"/>
                <w:szCs w:val="8"/>
                <w:color w:val="auto"/>
              </w:rPr>
              <w:t>(3)</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05/01/2016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89"/>
              </w:rPr>
              <w:t>Beverage, Food and</w:t>
            </w: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3"/>
              </w:rPr>
              <w:t>Tobacco</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40"/>
              <w:spacing w:after="0"/>
              <w:rPr>
                <w:sz w:val="20"/>
                <w:szCs w:val="20"/>
                <w:color w:val="auto"/>
              </w:rPr>
            </w:pPr>
            <w:r>
              <w:rPr>
                <w:rFonts w:ascii="Arial" w:cs="Arial" w:eastAsia="Arial" w:hAnsi="Arial"/>
                <w:sz w:val="14"/>
                <w:szCs w:val="14"/>
                <w:color w:val="auto"/>
              </w:rPr>
              <w:t>K2 Pure Solutions NoCal, L.P.</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09/10/2015</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2"/>
              </w:rPr>
              <w:t>Chemicals, Plastics and</w:t>
            </w: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Rubber</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0"/>
              <w:spacing w:after="0"/>
              <w:rPr>
                <w:sz w:val="20"/>
                <w:szCs w:val="20"/>
                <w:color w:val="auto"/>
              </w:rPr>
            </w:pPr>
            <w:r>
              <w:rPr>
                <w:rFonts w:ascii="Arial" w:cs="Arial" w:eastAsia="Arial" w:hAnsi="Arial"/>
                <w:sz w:val="14"/>
                <w:szCs w:val="14"/>
                <w:color w:val="auto"/>
              </w:rPr>
              <w:t>KAR Auction Services,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05/19/2017</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9"/>
              </w:rPr>
              <w:t>Automotive</w:t>
            </w: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 xml:space="preserve">KIK Custom Products Inc. </w:t>
            </w:r>
            <w:r>
              <w:rPr>
                <w:rFonts w:ascii="Arial" w:cs="Arial" w:eastAsia="Arial" w:hAnsi="Arial"/>
                <w:sz w:val="8"/>
                <w:szCs w:val="8"/>
                <w:color w:val="auto"/>
              </w:rPr>
              <w:t>(6)</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05/31/2014</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3"/>
              </w:rPr>
              <w:t>Consumer Goods: Non-</w:t>
            </w:r>
          </w:p>
        </w:tc>
        <w:tc>
          <w:tcPr>
            <w:tcW w:w="740" w:type="dxa"/>
            <w:vAlign w:val="bottom"/>
          </w:tcPr>
          <w:p>
            <w:pPr>
              <w:jc w:val="right"/>
              <w:spacing w:after="0"/>
              <w:rPr>
                <w:sz w:val="20"/>
                <w:szCs w:val="20"/>
                <w:color w:val="auto"/>
              </w:rPr>
            </w:pPr>
            <w:r>
              <w:rPr>
                <w:rFonts w:ascii="Arial" w:cs="Arial" w:eastAsia="Arial" w:hAnsi="Arial"/>
                <w:sz w:val="14"/>
                <w:szCs w:val="14"/>
                <w:color w:val="auto"/>
              </w:rPr>
              <w:t>8.50%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3"/>
              </w:rPr>
              <w:t>Durable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0"/>
              <w:spacing w:after="0"/>
              <w:rPr>
                <w:sz w:val="20"/>
                <w:szCs w:val="20"/>
                <w:color w:val="auto"/>
              </w:rPr>
            </w:pPr>
            <w:r>
              <w:rPr>
                <w:rFonts w:ascii="Arial" w:cs="Arial" w:eastAsia="Arial" w:hAnsi="Arial"/>
                <w:sz w:val="14"/>
                <w:szCs w:val="14"/>
                <w:color w:val="auto"/>
              </w:rPr>
              <w:t>Medpace Holdings,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06/17/2017</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89"/>
              </w:rPr>
              <w:t>Business Services</w:t>
            </w:r>
          </w:p>
        </w:tc>
        <w:tc>
          <w:tcPr>
            <w:tcW w:w="740" w:type="dxa"/>
            <w:vAlign w:val="bottom"/>
          </w:tcPr>
          <w:p>
            <w:pPr>
              <w:jc w:val="right"/>
              <w:spacing w:after="0"/>
              <w:rPr>
                <w:sz w:val="20"/>
                <w:szCs w:val="20"/>
                <w:color w:val="auto"/>
              </w:rPr>
            </w:pPr>
            <w:r>
              <w:rPr>
                <w:rFonts w:ascii="Arial" w:cs="Arial" w:eastAsia="Arial" w:hAnsi="Arial"/>
                <w:sz w:val="14"/>
                <w:szCs w:val="14"/>
                <w:color w:val="auto"/>
              </w:rPr>
              <w:t>6.50%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8"/>
                <w:szCs w:val="8"/>
                <w:color w:val="auto"/>
              </w:rPr>
              <w:t>(6)</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05/06/2018</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6"/>
              </w:rPr>
              <w:t>Media: Diversified and</w:t>
            </w:r>
          </w:p>
        </w:tc>
        <w:tc>
          <w:tcPr>
            <w:tcW w:w="740" w:type="dxa"/>
            <w:vAlign w:val="bottom"/>
          </w:tcPr>
          <w:p>
            <w:pPr>
              <w:jc w:val="right"/>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2"/>
              </w:rPr>
              <w:t>Production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40"/>
              <w:spacing w:after="0"/>
              <w:rPr>
                <w:sz w:val="20"/>
                <w:szCs w:val="20"/>
                <w:color w:val="auto"/>
              </w:rPr>
            </w:pPr>
            <w:r>
              <w:rPr>
                <w:rFonts w:ascii="Arial" w:cs="Arial" w:eastAsia="Arial" w:hAnsi="Arial"/>
                <w:sz w:val="14"/>
                <w:szCs w:val="14"/>
                <w:color w:val="auto"/>
              </w:rPr>
              <w:t>Penton Media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08/01/2014</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6"/>
              </w:rPr>
              <w:t>Media: Diversified and</w:t>
            </w: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2"/>
              </w:rPr>
              <w:t>Production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40"/>
              <w:spacing w:after="0" w:line="157" w:lineRule="exact"/>
              <w:rPr>
                <w:sz w:val="20"/>
                <w:szCs w:val="20"/>
                <w:color w:val="auto"/>
              </w:rPr>
            </w:pPr>
            <w:r>
              <w:rPr>
                <w:rFonts w:ascii="Arial" w:cs="Arial" w:eastAsia="Arial" w:hAnsi="Arial"/>
                <w:sz w:val="14"/>
                <w:szCs w:val="14"/>
                <w:color w:val="auto"/>
              </w:rPr>
              <w:t>Potter's Holdings II, L.P.</w:t>
            </w:r>
          </w:p>
        </w:tc>
        <w:tc>
          <w:tcPr>
            <w:tcW w:w="1020" w:type="dxa"/>
            <w:vAlign w:val="bottom"/>
          </w:tcPr>
          <w:p>
            <w:pPr>
              <w:jc w:val="center"/>
              <w:ind w:left="48"/>
              <w:spacing w:after="0" w:line="157" w:lineRule="exact"/>
              <w:rPr>
                <w:sz w:val="20"/>
                <w:szCs w:val="20"/>
                <w:color w:val="auto"/>
              </w:rPr>
            </w:pPr>
            <w:r>
              <w:rPr>
                <w:rFonts w:ascii="Arial" w:cs="Arial" w:eastAsia="Arial" w:hAnsi="Arial"/>
                <w:sz w:val="14"/>
                <w:szCs w:val="14"/>
                <w:color w:val="auto"/>
                <w:w w:val="94"/>
              </w:rPr>
              <w:t>05/06/2017</w:t>
            </w:r>
          </w:p>
        </w:tc>
        <w:tc>
          <w:tcPr>
            <w:tcW w:w="1700" w:type="dxa"/>
            <w:vAlign w:val="bottom"/>
          </w:tcPr>
          <w:p>
            <w:pPr>
              <w:jc w:val="center"/>
              <w:ind w:right="8"/>
              <w:spacing w:after="0" w:line="157" w:lineRule="exact"/>
              <w:rPr>
                <w:sz w:val="20"/>
                <w:szCs w:val="20"/>
                <w:color w:val="auto"/>
              </w:rPr>
            </w:pPr>
            <w:r>
              <w:rPr>
                <w:rFonts w:ascii="Arial" w:cs="Arial" w:eastAsia="Arial" w:hAnsi="Arial"/>
                <w:sz w:val="14"/>
                <w:szCs w:val="14"/>
                <w:color w:val="auto"/>
                <w:w w:val="92"/>
              </w:rPr>
              <w:t>Containers, Packaging</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6.00%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and Glass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0"/>
              <w:spacing w:after="0"/>
              <w:rPr>
                <w:sz w:val="20"/>
                <w:szCs w:val="20"/>
                <w:color w:val="auto"/>
              </w:rPr>
            </w:pPr>
            <w:r>
              <w:rPr>
                <w:rFonts w:ascii="Arial" w:cs="Arial" w:eastAsia="Arial" w:hAnsi="Arial"/>
                <w:sz w:val="14"/>
                <w:szCs w:val="14"/>
                <w:color w:val="auto"/>
              </w:rPr>
              <w:t>Securus Technologies,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05/31/2017</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Telecommunications</w:t>
            </w:r>
          </w:p>
        </w:tc>
        <w:tc>
          <w:tcPr>
            <w:tcW w:w="740" w:type="dxa"/>
            <w:vAlign w:val="bottom"/>
          </w:tcPr>
          <w:p>
            <w:pPr>
              <w:jc w:val="right"/>
              <w:spacing w:after="0"/>
              <w:rPr>
                <w:sz w:val="20"/>
                <w:szCs w:val="20"/>
                <w:color w:val="auto"/>
              </w:rPr>
            </w:pPr>
            <w:r>
              <w:rPr>
                <w:rFonts w:ascii="Arial" w:cs="Arial" w:eastAsia="Arial" w:hAnsi="Arial"/>
                <w:sz w:val="14"/>
                <w:szCs w:val="14"/>
                <w:color w:val="auto"/>
              </w:rPr>
              <w:t>5.25%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Select Medical Corporation</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06/01/2018</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89"/>
              </w:rPr>
              <w:t>Business Services</w:t>
            </w:r>
          </w:p>
        </w:tc>
        <w:tc>
          <w:tcPr>
            <w:tcW w:w="740" w:type="dxa"/>
            <w:vAlign w:val="bottom"/>
          </w:tcPr>
          <w:p>
            <w:pPr>
              <w:jc w:val="right"/>
              <w:spacing w:after="0"/>
              <w:rPr>
                <w:sz w:val="20"/>
                <w:szCs w:val="20"/>
                <w:color w:val="auto"/>
              </w:rPr>
            </w:pPr>
            <w:r>
              <w:rPr>
                <w:rFonts w:ascii="Arial" w:cs="Arial" w:eastAsia="Arial" w:hAnsi="Arial"/>
                <w:sz w:val="14"/>
                <w:szCs w:val="14"/>
                <w:color w:val="auto"/>
              </w:rPr>
              <w:t>5.50%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 xml:space="preserve">Seven Seas Cruises </w:t>
            </w:r>
            <w:r>
              <w:rPr>
                <w:rFonts w:ascii="Arial" w:cs="Arial" w:eastAsia="Arial" w:hAnsi="Arial"/>
                <w:sz w:val="8"/>
                <w:szCs w:val="8"/>
                <w:color w:val="auto"/>
              </w:rPr>
              <w:t>(3), (6)</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05/15/2019</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4"/>
              </w:rPr>
              <w:t>Hotel, Gaming and</w:t>
            </w:r>
          </w:p>
        </w:tc>
        <w:tc>
          <w:tcPr>
            <w:tcW w:w="740" w:type="dxa"/>
            <w:vAlign w:val="bottom"/>
          </w:tcPr>
          <w:p>
            <w:pPr>
              <w:jc w:val="right"/>
              <w:spacing w:after="0"/>
              <w:rPr>
                <w:sz w:val="20"/>
                <w:szCs w:val="20"/>
                <w:color w:val="auto"/>
              </w:rPr>
            </w:pPr>
            <w:r>
              <w:rPr>
                <w:rFonts w:ascii="Arial" w:cs="Arial" w:eastAsia="Arial" w:hAnsi="Arial"/>
                <w:sz w:val="14"/>
                <w:szCs w:val="14"/>
                <w:color w:val="auto"/>
              </w:rPr>
              <w:t>9.13%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Leisure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0"/>
              <w:spacing w:after="0"/>
              <w:rPr>
                <w:sz w:val="20"/>
                <w:szCs w:val="20"/>
                <w:color w:val="auto"/>
              </w:rPr>
            </w:pPr>
            <w:r>
              <w:rPr>
                <w:rFonts w:ascii="Arial" w:cs="Arial" w:eastAsia="Arial" w:hAnsi="Arial"/>
                <w:sz w:val="14"/>
                <w:szCs w:val="14"/>
                <w:color w:val="auto"/>
              </w:rPr>
              <w:t>Sotera Defense Solutions,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04/22/2017</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89"/>
              </w:rPr>
              <w:t>Aerospace and Defense</w:t>
            </w:r>
          </w:p>
        </w:tc>
        <w:tc>
          <w:tcPr>
            <w:tcW w:w="740" w:type="dxa"/>
            <w:vAlign w:val="bottom"/>
          </w:tcPr>
          <w:p>
            <w:pPr>
              <w:jc w:val="right"/>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Tank Intermediate Holding Corp.</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04/15/2016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2"/>
              </w:rPr>
              <w:t>Containers, Packaging</w:t>
            </w: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and Glass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0"/>
              <w:spacing w:after="0"/>
              <w:rPr>
                <w:sz w:val="20"/>
                <w:szCs w:val="20"/>
                <w:color w:val="auto"/>
              </w:rPr>
            </w:pPr>
            <w:r>
              <w:rPr>
                <w:rFonts w:ascii="Arial" w:cs="Arial" w:eastAsia="Arial" w:hAnsi="Arial"/>
                <w:sz w:val="14"/>
                <w:szCs w:val="14"/>
                <w:color w:val="auto"/>
              </w:rPr>
              <w:t>Triple Point Technology,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04/14/2016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4"/>
              </w:rPr>
              <w:t>High Tech Industries</w:t>
            </w:r>
          </w:p>
        </w:tc>
        <w:tc>
          <w:tcPr>
            <w:tcW w:w="740" w:type="dxa"/>
            <w:vAlign w:val="bottom"/>
          </w:tcPr>
          <w:p>
            <w:pPr>
              <w:jc w:val="right"/>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Univita Health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06/27/2017</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0"/>
              </w:rPr>
              <w:t>Consumer Services</w:t>
            </w:r>
          </w:p>
        </w:tc>
        <w:tc>
          <w:tcPr>
            <w:tcW w:w="740" w:type="dxa"/>
            <w:vAlign w:val="bottom"/>
          </w:tcPr>
          <w:p>
            <w:pPr>
              <w:jc w:val="right"/>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U.S. Healthworks Holding Company,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06/15/2016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0"/>
              </w:rPr>
              <w:t>Healthcare and</w:t>
            </w:r>
          </w:p>
        </w:tc>
        <w:tc>
          <w:tcPr>
            <w:tcW w:w="740" w:type="dxa"/>
            <w:vAlign w:val="bottom"/>
          </w:tcPr>
          <w:p>
            <w:pPr>
              <w:jc w:val="right"/>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0"/>
              </w:rPr>
              <w:t>Pharmaceuticals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40"/>
              <w:spacing w:after="0"/>
              <w:rPr>
                <w:sz w:val="20"/>
                <w:szCs w:val="20"/>
                <w:color w:val="auto"/>
              </w:rPr>
            </w:pPr>
            <w:r>
              <w:rPr>
                <w:rFonts w:ascii="Arial" w:cs="Arial" w:eastAsia="Arial" w:hAnsi="Arial"/>
                <w:sz w:val="14"/>
                <w:szCs w:val="14"/>
                <w:color w:val="auto"/>
              </w:rPr>
              <w:t>Valitas Health Services, Inc.</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06/03/2017</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0"/>
              </w:rPr>
              <w:t>Healthcare and</w:t>
            </w:r>
          </w:p>
        </w:tc>
        <w:tc>
          <w:tcPr>
            <w:tcW w:w="740" w:type="dxa"/>
            <w:vAlign w:val="bottom"/>
          </w:tcPr>
          <w:p>
            <w:pPr>
              <w:jc w:val="right"/>
              <w:spacing w:after="0"/>
              <w:rPr>
                <w:sz w:val="20"/>
                <w:szCs w:val="20"/>
                <w:color w:val="auto"/>
              </w:rPr>
            </w:pPr>
            <w:r>
              <w:rPr>
                <w:rFonts w:ascii="Arial" w:cs="Arial" w:eastAsia="Arial" w:hAnsi="Arial"/>
                <w:sz w:val="14"/>
                <w:szCs w:val="14"/>
                <w:color w:val="auto"/>
              </w:rPr>
              <w:t>5.75%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0"/>
              </w:rPr>
              <w:t>Pharmaceuticals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40"/>
              <w:spacing w:after="0"/>
              <w:rPr>
                <w:sz w:val="20"/>
                <w:szCs w:val="20"/>
                <w:color w:val="auto"/>
              </w:rPr>
            </w:pPr>
            <w:r>
              <w:rPr>
                <w:rFonts w:ascii="Arial" w:cs="Arial" w:eastAsia="Arial" w:hAnsi="Arial"/>
                <w:sz w:val="14"/>
                <w:szCs w:val="14"/>
                <w:color w:val="auto"/>
              </w:rPr>
              <w:t>Viamedia Services Corp.</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04/19/2016</w:t>
            </w: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Media: Advertising,</w:t>
            </w:r>
          </w:p>
        </w:tc>
        <w:tc>
          <w:tcPr>
            <w:tcW w:w="740" w:type="dxa"/>
            <w:vAlign w:val="bottom"/>
          </w:tcPr>
          <w:p>
            <w:pPr>
              <w:jc w:val="right"/>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3"/>
              </w:rPr>
              <w:t>Printing and Publishing</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0"/>
              <w:spacing w:after="0"/>
              <w:rPr>
                <w:sz w:val="20"/>
                <w:szCs w:val="20"/>
                <w:color w:val="auto"/>
              </w:rPr>
            </w:pPr>
            <w:r>
              <w:rPr>
                <w:rFonts w:ascii="Arial" w:cs="Arial" w:eastAsia="Arial" w:hAnsi="Arial"/>
                <w:sz w:val="14"/>
                <w:szCs w:val="14"/>
                <w:color w:val="auto"/>
              </w:rPr>
              <w:t>Virtual Radiologic Corporation</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12/22/2016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89"/>
              </w:rPr>
              <w:t>Business Services</w:t>
            </w:r>
          </w:p>
        </w:tc>
        <w:tc>
          <w:tcPr>
            <w:tcW w:w="74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40"/>
              <w:spacing w:after="0"/>
              <w:rPr>
                <w:sz w:val="20"/>
                <w:szCs w:val="20"/>
                <w:color w:val="auto"/>
              </w:rPr>
            </w:pPr>
            <w:r>
              <w:rPr>
                <w:rFonts w:ascii="Arial" w:cs="Arial" w:eastAsia="Arial" w:hAnsi="Arial"/>
                <w:sz w:val="14"/>
                <w:szCs w:val="14"/>
                <w:color w:val="auto"/>
              </w:rPr>
              <w:t xml:space="preserve">Yonkers Racing Corporation </w:t>
            </w:r>
            <w:r>
              <w:rPr>
                <w:rFonts w:ascii="Arial" w:cs="Arial" w:eastAsia="Arial" w:hAnsi="Arial"/>
                <w:sz w:val="8"/>
                <w:szCs w:val="8"/>
                <w:color w:val="auto"/>
              </w:rPr>
              <w:t>(3)</w:t>
            </w:r>
          </w:p>
        </w:tc>
        <w:tc>
          <w:tcPr>
            <w:tcW w:w="1020" w:type="dxa"/>
            <w:vAlign w:val="bottom"/>
          </w:tcPr>
          <w:p>
            <w:pPr>
              <w:jc w:val="center"/>
              <w:ind w:left="48"/>
              <w:spacing w:after="0"/>
              <w:rPr>
                <w:sz w:val="20"/>
                <w:szCs w:val="20"/>
                <w:color w:val="auto"/>
              </w:rPr>
            </w:pPr>
            <w:r>
              <w:rPr>
                <w:rFonts w:ascii="Arial" w:cs="Arial" w:eastAsia="Arial" w:hAnsi="Arial"/>
                <w:sz w:val="14"/>
                <w:szCs w:val="14"/>
                <w:color w:val="auto"/>
                <w:w w:val="94"/>
              </w:rPr>
              <w:t>07/15/2016</w:t>
            </w: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4"/>
              </w:rPr>
              <w:t>Hotel, Gaming and</w:t>
            </w:r>
          </w:p>
        </w:tc>
        <w:tc>
          <w:tcPr>
            <w:tcW w:w="740" w:type="dxa"/>
            <w:vAlign w:val="bottom"/>
          </w:tcPr>
          <w:p>
            <w:pPr>
              <w:jc w:val="right"/>
              <w:spacing w:after="0"/>
              <w:rPr>
                <w:sz w:val="20"/>
                <w:szCs w:val="20"/>
                <w:color w:val="auto"/>
              </w:rPr>
            </w:pPr>
            <w:r>
              <w:rPr>
                <w:rFonts w:ascii="Arial" w:cs="Arial" w:eastAsia="Arial" w:hAnsi="Arial"/>
                <w:sz w:val="14"/>
                <w:szCs w:val="14"/>
                <w:color w:val="auto"/>
              </w:rPr>
              <w:t>11.38%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color w:val="auto"/>
                <w:w w:val="91"/>
              </w:rPr>
              <w:t>Leisure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-5572125</wp:posOffset>
            </wp:positionV>
            <wp:extent cx="701230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230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-5220970</wp:posOffset>
            </wp:positionV>
            <wp:extent cx="701230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-4878070</wp:posOffset>
            </wp:positionV>
            <wp:extent cx="701230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230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-4432300</wp:posOffset>
            </wp:positionV>
            <wp:extent cx="70123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-4037965</wp:posOffset>
            </wp:positionV>
            <wp:extent cx="701230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230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-3592195</wp:posOffset>
            </wp:positionV>
            <wp:extent cx="70123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70123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-2803525</wp:posOffset>
            </wp:positionV>
            <wp:extent cx="701230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230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-2357755</wp:posOffset>
            </wp:positionV>
            <wp:extent cx="701230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012305"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230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-1620520</wp:posOffset>
            </wp:positionV>
            <wp:extent cx="701230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230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-1226185</wp:posOffset>
            </wp:positionV>
            <wp:extent cx="70123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01230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230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0123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0123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First Lien Secured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Basis Points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8"/>
              </w:rPr>
              <w:t>Above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8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9"/>
              </w:rPr>
              <w:t>Index</w:t>
            </w:r>
            <w:r>
              <w:rPr>
                <w:rFonts w:ascii="Arial" w:cs="Arial" w:eastAsia="Arial" w:hAnsi="Arial"/>
                <w:sz w:val="8"/>
                <w:szCs w:val="8"/>
                <w:b w:val="1"/>
                <w:bCs w:val="1"/>
                <w:color w:val="auto"/>
                <w:w w:val="99"/>
              </w:rPr>
              <w:t>(2)</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7"/>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L+800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1,604,762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1,610,211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1,616,798</w:t>
            </w:r>
          </w:p>
        </w:tc>
        <w:tc>
          <w:tcPr>
            <w:tcW w:w="0" w:type="dxa"/>
            <w:vAlign w:val="bottom"/>
          </w:tcPr>
          <w:p>
            <w:pPr>
              <w:spacing w:after="0"/>
              <w:rPr>
                <w:sz w:val="1"/>
                <w:szCs w:val="1"/>
                <w:color w:val="auto"/>
              </w:rPr>
            </w:pPr>
          </w:p>
        </w:tc>
      </w:tr>
      <w:tr>
        <w:trPr>
          <w:trHeight w:val="27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L+325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990,131</w:t>
            </w:r>
          </w:p>
        </w:tc>
        <w:tc>
          <w:tcPr>
            <w:tcW w:w="2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980,000</w:t>
            </w:r>
          </w:p>
        </w:tc>
        <w:tc>
          <w:tcPr>
            <w:tcW w:w="0" w:type="dxa"/>
            <w:vAlign w:val="bottom"/>
          </w:tcPr>
          <w:p>
            <w:pPr>
              <w:spacing w:after="0"/>
              <w:rPr>
                <w:sz w:val="1"/>
                <w:szCs w:val="1"/>
                <w:color w:val="auto"/>
              </w:rPr>
            </w:pPr>
          </w:p>
        </w:tc>
      </w:tr>
      <w:tr>
        <w:trPr>
          <w:trHeight w:val="31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L+988</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510,625</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507,709</w:t>
            </w:r>
          </w:p>
        </w:tc>
        <w:tc>
          <w:tcPr>
            <w:tcW w:w="0" w:type="dxa"/>
            <w:vAlign w:val="bottom"/>
          </w:tcPr>
          <w:p>
            <w:pPr>
              <w:spacing w:after="0"/>
              <w:rPr>
                <w:sz w:val="1"/>
                <w:szCs w:val="1"/>
                <w:color w:val="auto"/>
              </w:rPr>
            </w:pPr>
          </w:p>
        </w:tc>
      </w:tr>
      <w:tr>
        <w:trPr>
          <w:trHeight w:val="35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2,988,750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2,959,772</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2,958,863</w:t>
            </w:r>
          </w:p>
        </w:tc>
        <w:tc>
          <w:tcPr>
            <w:tcW w:w="0" w:type="dxa"/>
            <w:vAlign w:val="bottom"/>
          </w:tcPr>
          <w:p>
            <w:pPr>
              <w:spacing w:after="0"/>
              <w:rPr>
                <w:sz w:val="1"/>
                <w:szCs w:val="1"/>
                <w:color w:val="auto"/>
              </w:rPr>
            </w:pPr>
          </w:p>
        </w:tc>
      </w:tr>
      <w:tr>
        <w:trPr>
          <w:trHeight w:val="31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2,200,368</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2,178,282</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2,195,210</w:t>
            </w:r>
          </w:p>
        </w:tc>
        <w:tc>
          <w:tcPr>
            <w:tcW w:w="0" w:type="dxa"/>
            <w:vAlign w:val="bottom"/>
          </w:tcPr>
          <w:p>
            <w:pPr>
              <w:spacing w:after="0"/>
              <w:rPr>
                <w:sz w:val="1"/>
                <w:szCs w:val="1"/>
                <w:color w:val="auto"/>
              </w:rPr>
            </w:pPr>
          </w:p>
        </w:tc>
      </w:tr>
      <w:tr>
        <w:trPr>
          <w:trHeight w:val="31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L+550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2,970,411</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2,970,000</w:t>
            </w:r>
          </w:p>
        </w:tc>
        <w:tc>
          <w:tcPr>
            <w:tcW w:w="0" w:type="dxa"/>
            <w:vAlign w:val="bottom"/>
          </w:tcPr>
          <w:p>
            <w:pPr>
              <w:spacing w:after="0"/>
              <w:rPr>
                <w:sz w:val="1"/>
                <w:szCs w:val="1"/>
                <w:color w:val="auto"/>
              </w:rPr>
            </w:pPr>
          </w:p>
        </w:tc>
      </w:tr>
      <w:tr>
        <w:trPr>
          <w:trHeight w:val="283"/>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2,040,000</w:t>
            </w:r>
          </w:p>
        </w:tc>
        <w:tc>
          <w:tcPr>
            <w:tcW w:w="0" w:type="dxa"/>
            <w:vAlign w:val="bottom"/>
          </w:tcPr>
          <w:p>
            <w:pPr>
              <w:spacing w:after="0"/>
              <w:rPr>
                <w:sz w:val="1"/>
                <w:szCs w:val="1"/>
                <w:color w:val="auto"/>
              </w:rPr>
            </w:pPr>
          </w:p>
        </w:tc>
      </w:tr>
      <w:tr>
        <w:trPr>
          <w:trHeight w:val="419"/>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P+675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5,476,250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5,528,279</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5,448,869</w:t>
            </w:r>
          </w:p>
        </w:tc>
        <w:tc>
          <w:tcPr>
            <w:tcW w:w="0" w:type="dxa"/>
            <w:vAlign w:val="bottom"/>
          </w:tcPr>
          <w:p>
            <w:pPr>
              <w:spacing w:after="0"/>
              <w:rPr>
                <w:sz w:val="1"/>
                <w:szCs w:val="1"/>
                <w:color w:val="auto"/>
              </w:rPr>
            </w:pPr>
          </w:p>
        </w:tc>
      </w:tr>
      <w:tr>
        <w:trPr>
          <w:trHeight w:val="31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L+375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2,985,284</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3,005,625</w:t>
            </w:r>
          </w:p>
        </w:tc>
        <w:tc>
          <w:tcPr>
            <w:tcW w:w="0" w:type="dxa"/>
            <w:vAlign w:val="bottom"/>
          </w:tcPr>
          <w:p>
            <w:pPr>
              <w:spacing w:after="0"/>
              <w:rPr>
                <w:sz w:val="1"/>
                <w:szCs w:val="1"/>
                <w:color w:val="auto"/>
              </w:rPr>
            </w:pPr>
          </w:p>
        </w:tc>
      </w:tr>
      <w:tr>
        <w:trPr>
          <w:trHeight w:val="31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L+700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4,850,000</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4,900,000</w:t>
            </w:r>
          </w:p>
        </w:tc>
        <w:tc>
          <w:tcPr>
            <w:tcW w:w="0" w:type="dxa"/>
            <w:vAlign w:val="bottom"/>
          </w:tcPr>
          <w:p>
            <w:pPr>
              <w:spacing w:after="0"/>
              <w:rPr>
                <w:sz w:val="1"/>
                <w:szCs w:val="1"/>
                <w:color w:val="auto"/>
              </w:rPr>
            </w:pPr>
          </w:p>
        </w:tc>
      </w:tr>
      <w:tr>
        <w:trPr>
          <w:trHeight w:val="31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L+500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1,970,038</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1,975,000</w:t>
            </w:r>
          </w:p>
        </w:tc>
        <w:tc>
          <w:tcPr>
            <w:tcW w:w="0" w:type="dxa"/>
            <w:vAlign w:val="bottom"/>
          </w:tcPr>
          <w:p>
            <w:pPr>
              <w:spacing w:after="0"/>
              <w:rPr>
                <w:sz w:val="1"/>
                <w:szCs w:val="1"/>
                <w:color w:val="auto"/>
              </w:rPr>
            </w:pPr>
          </w:p>
        </w:tc>
      </w:tr>
      <w:tr>
        <w:trPr>
          <w:trHeight w:val="31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L+550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3,960,021</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3,930,000</w:t>
            </w:r>
          </w:p>
        </w:tc>
        <w:tc>
          <w:tcPr>
            <w:tcW w:w="0" w:type="dxa"/>
            <w:vAlign w:val="bottom"/>
          </w:tcPr>
          <w:p>
            <w:pPr>
              <w:spacing w:after="0"/>
              <w:rPr>
                <w:sz w:val="1"/>
                <w:szCs w:val="1"/>
                <w:color w:val="auto"/>
              </w:rPr>
            </w:pPr>
          </w:p>
        </w:tc>
      </w:tr>
      <w:tr>
        <w:trPr>
          <w:trHeight w:val="35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L+400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5,499,609</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4,614,699</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4,368,751</w:t>
            </w:r>
          </w:p>
        </w:tc>
        <w:tc>
          <w:tcPr>
            <w:tcW w:w="0" w:type="dxa"/>
            <w:vAlign w:val="bottom"/>
          </w:tcPr>
          <w:p>
            <w:pPr>
              <w:spacing w:after="0"/>
              <w:rPr>
                <w:sz w:val="1"/>
                <w:szCs w:val="1"/>
                <w:color w:val="auto"/>
              </w:rPr>
            </w:pPr>
          </w:p>
        </w:tc>
      </w:tr>
      <w:tr>
        <w:trPr>
          <w:trHeight w:val="35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L+450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1,980,378</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1,997,500</w:t>
            </w:r>
          </w:p>
        </w:tc>
        <w:tc>
          <w:tcPr>
            <w:tcW w:w="0" w:type="dxa"/>
            <w:vAlign w:val="bottom"/>
          </w:tcPr>
          <w:p>
            <w:pPr>
              <w:spacing w:after="0"/>
              <w:rPr>
                <w:sz w:val="1"/>
                <w:szCs w:val="1"/>
                <w:color w:val="auto"/>
              </w:rPr>
            </w:pPr>
          </w:p>
        </w:tc>
      </w:tr>
      <w:tr>
        <w:trPr>
          <w:trHeight w:val="31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L+400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2,970,195</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3,022,500</w:t>
            </w:r>
          </w:p>
        </w:tc>
        <w:tc>
          <w:tcPr>
            <w:tcW w:w="0" w:type="dxa"/>
            <w:vAlign w:val="bottom"/>
          </w:tcPr>
          <w:p>
            <w:pPr>
              <w:spacing w:after="0"/>
              <w:rPr>
                <w:sz w:val="1"/>
                <w:szCs w:val="1"/>
                <w:color w:val="auto"/>
              </w:rPr>
            </w:pPr>
          </w:p>
        </w:tc>
      </w:tr>
      <w:tr>
        <w:trPr>
          <w:trHeight w:val="27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L+375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2,970,241</w:t>
            </w:r>
          </w:p>
        </w:tc>
        <w:tc>
          <w:tcPr>
            <w:tcW w:w="2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2,940,000</w:t>
            </w:r>
          </w:p>
        </w:tc>
        <w:tc>
          <w:tcPr>
            <w:tcW w:w="0" w:type="dxa"/>
            <w:vAlign w:val="bottom"/>
          </w:tcPr>
          <w:p>
            <w:pPr>
              <w:spacing w:after="0"/>
              <w:rPr>
                <w:sz w:val="1"/>
                <w:szCs w:val="1"/>
                <w:color w:val="auto"/>
              </w:rPr>
            </w:pPr>
          </w:p>
        </w:tc>
      </w:tr>
      <w:tr>
        <w:trPr>
          <w:trHeight w:val="243"/>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3,090,000</w:t>
            </w:r>
          </w:p>
        </w:tc>
        <w:tc>
          <w:tcPr>
            <w:tcW w:w="0" w:type="dxa"/>
            <w:vAlign w:val="bottom"/>
          </w:tcPr>
          <w:p>
            <w:pPr>
              <w:spacing w:after="0"/>
              <w:rPr>
                <w:sz w:val="1"/>
                <w:szCs w:val="1"/>
                <w:color w:val="auto"/>
              </w:rPr>
            </w:pPr>
          </w:p>
        </w:tc>
      </w:tr>
      <w:tr>
        <w:trPr>
          <w:trHeight w:val="378"/>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L+550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2,971,063</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2,992,500</w:t>
            </w:r>
          </w:p>
        </w:tc>
        <w:tc>
          <w:tcPr>
            <w:tcW w:w="0" w:type="dxa"/>
            <w:vAlign w:val="bottom"/>
          </w:tcPr>
          <w:p>
            <w:pPr>
              <w:spacing w:after="0"/>
              <w:rPr>
                <w:sz w:val="1"/>
                <w:szCs w:val="1"/>
                <w:color w:val="auto"/>
              </w:rPr>
            </w:pPr>
          </w:p>
        </w:tc>
      </w:tr>
      <w:tr>
        <w:trPr>
          <w:trHeight w:val="31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L+375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1,886,792</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1,882,178</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1,886,792</w:t>
            </w:r>
          </w:p>
        </w:tc>
        <w:tc>
          <w:tcPr>
            <w:tcW w:w="0" w:type="dxa"/>
            <w:vAlign w:val="bottom"/>
          </w:tcPr>
          <w:p>
            <w:pPr>
              <w:spacing w:after="0"/>
              <w:rPr>
                <w:sz w:val="1"/>
                <w:szCs w:val="1"/>
                <w:color w:val="auto"/>
              </w:rPr>
            </w:pPr>
          </w:p>
        </w:tc>
      </w:tr>
      <w:tr>
        <w:trPr>
          <w:trHeight w:val="31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4,952,263</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7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2,970,000</w:t>
            </w:r>
          </w:p>
        </w:tc>
        <w:tc>
          <w:tcPr>
            <w:tcW w:w="2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2,970,000</w:t>
            </w:r>
          </w:p>
        </w:tc>
        <w:tc>
          <w:tcPr>
            <w:tcW w:w="0" w:type="dxa"/>
            <w:vAlign w:val="bottom"/>
          </w:tcPr>
          <w:p>
            <w:pPr>
              <w:spacing w:after="0"/>
              <w:rPr>
                <w:sz w:val="1"/>
                <w:szCs w:val="1"/>
                <w:color w:val="auto"/>
              </w:rPr>
            </w:pPr>
          </w:p>
        </w:tc>
      </w:tr>
      <w:tr>
        <w:trPr>
          <w:trHeight w:val="31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L+475</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2,970,099</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2,973,750</w:t>
            </w:r>
          </w:p>
        </w:tc>
        <w:tc>
          <w:tcPr>
            <w:tcW w:w="0" w:type="dxa"/>
            <w:vAlign w:val="bottom"/>
          </w:tcPr>
          <w:p>
            <w:pPr>
              <w:spacing w:after="0"/>
              <w:rPr>
                <w:sz w:val="1"/>
                <w:szCs w:val="1"/>
                <w:color w:val="auto"/>
              </w:rPr>
            </w:pPr>
          </w:p>
        </w:tc>
      </w:tr>
      <w:tr>
        <w:trPr>
          <w:trHeight w:val="35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L+450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1,492,617</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1,495,313</w:t>
            </w:r>
          </w:p>
        </w:tc>
        <w:tc>
          <w:tcPr>
            <w:tcW w:w="0" w:type="dxa"/>
            <w:vAlign w:val="bottom"/>
          </w:tcPr>
          <w:p>
            <w:pPr>
              <w:spacing w:after="0"/>
              <w:rPr>
                <w:sz w:val="1"/>
                <w:szCs w:val="1"/>
                <w:color w:val="auto"/>
              </w:rPr>
            </w:pPr>
          </w:p>
        </w:tc>
      </w:tr>
      <w:tr>
        <w:trPr>
          <w:trHeight w:val="351"/>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L+550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4,814,298</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4,814,062</w:t>
            </w:r>
          </w:p>
        </w:tc>
        <w:tc>
          <w:tcPr>
            <w:tcW w:w="0" w:type="dxa"/>
            <w:vAlign w:val="bottom"/>
          </w:tcPr>
          <w:p>
            <w:pPr>
              <w:spacing w:after="0"/>
              <w:rPr>
                <w:sz w:val="1"/>
                <w:szCs w:val="1"/>
                <w:color w:val="auto"/>
              </w:rPr>
            </w:pPr>
          </w:p>
        </w:tc>
      </w:tr>
      <w:tr>
        <w:trPr>
          <w:trHeight w:val="310"/>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P+450</w:t>
            </w:r>
          </w:p>
        </w:tc>
        <w:tc>
          <w:tcPr>
            <w:tcW w:w="24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2,970,000</w:t>
            </w:r>
          </w:p>
        </w:tc>
        <w:tc>
          <w:tcPr>
            <w:tcW w:w="2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2,955,000</w:t>
            </w:r>
          </w:p>
        </w:tc>
        <w:tc>
          <w:tcPr>
            <w:tcW w:w="0" w:type="dxa"/>
            <w:vAlign w:val="bottom"/>
          </w:tcPr>
          <w:p>
            <w:pPr>
              <w:spacing w:after="0"/>
              <w:rPr>
                <w:sz w:val="1"/>
                <w:szCs w:val="1"/>
                <w:color w:val="auto"/>
              </w:rPr>
            </w:pPr>
          </w:p>
        </w:tc>
      </w:tr>
      <w:tr>
        <w:trPr>
          <w:trHeight w:val="243"/>
        </w:trPr>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4,000,000</w:t>
            </w: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4,372,366</w:t>
            </w:r>
          </w:p>
        </w:tc>
        <w:tc>
          <w:tcPr>
            <w:tcW w:w="24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4,340,000</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77,443,451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77,374,242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80" w:space="100"/>
            <w:col w:w="4580"/>
          </w:cols>
          <w:pgMar w:left="320" w:top="125" w:right="519" w:bottom="1440" w:gutter="0" w:footer="0" w:header="0"/>
          <w:type w:val="continuous"/>
        </w:sect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060"/>
          </w:cols>
          <w:pgMar w:left="320" w:top="12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60"/>
          </w:cols>
          <w:pgMar w:left="320" w:top="125" w:right="5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Basis Points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Issuer Name</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9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Above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Par</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Coupon</w:t>
            </w:r>
          </w:p>
        </w:tc>
        <w:tc>
          <w:tcPr>
            <w:tcW w:w="3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(2)</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Second Lien Secured Debt — 8.7%</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260" w:type="dxa"/>
            <w:vAlign w:val="bottom"/>
            <w:gridSpan w:val="3"/>
          </w:tcPr>
          <w:p>
            <w:pPr>
              <w:ind w:left="40"/>
              <w:spacing w:after="0"/>
              <w:rPr>
                <w:sz w:val="20"/>
                <w:szCs w:val="20"/>
                <w:color w:val="auto"/>
              </w:rPr>
            </w:pPr>
            <w:r>
              <w:rPr>
                <w:rFonts w:ascii="Arial" w:cs="Arial" w:eastAsia="Arial" w:hAnsi="Arial"/>
                <w:sz w:val="14"/>
                <w:szCs w:val="14"/>
                <w:color w:val="auto"/>
              </w:rPr>
              <w:t>Ernest Health, Inc.</w:t>
            </w:r>
          </w:p>
        </w:tc>
        <w:tc>
          <w:tcPr>
            <w:tcW w:w="920" w:type="dxa"/>
            <w:vAlign w:val="bottom"/>
          </w:tcPr>
          <w:p>
            <w:pPr>
              <w:jc w:val="center"/>
              <w:ind w:right="28"/>
              <w:spacing w:after="0"/>
              <w:rPr>
                <w:sz w:val="20"/>
                <w:szCs w:val="20"/>
                <w:color w:val="auto"/>
              </w:rPr>
            </w:pPr>
            <w:r>
              <w:rPr>
                <w:rFonts w:ascii="Arial" w:cs="Arial" w:eastAsia="Arial" w:hAnsi="Arial"/>
                <w:sz w:val="14"/>
                <w:szCs w:val="14"/>
                <w:color w:val="auto"/>
                <w:w w:val="94"/>
              </w:rPr>
              <w:t>05/13/2017</w:t>
            </w:r>
          </w:p>
        </w:tc>
        <w:tc>
          <w:tcPr>
            <w:tcW w:w="1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Healthcare and</w:t>
            </w:r>
          </w:p>
        </w:tc>
        <w:tc>
          <w:tcPr>
            <w:tcW w:w="820" w:type="dxa"/>
            <w:vAlign w:val="bottom"/>
          </w:tcPr>
          <w:p>
            <w:pPr>
              <w:jc w:val="right"/>
              <w:spacing w:after="0"/>
              <w:rPr>
                <w:sz w:val="20"/>
                <w:szCs w:val="20"/>
                <w:color w:val="auto"/>
              </w:rPr>
            </w:pPr>
            <w:r>
              <w:rPr>
                <w:rFonts w:ascii="Arial" w:cs="Arial" w:eastAsia="Arial" w:hAnsi="Arial"/>
                <w:sz w:val="14"/>
                <w:szCs w:val="14"/>
                <w:color w:val="auto"/>
              </w:rPr>
              <w:t>10.25%</w:t>
            </w:r>
          </w:p>
        </w:tc>
        <w:tc>
          <w:tcPr>
            <w:tcW w:w="3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L+850</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(5)</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3,941,329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3,940,000</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Pharmaceuticals</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Gundle/SLT Environmental, Inc.</w:t>
            </w:r>
          </w:p>
        </w:tc>
        <w:tc>
          <w:tcPr>
            <w:tcW w:w="9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4"/>
              </w:rPr>
              <w:t>11/27/2016</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Environmental</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L+1,150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1,965,000</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Industries</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gridSpan w:val="3"/>
          </w:tcPr>
          <w:p>
            <w:pPr>
              <w:ind w:left="40"/>
              <w:spacing w:after="0"/>
              <w:rPr>
                <w:sz w:val="20"/>
                <w:szCs w:val="20"/>
                <w:color w:val="auto"/>
              </w:rPr>
            </w:pPr>
            <w:r>
              <w:rPr>
                <w:rFonts w:ascii="Arial" w:cs="Arial" w:eastAsia="Arial" w:hAnsi="Arial"/>
                <w:sz w:val="14"/>
                <w:szCs w:val="14"/>
                <w:color w:val="auto"/>
              </w:rPr>
              <w:t xml:space="preserve">Mood Media Corporation </w:t>
            </w:r>
            <w:r>
              <w:rPr>
                <w:rFonts w:ascii="Arial" w:cs="Arial" w:eastAsia="Arial" w:hAnsi="Arial"/>
                <w:sz w:val="8"/>
                <w:szCs w:val="8"/>
                <w:color w:val="auto"/>
              </w:rPr>
              <w:t>(6)</w:t>
            </w:r>
          </w:p>
        </w:tc>
        <w:tc>
          <w:tcPr>
            <w:tcW w:w="920" w:type="dxa"/>
            <w:vAlign w:val="bottom"/>
          </w:tcPr>
          <w:p>
            <w:pPr>
              <w:jc w:val="center"/>
              <w:ind w:right="28"/>
              <w:spacing w:after="0"/>
              <w:rPr>
                <w:sz w:val="20"/>
                <w:szCs w:val="20"/>
                <w:color w:val="auto"/>
              </w:rPr>
            </w:pPr>
            <w:r>
              <w:rPr>
                <w:rFonts w:ascii="Arial" w:cs="Arial" w:eastAsia="Arial" w:hAnsi="Arial"/>
                <w:sz w:val="14"/>
                <w:szCs w:val="14"/>
                <w:color w:val="auto"/>
                <w:w w:val="94"/>
              </w:rPr>
              <w:t>11/06/2018</w:t>
            </w: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Media: Diversified</w:t>
            </w:r>
          </w:p>
        </w:tc>
        <w:tc>
          <w:tcPr>
            <w:tcW w:w="820" w:type="dxa"/>
            <w:vAlign w:val="bottom"/>
          </w:tcPr>
          <w:p>
            <w:pPr>
              <w:jc w:val="right"/>
              <w:spacing w:after="0"/>
              <w:rPr>
                <w:sz w:val="20"/>
                <w:szCs w:val="20"/>
                <w:color w:val="auto"/>
              </w:rPr>
            </w:pPr>
            <w:r>
              <w:rPr>
                <w:rFonts w:ascii="Arial" w:cs="Arial" w:eastAsia="Arial" w:hAnsi="Arial"/>
                <w:sz w:val="14"/>
                <w:szCs w:val="14"/>
                <w:color w:val="auto"/>
              </w:rPr>
              <w:t>10.25%</w:t>
            </w:r>
          </w:p>
        </w:tc>
        <w:tc>
          <w:tcPr>
            <w:tcW w:w="3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L+875</w:t>
            </w:r>
          </w:p>
        </w:tc>
        <w:tc>
          <w:tcPr>
            <w:tcW w:w="200" w:type="dxa"/>
            <w:vAlign w:val="bottom"/>
          </w:tcPr>
          <w:p>
            <w:pPr>
              <w:jc w:val="right"/>
              <w:ind w:right="15"/>
              <w:spacing w:after="0"/>
              <w:rPr>
                <w:sz w:val="20"/>
                <w:szCs w:val="20"/>
                <w:color w:val="auto"/>
              </w:rPr>
            </w:pPr>
            <w:r>
              <w:rPr>
                <w:rFonts w:ascii="Arial" w:cs="Arial" w:eastAsia="Arial" w:hAnsi="Arial"/>
                <w:sz w:val="9"/>
                <w:szCs w:val="9"/>
                <w:color w:val="auto"/>
              </w:rPr>
              <w:t>(5)</w:t>
            </w:r>
          </w:p>
        </w:tc>
        <w:tc>
          <w:tcPr>
            <w:tcW w:w="2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1,485,003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1,479,375</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and Production</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Sensus USA, Inc.</w:t>
            </w:r>
          </w:p>
        </w:tc>
        <w:tc>
          <w:tcPr>
            <w:tcW w:w="92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4"/>
              </w:rPr>
              <w:t>05/09/2018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Utilities: Water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L+725</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990,213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1,015,000</w:t>
            </w: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Total Second Lien Secured Debt</w:t>
            </w:r>
          </w:p>
        </w:tc>
        <w:tc>
          <w:tcPr>
            <w:tcW w:w="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8,376,545</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8,399,375</w:t>
            </w:r>
          </w:p>
        </w:tc>
        <w:tc>
          <w:tcPr>
            <w:tcW w:w="0" w:type="dxa"/>
            <w:vAlign w:val="bottom"/>
          </w:tcPr>
          <w:p>
            <w:pPr>
              <w:spacing w:after="0"/>
              <w:rPr>
                <w:sz w:val="1"/>
                <w:szCs w:val="1"/>
                <w:color w:val="auto"/>
              </w:rPr>
            </w:pPr>
          </w:p>
        </w:tc>
      </w:tr>
      <w:tr>
        <w:trPr>
          <w:trHeight w:val="249"/>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Subordinated Debt/Corporate Notes — 1.6%</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94"/>
              </w:rPr>
              <w:t>11/15/2015</w:t>
            </w:r>
          </w:p>
        </w:tc>
        <w:tc>
          <w:tcPr>
            <w:tcW w:w="120" w:type="dxa"/>
            <w:vAlign w:val="bottom"/>
          </w:tcPr>
          <w:p>
            <w:pPr>
              <w:spacing w:after="0"/>
              <w:rPr>
                <w:sz w:val="13"/>
                <w:szCs w:val="13"/>
                <w:color w:val="auto"/>
              </w:rPr>
            </w:pPr>
          </w:p>
        </w:tc>
        <w:tc>
          <w:tcPr>
            <w:tcW w:w="14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1"/>
              </w:rPr>
              <w:t>Consumer Goods:</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11.63%</w:t>
            </w:r>
          </w:p>
        </w:tc>
        <w:tc>
          <w:tcPr>
            <w:tcW w:w="340" w:type="dxa"/>
            <w:vAlign w:val="bottom"/>
          </w:tcPr>
          <w:p>
            <w:pPr>
              <w:spacing w:after="0"/>
              <w:rPr>
                <w:sz w:val="13"/>
                <w:szCs w:val="13"/>
                <w:color w:val="auto"/>
              </w:rPr>
            </w:pPr>
          </w:p>
        </w:tc>
        <w:tc>
          <w:tcPr>
            <w:tcW w:w="7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1,525,965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8"/>
                <w:szCs w:val="8"/>
                <w:color w:val="auto"/>
              </w:rPr>
              <w:t>(3)</w:t>
            </w: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5"/>
              </w:rPr>
              <w:t>Non-Durable</w:t>
            </w:r>
          </w:p>
        </w:tc>
        <w:tc>
          <w:tcPr>
            <w:tcW w:w="8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Subordinated Debt/Corporate Notes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1,525,965</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gridSpan w:val="7"/>
          </w:tcPr>
          <w:p>
            <w:pPr>
              <w:ind w:left="40"/>
              <w:spacing w:after="0"/>
              <w:rPr>
                <w:sz w:val="20"/>
                <w:szCs w:val="20"/>
                <w:color w:val="auto"/>
              </w:rPr>
            </w:pPr>
            <w:r>
              <w:rPr>
                <w:rFonts w:ascii="Arial" w:cs="Arial" w:eastAsia="Arial" w:hAnsi="Arial"/>
                <w:sz w:val="14"/>
                <w:szCs w:val="14"/>
                <w:b w:val="1"/>
                <w:bCs w:val="1"/>
                <w:color w:val="auto"/>
              </w:rPr>
              <w:t>Total Investments in Non-Controlled, Non-Affiliated Portfolio Companies — 90.6%</w:t>
            </w:r>
          </w:p>
        </w:tc>
        <w:tc>
          <w:tcPr>
            <w:tcW w:w="8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87,345,961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87,273,617</w:t>
            </w:r>
          </w:p>
        </w:tc>
        <w:tc>
          <w:tcPr>
            <w:tcW w:w="0" w:type="dxa"/>
            <w:vAlign w:val="bottom"/>
          </w:tcPr>
          <w:p>
            <w:pPr>
              <w:spacing w:after="0"/>
              <w:rPr>
                <w:sz w:val="1"/>
                <w:szCs w:val="1"/>
                <w:color w:val="auto"/>
              </w:rPr>
            </w:pPr>
          </w:p>
        </w:tc>
      </w:tr>
      <w:tr>
        <w:trPr>
          <w:trHeight w:val="250"/>
        </w:trPr>
        <w:tc>
          <w:tcPr>
            <w:tcW w:w="3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Equivalents — 10.9%</w:t>
            </w: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10,451,169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10,451,169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10,451,169</w:t>
            </w:r>
          </w:p>
        </w:tc>
        <w:tc>
          <w:tcPr>
            <w:tcW w:w="0" w:type="dxa"/>
            <w:vAlign w:val="bottom"/>
          </w:tcPr>
          <w:p>
            <w:pPr>
              <w:spacing w:after="0"/>
              <w:rPr>
                <w:sz w:val="1"/>
                <w:szCs w:val="1"/>
                <w:color w:val="auto"/>
              </w:rPr>
            </w:pPr>
          </w:p>
        </w:tc>
      </w:tr>
      <w:tr>
        <w:trPr>
          <w:trHeight w:val="283"/>
        </w:trPr>
        <w:tc>
          <w:tcPr>
            <w:tcW w:w="3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w w:val="94"/>
              </w:rPr>
              <w:t>Total Investments and Cash Equivalents — 101.5%</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97,797,130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97,724,786</w:t>
            </w:r>
          </w:p>
        </w:tc>
        <w:tc>
          <w:tcPr>
            <w:tcW w:w="0" w:type="dxa"/>
            <w:vAlign w:val="bottom"/>
          </w:tcPr>
          <w:p>
            <w:pPr>
              <w:spacing w:after="0"/>
              <w:rPr>
                <w:sz w:val="1"/>
                <w:szCs w:val="1"/>
                <w:color w:val="auto"/>
              </w:rPr>
            </w:pPr>
          </w:p>
        </w:tc>
      </w:tr>
      <w:tr>
        <w:trPr>
          <w:trHeight w:val="244"/>
        </w:trPr>
        <w:tc>
          <w:tcPr>
            <w:tcW w:w="32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in Excess of Other Assets—(1.5%)</w:t>
            </w: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(1,421,247)</w:t>
            </w:r>
          </w:p>
        </w:tc>
        <w:tc>
          <w:tcPr>
            <w:tcW w:w="0" w:type="dxa"/>
            <w:vAlign w:val="bottom"/>
          </w:tcPr>
          <w:p>
            <w:pPr>
              <w:spacing w:after="0"/>
              <w:rPr>
                <w:sz w:val="1"/>
                <w:szCs w:val="1"/>
                <w:color w:val="auto"/>
              </w:rPr>
            </w:pPr>
          </w:p>
        </w:tc>
      </w:tr>
      <w:tr>
        <w:trPr>
          <w:trHeight w:val="243"/>
        </w:trPr>
        <w:tc>
          <w:tcPr>
            <w:tcW w:w="326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Assets—100.0%</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96,303,539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w:t>
      </w:r>
    </w:p>
    <w:p>
      <w:pPr>
        <w:ind w:left="660" w:hanging="652"/>
        <w:spacing w:after="0" w:line="185" w:lineRule="auto"/>
        <w:tabs>
          <w:tab w:leader="none" w:pos="660" w:val="left"/>
        </w:tabs>
        <w:numPr>
          <w:ilvl w:val="0"/>
          <w:numId w:val="3"/>
        </w:numPr>
        <w:rPr>
          <w:rFonts w:ascii="Arial" w:cs="Arial" w:eastAsia="Arial" w:hAnsi="Arial"/>
          <w:sz w:val="21"/>
          <w:szCs w:val="21"/>
          <w:color w:val="auto"/>
          <w:vertAlign w:val="subscript"/>
        </w:rPr>
      </w:pPr>
      <w:r>
        <w:rPr>
          <w:rFonts w:ascii="Arial" w:cs="Arial" w:eastAsia="Arial" w:hAnsi="Arial"/>
          <w:sz w:val="11"/>
          <w:szCs w:val="11"/>
          <w:color w:val="auto"/>
        </w:rPr>
        <w:t>Valued based on the Company's valuation policy. See Note 2.</w:t>
      </w:r>
    </w:p>
    <w:p>
      <w:pPr>
        <w:spacing w:after="0" w:line="46" w:lineRule="exact"/>
        <w:rPr>
          <w:rFonts w:ascii="Arial" w:cs="Arial" w:eastAsia="Arial" w:hAnsi="Arial"/>
          <w:sz w:val="21"/>
          <w:szCs w:val="21"/>
          <w:color w:val="auto"/>
          <w:vertAlign w:val="subscript"/>
        </w:rPr>
      </w:pPr>
    </w:p>
    <w:p>
      <w:pPr>
        <w:ind w:left="660" w:right="340" w:hanging="652"/>
        <w:spacing w:after="0"/>
        <w:tabs>
          <w:tab w:leader="none" w:pos="660" w:val="left"/>
        </w:tabs>
        <w:numPr>
          <w:ilvl w:val="0"/>
          <w:numId w:val="3"/>
        </w:numPr>
        <w:rPr>
          <w:rFonts w:ascii="Arial" w:cs="Arial" w:eastAsia="Arial" w:hAnsi="Arial"/>
          <w:sz w:val="23"/>
          <w:szCs w:val="23"/>
          <w:color w:val="auto"/>
          <w:vertAlign w:val="subscript"/>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(LIBOR or “L”) or Prime Rate (Prime or “P”).</w:t>
      </w:r>
    </w:p>
    <w:p>
      <w:pPr>
        <w:spacing w:after="0" w:line="32" w:lineRule="exact"/>
        <w:rPr>
          <w:rFonts w:ascii="Arial" w:cs="Arial" w:eastAsia="Arial" w:hAnsi="Arial"/>
          <w:sz w:val="23"/>
          <w:szCs w:val="23"/>
          <w:color w:val="auto"/>
          <w:vertAlign w:val="subscript"/>
        </w:rPr>
      </w:pPr>
    </w:p>
    <w:p>
      <w:pPr>
        <w:ind w:left="660" w:right="200" w:hanging="652"/>
        <w:spacing w:after="0" w:line="182" w:lineRule="auto"/>
        <w:tabs>
          <w:tab w:leader="none" w:pos="660" w:val="left"/>
        </w:tabs>
        <w:numPr>
          <w:ilvl w:val="0"/>
          <w:numId w:val="3"/>
        </w:numPr>
        <w:rPr>
          <w:rFonts w:ascii="Arial" w:cs="Arial" w:eastAsia="Arial" w:hAnsi="Arial"/>
          <w:sz w:val="23"/>
          <w:szCs w:val="23"/>
          <w:color w:val="auto"/>
          <w:vertAlign w:val="subscript"/>
        </w:rPr>
      </w:pPr>
      <w:r>
        <w:rPr>
          <w:rFonts w:ascii="Arial" w:cs="Arial" w:eastAsia="Arial" w:hAnsi="Arial"/>
          <w:sz w:val="11"/>
          <w:szCs w:val="11"/>
          <w:color w:val="auto"/>
        </w:rPr>
        <w:t>Security is exempt from registration or not subject to registration under Rule 144A promulgated under the Securities Act of 1933. The security may be resold in transactions that are exempt from registration, usually to qualified institutional buyers.</w:t>
      </w:r>
    </w:p>
    <w:p>
      <w:pPr>
        <w:ind w:left="660" w:hanging="652"/>
        <w:spacing w:after="0" w:line="186" w:lineRule="auto"/>
        <w:tabs>
          <w:tab w:leader="none" w:pos="660" w:val="left"/>
        </w:tabs>
        <w:numPr>
          <w:ilvl w:val="0"/>
          <w:numId w:val="3"/>
        </w:numPr>
        <w:rPr>
          <w:rFonts w:ascii="Arial" w:cs="Arial" w:eastAsia="Arial" w:hAnsi="Arial"/>
          <w:sz w:val="19"/>
          <w:szCs w:val="19"/>
          <w:color w:val="auto"/>
          <w:vertAlign w:val="subscript"/>
        </w:rPr>
      </w:pPr>
      <w:r>
        <w:rPr>
          <w:rFonts w:ascii="Arial" w:cs="Arial" w:eastAsia="Arial" w:hAnsi="Arial"/>
          <w:sz w:val="10"/>
          <w:szCs w:val="10"/>
          <w:color w:val="auto"/>
        </w:rPr>
        <w:t>Coupon is payable in cash and/or payable in-kind (“PIK”).</w:t>
      </w:r>
    </w:p>
    <w:p>
      <w:pPr>
        <w:spacing w:after="0" w:line="46" w:lineRule="exact"/>
        <w:rPr>
          <w:rFonts w:ascii="Arial" w:cs="Arial" w:eastAsia="Arial" w:hAnsi="Arial"/>
          <w:sz w:val="19"/>
          <w:szCs w:val="19"/>
          <w:color w:val="auto"/>
          <w:vertAlign w:val="subscript"/>
        </w:rPr>
      </w:pPr>
    </w:p>
    <w:p>
      <w:pPr>
        <w:ind w:left="660" w:hanging="652"/>
        <w:spacing w:after="0" w:line="186" w:lineRule="auto"/>
        <w:tabs>
          <w:tab w:leader="none" w:pos="660" w:val="left"/>
        </w:tabs>
        <w:numPr>
          <w:ilvl w:val="0"/>
          <w:numId w:val="3"/>
        </w:numPr>
        <w:rPr>
          <w:rFonts w:ascii="Arial" w:cs="Arial" w:eastAsia="Arial" w:hAnsi="Arial"/>
          <w:sz w:val="19"/>
          <w:szCs w:val="19"/>
          <w:color w:val="auto"/>
          <w:vertAlign w:val="subscript"/>
        </w:rPr>
      </w:pPr>
      <w:r>
        <w:rPr>
          <w:rFonts w:ascii="Arial" w:cs="Arial" w:eastAsia="Arial" w:hAnsi="Arial"/>
          <w:sz w:val="10"/>
          <w:szCs w:val="10"/>
          <w:color w:val="auto"/>
        </w:rPr>
        <w:t>Coupon is subject to a LIBOR or a Prime rate floor.</w:t>
      </w:r>
    </w:p>
    <w:p>
      <w:pPr>
        <w:spacing w:after="0" w:line="46" w:lineRule="exact"/>
        <w:rPr>
          <w:rFonts w:ascii="Arial" w:cs="Arial" w:eastAsia="Arial" w:hAnsi="Arial"/>
          <w:sz w:val="19"/>
          <w:szCs w:val="19"/>
          <w:color w:val="auto"/>
          <w:vertAlign w:val="subscript"/>
        </w:rPr>
      </w:pPr>
    </w:p>
    <w:p>
      <w:pPr>
        <w:ind w:left="660" w:hanging="652"/>
        <w:spacing w:after="0" w:line="186" w:lineRule="auto"/>
        <w:tabs>
          <w:tab w:leader="none" w:pos="660" w:val="left"/>
        </w:tabs>
        <w:numPr>
          <w:ilvl w:val="0"/>
          <w:numId w:val="3"/>
        </w:numPr>
        <w:rPr>
          <w:rFonts w:ascii="Arial" w:cs="Arial" w:eastAsia="Arial" w:hAnsi="Arial"/>
          <w:sz w:val="19"/>
          <w:szCs w:val="19"/>
          <w:color w:val="auto"/>
          <w:vertAlign w:val="subscript"/>
        </w:rPr>
      </w:pPr>
      <w:r>
        <w:rPr>
          <w:rFonts w:ascii="Arial" w:cs="Arial" w:eastAsia="Arial" w:hAnsi="Arial"/>
          <w:sz w:val="10"/>
          <w:szCs w:val="10"/>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PennantPark Floating Rate Capital Ltd. was organized as a Maryland corporation on October 28, 2010. The Company is a closed-end, externally managed, non-diversified investment company that has elected to be treated as a business development company under the Investment Company Act of 1940, as amended (the “1940 Act”).</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investment objective is to generate high current income. We will seek to achieve our investment objective by investing primarily in floating rate loans and other instruments made to private middle-market companies whose debt is rated below investment grade. “Floating Rate Loans” are defined as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3"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On April 13, 2011, PennantPark Floating Rate Capital Ltd. closed its initial public offering and our common stock trades on the NASDAQ Global Select Market under the symbol “PFLT”. The Company entered into an investment management agreement (the “Investment Management Agreement”) with PennantPark Investment Advisers, LLC (the “Investment Adviser” or “Adviser”), an external adviser that manages our day-to-day operations. The Company also entered into an administration agreement (the “Administration Agreement”) with PennantPark Investment Administration, LLC (the “Administrator”) that provides the administrative services necessary for us to operate.</w:t>
      </w:r>
    </w:p>
    <w:p>
      <w:pPr>
        <w:spacing w:after="0" w:line="176" w:lineRule="exact"/>
        <w:rPr>
          <w:sz w:val="20"/>
          <w:szCs w:val="20"/>
          <w:color w:val="auto"/>
        </w:rPr>
      </w:pPr>
    </w:p>
    <w:p>
      <w:pPr>
        <w:ind w:firstLine="391"/>
        <w:spacing w:after="0" w:line="273" w:lineRule="auto"/>
        <w:rPr>
          <w:sz w:val="20"/>
          <w:szCs w:val="20"/>
          <w:color w:val="auto"/>
        </w:rPr>
      </w:pPr>
      <w:r>
        <w:rPr>
          <w:rFonts w:ascii="Arial" w:cs="Arial" w:eastAsia="Arial" w:hAnsi="Arial"/>
          <w:sz w:val="17"/>
          <w:szCs w:val="17"/>
          <w:color w:val="auto"/>
        </w:rPr>
        <w:t>Funding I, a wholly owned subsidiary of the Company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The five-year Credit Facility allows Funding I to borrow up to $100.0 million at LIBOR plus 225 basis points during the revolving period. The Credit Facility will be secured by all of the assets held by Funding I. See Note 9.</w:t>
      </w:r>
    </w:p>
    <w:p>
      <w:pPr>
        <w:spacing w:after="0" w:line="124" w:lineRule="exact"/>
        <w:rPr>
          <w:sz w:val="20"/>
          <w:szCs w:val="20"/>
          <w:color w:val="auto"/>
        </w:rPr>
      </w:pPr>
    </w:p>
    <w:p>
      <w:pPr>
        <w:ind w:right="40" w:firstLine="391"/>
        <w:spacing w:after="0" w:line="296" w:lineRule="auto"/>
        <w:rPr>
          <w:sz w:val="20"/>
          <w:szCs w:val="20"/>
          <w:color w:val="auto"/>
        </w:rPr>
      </w:pPr>
      <w:r>
        <w:rPr>
          <w:rFonts w:ascii="Arial" w:cs="Arial" w:eastAsia="Arial" w:hAnsi="Arial"/>
          <w:sz w:val="16"/>
          <w:szCs w:val="16"/>
          <w:color w:val="auto"/>
        </w:rPr>
        <w:t>On April 13, 2011, we closed our initial public offering of 6,700,000 shares, and on May 11, 2011 the underwriters exercised their overallotment option and purchased an additional 150,000 shares, resulting in total gross proceeds of $102.7 million. After deducting the underwriters' discount (“sales load”) of $5.1 million, we received net proceeds of $97.6 million from its initial public offering. Additionally, offering costs paid by us were estimated at $1.0 million. The underwriters agreed to reimburse, and have paid us, $0.4 million of the estimated $1.0 million of offering expenses we estimated in connection with this offering. On March 4, 2011, the Company sold 667 shares of common stock for $10,000 ($15.00 per share) to the Investment Adviser.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 of our consolidated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(“ASC”) serve as a single source of accounting literature. Subsequent events are evaluated and disclosed as appropriate for events occurring through the date the Consolidated Financial Statements are issued.</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Our Consolidated Financial Statements are prepared in accordance with GAAP and pursuant to the requirements for reporting on Form 10-Q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generally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w:t>
      </w:r>
    </w:p>
    <w:p>
      <w:pPr>
        <w:spacing w:after="0" w:line="15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0" w:lineRule="exact"/>
        <w:rPr>
          <w:sz w:val="20"/>
          <w:szCs w:val="20"/>
          <w:color w:val="auto"/>
        </w:rPr>
      </w:pPr>
    </w:p>
    <w:p>
      <w:pPr>
        <w:ind w:left="660" w:right="2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86"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80" w:right="266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7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premiums on loans and debt investments as income. Dividend income, if any, is recognized on an accrual basis on the ex-dividend date to the extent that we expect to collect such amounts.</w:t>
      </w:r>
    </w:p>
    <w:p>
      <w:pPr>
        <w:spacing w:after="0" w:line="15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 Income Taxes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Since March 4, 2011, PennantPark Floating Rate Capital Ltd. has complied with the requirements of Subchapter M of the Internal Revenue Code of 1986, as amended, (the “Code”), and expects to be subject to tax as a regulated investment company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Book and tax basis differences relating to permanent book and tax differences are reclassified among the Company's capital accounts, as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tax characteristics of distributions are determined in accordance with income tax regulations that may differ from GAAP.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77"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7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consolidate the results of Funding I, a special purpose entity, in these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8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Company's Investment Management Agreement with the Investment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w:t>
      </w:r>
      <w:r>
        <w:rPr>
          <w:rFonts w:ascii="Arial" w:cs="Arial" w:eastAsia="Arial" w:hAnsi="Arial"/>
          <w:sz w:val="18"/>
          <w:szCs w:val="18"/>
          <w:color w:val="1F497D"/>
        </w:rPr>
        <w:t>s</w:t>
      </w:r>
      <w:r>
        <w:rPr>
          <w:rFonts w:ascii="Arial" w:cs="Arial" w:eastAsia="Arial" w:hAnsi="Arial"/>
          <w:sz w:val="18"/>
          <w:szCs w:val="18"/>
          <w:color w:val="auto"/>
        </w:rPr>
        <w:t xml:space="preserve">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w:t>
      </w:r>
      <w:r>
        <w:rPr>
          <w:rFonts w:ascii="Arial" w:cs="Arial" w:eastAsia="Arial" w:hAnsi="Arial"/>
          <w:sz w:val="18"/>
          <w:szCs w:val="18"/>
          <w:b w:val="1"/>
          <w:bCs w:val="1"/>
          <w:color w:val="auto"/>
        </w:rPr>
        <w:t>–</w:t>
      </w:r>
      <w:r>
        <w:rPr>
          <w:rFonts w:ascii="Arial" w:cs="Arial" w:eastAsia="Arial" w:hAnsi="Arial"/>
          <w:sz w:val="18"/>
          <w:szCs w:val="18"/>
          <w:color w:val="auto"/>
        </w:rPr>
        <w:t>a base management fee and an incentive fee (collectively, “Management Fees”).</w:t>
      </w:r>
    </w:p>
    <w:p>
      <w:pPr>
        <w:spacing w:after="0" w:line="15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base management fee is calculated at an annual rate of 1.00% on the Company's gross assets and is payable quarterly in arrears. 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June 30, 2011, the Investment Adviser earned a base management fee of $0.1 million, from 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has two parts, as follows:</w:t>
      </w:r>
    </w:p>
    <w:p>
      <w:pPr>
        <w:spacing w:after="0" w:line="185"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 that portion of such Pre-Incentive Fee Net Investment Income, if any, that exceeds the hurdle rate but is less than</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the Company's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performance based incentive fee on capital gains due to our investment adviser as calculated under the Investment Management Agreement (as described above) for the period from March 4, 2011 (Commencement of Operations) to June 30, 2011 resulted in no accrual. However, in accordance with GAAP, the Company accrued a capital gains incentive fee of approximately $0.1 million for the period from March 4, 2011 (Commencement of Operations) to June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negative, then there is no accrual for such year. There can be no assurance that such unrealized capital appreciation will be realized in the future.</w:t>
      </w:r>
    </w:p>
    <w:p>
      <w:pPr>
        <w:spacing w:after="0" w:line="19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entered into an Administration Agreement with the Administrator which was approved by our board of directors, including a majority of the independent directors, in March 2011. Under this agreement, the Administrator provides administration services to the Company.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the Company is required to offer such assistance. Reimbursement for certain of these costs is included in administrative services expenses in the Consolidated Statement of Operations. For the period from March 4, 2011 (Commencement of Operations) to June 30, 2011, the Investment Adviser was reimbursed approximately $0.1 million, from us, including expenses it incurred on behalf of the Administrator, for services described above.</w:t>
      </w:r>
    </w:p>
    <w:p>
      <w:pPr>
        <w:spacing w:after="0" w:line="8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Investment Adviser has paid to the underwriters 2% of the sales load, or $2.1 million in the aggregate, with respect to the initial public offering and exercise of the over-allotment option of shares of our common stock. We (and indirectly our stockholders) will be obligated to repay this amount (a) if during any four consecutive calendar quarter-periods ending on or after the one year anniversary of the closing of our initial public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June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Purchases of long-term investments, including PIK, for the period from March 4, 2011 (Commencement of Operations) to June 30, 2011 totaled $114.9 million. Sales and repayments of long-term investments for the period from March 4, 2011 (Commencement of Operations) to June 30, 2011 totaled $27.8 million.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June 30, 2011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lien</w:t>
            </w:r>
          </w:p>
        </w:tc>
        <w:tc>
          <w:tcPr>
            <w:tcW w:w="2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77,443,451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77,374,242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Second lien</w:t>
            </w:r>
          </w:p>
        </w:tc>
        <w:tc>
          <w:tcPr>
            <w:tcW w:w="2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8,376,545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8,399,375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debt/corporate notes</w:t>
            </w:r>
          </w:p>
        </w:tc>
        <w:tc>
          <w:tcPr>
            <w:tcW w:w="2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87,345,961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87,273,617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10,451,169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10,451,169</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 Investments and cash equivalents</w:t>
            </w:r>
          </w:p>
        </w:tc>
        <w:tc>
          <w:tcPr>
            <w:tcW w:w="2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97,797,130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97,724,786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120" w:type="dxa"/>
            <w:vAlign w:val="bottom"/>
            <w:vMerge w:val="restart"/>
          </w:tcPr>
          <w:p>
            <w:pPr>
              <w:jc w:val="right"/>
              <w:ind w:right="51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60" w:right="268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June 30, 2011.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 Classification</w:t>
            </w:r>
          </w:p>
        </w:tc>
        <w:tc>
          <w:tcPr>
            <w:tcW w:w="5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June 30, 2011</w:t>
            </w: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 and Pharmaceuticals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Media: Diversified and Production</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Services</w:t>
            </w: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Hotel, Gaming and Leisure</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9</w:t>
            </w:r>
          </w:p>
        </w:tc>
      </w:tr>
      <w:tr>
        <w:trPr>
          <w:trHeight w:val="27"/>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 Goods: Non-Durable</w:t>
            </w: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Chemicals, Plastics and Rubber</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Environmental Industries</w:t>
            </w: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High Tech Industries</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Media: Advertising, Printing and Publishing</w:t>
            </w: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Telecommunications</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Containers, Packaging and Glass</w:t>
            </w: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Automotive</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Aerospace and Defense</w:t>
            </w: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Consumer Services</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 Oil and Gas</w:t>
            </w:r>
          </w:p>
        </w:tc>
        <w:tc>
          <w:tcPr>
            <w:tcW w:w="1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7"/>
        </w:trPr>
        <w:tc>
          <w:tcPr>
            <w:tcW w:w="65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the Company. Unobservable inputs reflect the assumptions market participants would use in pricing an asset or liability based on the best information available to us at the reporting period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1: Inputs that are quoted prices (unadjusted) in active markets for identical assets or liabilities, accessible by us at the measurement date.</w:t>
      </w:r>
    </w:p>
    <w:p>
      <w:pPr>
        <w:spacing w:after="0" w:line="88" w:lineRule="exact"/>
        <w:rPr>
          <w:sz w:val="20"/>
          <w:szCs w:val="20"/>
          <w:color w:val="auto"/>
        </w:rPr>
      </w:pPr>
    </w:p>
    <w:p>
      <w:pPr>
        <w:ind w:left="240"/>
        <w:spacing w:after="0" w:line="263"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2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w:t>
      </w:r>
    </w:p>
    <w:p>
      <w:pPr>
        <w:sectPr>
          <w:pgSz w:w="11900" w:h="16838" w:orient="portrait"/>
          <w:cols w:equalWidth="0" w:num="1">
            <w:col w:w="11220"/>
          </w:cols>
          <w:pgMar w:left="320" w:top="125" w:right="35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investments will generally be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7"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observable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There were no investments transferred between Levels 1 and 2 during the period from March 4, 2011 (Commencement of Operations) to June 30, 2011.</w:t>
      </w:r>
    </w:p>
    <w:p>
      <w:pPr>
        <w:spacing w:after="0" w:line="14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addition to using the inputs described above in valuing cash equivalents, investments and the Credit Facility valuations, PennantPark Floating Rate Capital Ltd. employs the valuation policy approved by its board of directors that is consistent with ASC 820 (See Note 2). Consistent with our valuation policy, we evaluate the source of inputs, including any markets in which our investments are trading, in determining fair value.</w:t>
      </w:r>
    </w:p>
    <w:p>
      <w:pPr>
        <w:spacing w:after="0" w:line="165" w:lineRule="exact"/>
        <w:rPr>
          <w:sz w:val="20"/>
          <w:szCs w:val="20"/>
          <w:color w:val="auto"/>
        </w:rPr>
      </w:pPr>
    </w:p>
    <w:p>
      <w:pPr>
        <w:ind w:right="1280" w:firstLine="324"/>
        <w:spacing w:after="0" w:line="465" w:lineRule="auto"/>
        <w:rPr>
          <w:sz w:val="20"/>
          <w:szCs w:val="20"/>
          <w:color w:val="auto"/>
        </w:rPr>
      </w:pPr>
      <w:r>
        <w:rPr>
          <w:rFonts w:ascii="Arial" w:cs="Arial" w:eastAsia="Arial" w:hAnsi="Arial"/>
          <w:sz w:val="18"/>
          <w:szCs w:val="18"/>
          <w:color w:val="auto"/>
        </w:rPr>
        <w:t xml:space="preserve">At June 30, 2011, our cash equivalents and investments were categorized as follows in the fair value hierarchy for ASC 820 purposes. </w:t>
      </w:r>
      <w:r>
        <w:rPr>
          <w:rFonts w:ascii="Arial" w:cs="Arial" w:eastAsia="Arial" w:hAnsi="Arial"/>
          <w:sz w:val="18"/>
          <w:szCs w:val="18"/>
          <w:b w:val="1"/>
          <w:bCs w:val="1"/>
          <w:color w:val="auto"/>
        </w:rPr>
        <w:t>June 30, 2011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Lien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77,374,242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2,195,210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75,179,032</w:t>
            </w: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Second Lien</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8,399,375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8,399,375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Subordinated Debt/Corporate Notes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1,500,000</w:t>
            </w:r>
          </w:p>
        </w:tc>
      </w:tr>
      <w:tr>
        <w:trPr>
          <w:trHeight w:val="237"/>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87,273,617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2,195,210</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85,078,407</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10,451,169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10,451,169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Total Investments and cash equivalents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97,724,786</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10,451,169</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2,195,210</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85,078,407</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period from March 4, 2011 (Commencement of Operations) through the period ended June 30, 2011.</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Ended June 30, 2011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First Lien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Second Lien and</w:t>
            </w:r>
          </w:p>
        </w:tc>
        <w:tc>
          <w:tcPr>
            <w:tcW w:w="280" w:type="dxa"/>
            <w:vAlign w:val="bottom"/>
          </w:tcPr>
          <w:p>
            <w:pPr>
              <w:spacing w:after="0"/>
              <w:rPr>
                <w:sz w:val="14"/>
                <w:szCs w:val="14"/>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Subordinated Debt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Beginning Balance, March 4, 2011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realized gains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291,633</w:t>
            </w:r>
          </w:p>
        </w:tc>
        <w:tc>
          <w:tcPr>
            <w:tcW w:w="0" w:type="dxa"/>
            <w:vAlign w:val="bottom"/>
          </w:tcPr>
          <w:p>
            <w:pPr>
              <w:spacing w:after="0"/>
              <w:rPr>
                <w:sz w:val="1"/>
                <w:szCs w:val="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Unrealized depreciation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(89,272)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100,325,208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12,375,263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112,700,471</w:t>
            </w:r>
          </w:p>
        </w:tc>
        <w:tc>
          <w:tcPr>
            <w:tcW w:w="0" w:type="dxa"/>
            <w:vAlign w:val="bottom"/>
          </w:tcPr>
          <w:p>
            <w:pPr>
              <w:spacing w:after="0"/>
              <w:rPr>
                <w:sz w:val="1"/>
                <w:szCs w:val="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Sales / repayments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(25,278,175)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(2,546,250)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(27,824,425)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Transfers into/out of Level 3</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Ending Balance, June 30, 2011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75,179,032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9,899,375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85,078,407</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62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97"/>
              </w:rPr>
              <w:t>Net unrealized depreciation for the period from March 4, 2011 reported within the net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unrealized depreciation on investments in our Consolidated Statement of Operations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(86,138)</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(89,272)</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carrying value of our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$1.3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balance sheet and changes in fair value of the Credit Facility are reported in our Consolidated Statement of Operations. For the period March 4, 2011 (Commencement of Operations) through June 30, 2011, we did not draw on our Credit Facility. We used a nationally recognized independent valuation service to measure the fair value of our Credit Facility in a manner consistent with the valuation process that the board of directors uses to value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sets forth the computation of basic and diluted net increase in net assets resulting from operations per common share.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For the period from March 4, 2011</w:t>
            </w:r>
          </w:p>
        </w:tc>
        <w:tc>
          <w:tcPr>
            <w:tcW w:w="0" w:type="dxa"/>
            <w:vAlign w:val="bottom"/>
          </w:tcPr>
          <w:p>
            <w:pPr>
              <w:spacing w:after="0"/>
              <w:rPr>
                <w:sz w:val="1"/>
                <w:szCs w:val="1"/>
                <w:color w:val="auto"/>
              </w:rPr>
            </w:pPr>
          </w:p>
        </w:tc>
      </w:tr>
      <w:tr>
        <w:trPr>
          <w:trHeight w:val="148"/>
        </w:trPr>
        <w:tc>
          <w:tcPr>
            <w:tcW w:w="8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2"/>
                <w:szCs w:val="12"/>
                <w:color w:val="auto"/>
              </w:rPr>
            </w:pPr>
          </w:p>
        </w:tc>
        <w:tc>
          <w:tcPr>
            <w:tcW w:w="2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(Commencement of Operations) to June 30,</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Numerator for net decrease in net assets resulting from operations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(663,981)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Denominator for basic and diluted weighted average shares *</w:t>
            </w:r>
          </w:p>
        </w:tc>
        <w:tc>
          <w:tcPr>
            <w:tcW w:w="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6,797,502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Basic and diluted net decrease in net assets resulting from operations per share</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41744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31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Weighted average is based on the initial public offering issuance date of April 13, 2011.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18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other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2011, cash equivalents consisted of $10.5 million in money market products.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29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net assets and net asset value per share on June 30, 2011 were $96.3 million and $14.06, respectively. Below are the financial highlights for the period from March 4, 2011 (Commencement of Operations) to June 30, 2011.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 March 4, 2011</w:t>
            </w:r>
          </w:p>
        </w:tc>
      </w:tr>
      <w:tr>
        <w:trPr>
          <w:trHeight w:val="149"/>
        </w:trPr>
        <w:tc>
          <w:tcPr>
            <w:tcW w:w="1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2"/>
              </w:rPr>
              <w:t>(Commencement of Operations) to June 30,</w:t>
            </w:r>
          </w:p>
        </w:tc>
      </w:tr>
      <w:tr>
        <w:trPr>
          <w:trHeight w:val="192"/>
        </w:trPr>
        <w:tc>
          <w:tcPr>
            <w:tcW w:w="1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2011</w:t>
            </w:r>
          </w:p>
        </w:tc>
      </w:tr>
      <w:tr>
        <w:trPr>
          <w:trHeight w:val="229"/>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0"/>
        </w:trPr>
        <w:tc>
          <w:tcPr>
            <w:tcW w:w="8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 value,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8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investment loss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2800" w:type="dxa"/>
            <w:vAlign w:val="bottom"/>
          </w:tcPr>
          <w:p>
            <w:pPr>
              <w:jc w:val="right"/>
              <w:ind w:right="93"/>
              <w:spacing w:after="0"/>
              <w:rPr>
                <w:sz w:val="20"/>
                <w:szCs w:val="20"/>
                <w:color w:val="auto"/>
              </w:rPr>
            </w:pPr>
            <w:r>
              <w:rPr>
                <w:rFonts w:ascii="Arial" w:cs="Arial" w:eastAsia="Arial" w:hAnsi="Arial"/>
                <w:sz w:val="18"/>
                <w:szCs w:val="18"/>
                <w:color w:val="auto"/>
              </w:rPr>
              <w:t>(0.13)</w:t>
            </w:r>
          </w:p>
        </w:tc>
      </w:tr>
      <w:tr>
        <w:trPr>
          <w:trHeight w:val="270"/>
        </w:trPr>
        <w:tc>
          <w:tcPr>
            <w:tcW w:w="140" w:type="dxa"/>
            <w:vAlign w:val="bottom"/>
            <w:shd w:val="clear" w:color="auto" w:fill="CCEEFF"/>
          </w:tcPr>
          <w:p>
            <w:pPr>
              <w:spacing w:after="0"/>
              <w:rPr>
                <w:sz w:val="23"/>
                <w:szCs w:val="23"/>
                <w:color w:val="auto"/>
              </w:rPr>
            </w:pPr>
          </w:p>
        </w:tc>
        <w:tc>
          <w:tcPr>
            <w:tcW w:w="8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realized and unrealized gain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28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0.03</w:t>
            </w:r>
          </w:p>
        </w:tc>
      </w:tr>
      <w:tr>
        <w:trPr>
          <w:trHeight w:val="264"/>
        </w:trPr>
        <w:tc>
          <w:tcPr>
            <w:tcW w:w="140" w:type="dxa"/>
            <w:vAlign w:val="bottom"/>
          </w:tcPr>
          <w:p>
            <w:pPr>
              <w:spacing w:after="0"/>
              <w:rPr>
                <w:sz w:val="22"/>
                <w:szCs w:val="22"/>
                <w:color w:val="auto"/>
              </w:rPr>
            </w:pPr>
          </w:p>
        </w:tc>
        <w:tc>
          <w:tcPr>
            <w:tcW w:w="8180" w:type="dxa"/>
            <w:vAlign w:val="bottom"/>
          </w:tcPr>
          <w:p>
            <w:pPr>
              <w:ind w:left="40"/>
              <w:spacing w:after="0" w:line="263" w:lineRule="exact"/>
              <w:rPr>
                <w:sz w:val="20"/>
                <w:szCs w:val="20"/>
                <w:color w:val="auto"/>
              </w:rPr>
            </w:pPr>
            <w:r>
              <w:rPr>
                <w:rFonts w:ascii="Arial" w:cs="Arial" w:eastAsia="Arial" w:hAnsi="Arial"/>
                <w:sz w:val="18"/>
                <w:szCs w:val="18"/>
                <w:color w:val="auto"/>
              </w:rPr>
              <w:t xml:space="preserve">Net decrease in net assets resulting from operations </w:t>
            </w:r>
            <w:r>
              <w:rPr>
                <w:rFonts w:ascii="Arial" w:cs="Arial" w:eastAsia="Arial" w:hAnsi="Arial"/>
                <w:sz w:val="25"/>
                <w:szCs w:val="25"/>
                <w:color w:val="auto"/>
                <w:vertAlign w:val="superscript"/>
              </w:rPr>
              <w:t>(1)</w:t>
            </w:r>
          </w:p>
        </w:tc>
        <w:tc>
          <w:tcPr>
            <w:tcW w:w="120" w:type="dxa"/>
            <w:vAlign w:val="bottom"/>
          </w:tcPr>
          <w:p>
            <w:pPr>
              <w:spacing w:after="0"/>
              <w:rPr>
                <w:sz w:val="22"/>
                <w:szCs w:val="22"/>
                <w:color w:val="auto"/>
              </w:rPr>
            </w:pPr>
          </w:p>
        </w:tc>
        <w:tc>
          <w:tcPr>
            <w:tcW w:w="2800" w:type="dxa"/>
            <w:vAlign w:val="bottom"/>
          </w:tcPr>
          <w:p>
            <w:pPr>
              <w:jc w:val="right"/>
              <w:ind w:right="93"/>
              <w:spacing w:after="0"/>
              <w:rPr>
                <w:sz w:val="20"/>
                <w:szCs w:val="20"/>
                <w:color w:val="auto"/>
              </w:rPr>
            </w:pPr>
            <w:r>
              <w:rPr>
                <w:rFonts w:ascii="Arial" w:cs="Arial" w:eastAsia="Arial" w:hAnsi="Arial"/>
                <w:sz w:val="18"/>
                <w:szCs w:val="18"/>
                <w:color w:val="auto"/>
              </w:rPr>
              <w:t>(0.10)</w:t>
            </w:r>
          </w:p>
        </w:tc>
      </w:tr>
      <w:tr>
        <w:trPr>
          <w:trHeight w:val="270"/>
        </w:trPr>
        <w:tc>
          <w:tcPr>
            <w:tcW w:w="140" w:type="dxa"/>
            <w:vAlign w:val="bottom"/>
            <w:shd w:val="clear" w:color="auto" w:fill="CCEEFF"/>
          </w:tcPr>
          <w:p>
            <w:pPr>
              <w:spacing w:after="0"/>
              <w:rPr>
                <w:sz w:val="23"/>
                <w:szCs w:val="23"/>
                <w:color w:val="auto"/>
              </w:rPr>
            </w:pPr>
          </w:p>
        </w:tc>
        <w:tc>
          <w:tcPr>
            <w:tcW w:w="8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Distribution to stockholders </w:t>
            </w:r>
            <w:r>
              <w:rPr>
                <w:rFonts w:ascii="Arial" w:cs="Arial" w:eastAsia="Arial" w:hAnsi="Arial"/>
                <w:sz w:val="25"/>
                <w:szCs w:val="25"/>
                <w:color w:val="auto"/>
                <w:vertAlign w:val="superscript"/>
              </w:rPr>
              <w:t>(1), (2)</w:t>
            </w:r>
          </w:p>
        </w:tc>
        <w:tc>
          <w:tcPr>
            <w:tcW w:w="120" w:type="dxa"/>
            <w:vAlign w:val="bottom"/>
            <w:shd w:val="clear" w:color="auto" w:fill="CCEEFF"/>
          </w:tcPr>
          <w:p>
            <w:pPr>
              <w:spacing w:after="0"/>
              <w:rPr>
                <w:sz w:val="23"/>
                <w:szCs w:val="23"/>
                <w:color w:val="auto"/>
              </w:rPr>
            </w:pPr>
          </w:p>
        </w:tc>
        <w:tc>
          <w:tcPr>
            <w:tcW w:w="2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(0.05)</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Initial issuance of common stock</w:t>
            </w:r>
          </w:p>
        </w:tc>
        <w:tc>
          <w:tcPr>
            <w:tcW w:w="120" w:type="dxa"/>
            <w:vAlign w:val="bottom"/>
          </w:tcPr>
          <w:p>
            <w:pPr>
              <w:spacing w:after="0"/>
              <w:rPr>
                <w:sz w:val="21"/>
                <w:szCs w:val="21"/>
                <w:color w:val="auto"/>
              </w:rPr>
            </w:pPr>
          </w:p>
        </w:tc>
        <w:tc>
          <w:tcPr>
            <w:tcW w:w="2800" w:type="dxa"/>
            <w:vAlign w:val="bottom"/>
          </w:tcPr>
          <w:p>
            <w:pPr>
              <w:jc w:val="right"/>
              <w:ind w:right="153"/>
              <w:spacing w:after="0"/>
              <w:rPr>
                <w:sz w:val="20"/>
                <w:szCs w:val="20"/>
                <w:color w:val="auto"/>
              </w:rPr>
            </w:pPr>
            <w:r>
              <w:rPr>
                <w:rFonts w:ascii="Arial" w:cs="Arial" w:eastAsia="Arial" w:hAnsi="Arial"/>
                <w:sz w:val="18"/>
                <w:szCs w:val="18"/>
                <w:color w:val="auto"/>
              </w:rPr>
              <w:t>15.00</w:t>
            </w:r>
          </w:p>
        </w:tc>
      </w:tr>
      <w:tr>
        <w:trPr>
          <w:trHeight w:val="27"/>
        </w:trPr>
        <w:tc>
          <w:tcPr>
            <w:tcW w:w="8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offering costs</w:t>
            </w:r>
          </w:p>
        </w:tc>
        <w:tc>
          <w:tcPr>
            <w:tcW w:w="12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(0.79)</w:t>
            </w:r>
          </w:p>
        </w:tc>
      </w:tr>
      <w:tr>
        <w:trPr>
          <w:trHeight w:val="236"/>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asset value, end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14.06</w:t>
            </w:r>
          </w:p>
        </w:tc>
      </w:tr>
      <w:tr>
        <w:trPr>
          <w:trHeight w:val="27"/>
        </w:trPr>
        <w:tc>
          <w:tcPr>
            <w:tcW w:w="83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 share market value,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12.69</w:t>
            </w:r>
          </w:p>
        </w:tc>
      </w:tr>
      <w:tr>
        <w:trPr>
          <w:trHeight w:val="270"/>
        </w:trPr>
        <w:tc>
          <w:tcPr>
            <w:tcW w:w="140" w:type="dxa"/>
            <w:vAlign w:val="bottom"/>
          </w:tcPr>
          <w:p>
            <w:pPr>
              <w:spacing w:after="0"/>
              <w:rPr>
                <w:sz w:val="23"/>
                <w:szCs w:val="23"/>
                <w:color w:val="auto"/>
              </w:rPr>
            </w:pPr>
          </w:p>
        </w:tc>
        <w:tc>
          <w:tcPr>
            <w:tcW w:w="8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Total return* </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outstanding at end of period</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6,850,667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Ratios * / Supplemental Data:</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7"/>
        </w:trPr>
        <w:tc>
          <w:tcPr>
            <w:tcW w:w="8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operating expenses to average net assets **</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0.46 %</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Ratio of Credit Facility related expenses to average net assets **</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7"/>
        </w:trPr>
        <w:tc>
          <w:tcPr>
            <w:tcW w:w="83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total expenses to average net assets **</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Ratio of net investment income to average net assets</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8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assets at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96,303,539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Portfolio turnover ratio</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40.12 %</w:t>
            </w:r>
          </w:p>
        </w:tc>
      </w:tr>
      <w:tr>
        <w:trPr>
          <w:trHeight w:val="243"/>
        </w:trPr>
        <w:tc>
          <w:tcPr>
            <w:tcW w:w="832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378"/>
        </w:trPr>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8180" w:type="dxa"/>
            <w:vAlign w:val="bottom"/>
          </w:tcPr>
          <w:p>
            <w:pPr>
              <w:ind w:left="340"/>
              <w:spacing w:after="0"/>
              <w:rPr>
                <w:sz w:val="20"/>
                <w:szCs w:val="20"/>
                <w:color w:val="auto"/>
              </w:rPr>
            </w:pPr>
            <w:r>
              <w:rPr>
                <w:rFonts w:ascii="Arial" w:cs="Arial" w:eastAsia="Arial" w:hAnsi="Arial"/>
                <w:sz w:val="16"/>
                <w:szCs w:val="16"/>
                <w:color w:val="auto"/>
              </w:rPr>
              <w:t>Not annualized for period less than one year.</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79" w:lineRule="exact"/>
        <w:rPr>
          <w:sz w:val="20"/>
          <w:szCs w:val="20"/>
          <w:color w:val="auto"/>
        </w:rPr>
      </w:pPr>
    </w:p>
    <w:p>
      <w:pPr>
        <w:ind w:left="460" w:hanging="425"/>
        <w:spacing w:after="0"/>
        <w:tabs>
          <w:tab w:leader="none" w:pos="460" w:val="left"/>
        </w:tabs>
        <w:numPr>
          <w:ilvl w:val="1"/>
          <w:numId w:val="7"/>
        </w:numPr>
        <w:rPr>
          <w:rFonts w:ascii="Arial" w:cs="Arial" w:eastAsia="Arial" w:hAnsi="Arial"/>
          <w:sz w:val="18"/>
          <w:szCs w:val="18"/>
          <w:color w:val="auto"/>
        </w:rPr>
      </w:pPr>
      <w:r>
        <w:rPr>
          <w:rFonts w:ascii="Arial" w:cs="Arial" w:eastAsia="Arial" w:hAnsi="Arial"/>
          <w:sz w:val="16"/>
          <w:szCs w:val="16"/>
          <w:color w:val="auto"/>
        </w:rPr>
        <w:t>Includes both recurring and non-recurring expenses such as debt issuance costs and organizational expenses.</w:t>
      </w:r>
    </w:p>
    <w:p>
      <w:pPr>
        <w:spacing w:after="0" w:line="19" w:lineRule="exact"/>
        <w:rPr>
          <w:rFonts w:ascii="Arial" w:cs="Arial" w:eastAsia="Arial" w:hAnsi="Arial"/>
          <w:sz w:val="18"/>
          <w:szCs w:val="18"/>
          <w:color w:val="auto"/>
        </w:rPr>
      </w:pPr>
    </w:p>
    <w:p>
      <w:pPr>
        <w:ind w:left="420" w:hanging="412"/>
        <w:spacing w:after="0" w:line="186" w:lineRule="auto"/>
        <w:tabs>
          <w:tab w:leader="none" w:pos="420" w:val="left"/>
        </w:tabs>
        <w:numPr>
          <w:ilvl w:val="0"/>
          <w:numId w:val="7"/>
        </w:numPr>
        <w:rPr>
          <w:rFonts w:ascii="Arial" w:cs="Arial" w:eastAsia="Arial" w:hAnsi="Arial"/>
          <w:sz w:val="25"/>
          <w:szCs w:val="25"/>
          <w:color w:val="auto"/>
          <w:vertAlign w:val="superscript"/>
        </w:rPr>
      </w:pPr>
      <w:r>
        <w:rPr>
          <w:rFonts w:ascii="Arial" w:cs="Arial" w:eastAsia="Arial" w:hAnsi="Arial"/>
          <w:sz w:val="14"/>
          <w:szCs w:val="14"/>
          <w:color w:val="auto"/>
        </w:rPr>
        <w:t>Per share data are calculated based on the weighted average shares outstanding from the initial public offering issuance date of April 13, 2011 to June 30, 2011.</w:t>
      </w:r>
    </w:p>
    <w:p>
      <w:pPr>
        <w:spacing w:after="0" w:line="10" w:lineRule="exact"/>
        <w:rPr>
          <w:rFonts w:ascii="Arial" w:cs="Arial" w:eastAsia="Arial" w:hAnsi="Arial"/>
          <w:sz w:val="25"/>
          <w:szCs w:val="25"/>
          <w:color w:val="auto"/>
          <w:vertAlign w:val="superscript"/>
        </w:rPr>
      </w:pPr>
    </w:p>
    <w:p>
      <w:pPr>
        <w:ind w:left="420" w:hanging="412"/>
        <w:spacing w:after="0" w:line="182" w:lineRule="auto"/>
        <w:tabs>
          <w:tab w:leader="none" w:pos="420" w:val="left"/>
        </w:tabs>
        <w:numPr>
          <w:ilvl w:val="0"/>
          <w:numId w:val="7"/>
        </w:numPr>
        <w:rPr>
          <w:rFonts w:ascii="Arial" w:cs="Arial" w:eastAsia="Arial" w:hAnsi="Arial"/>
          <w:sz w:val="22"/>
          <w:szCs w:val="22"/>
          <w:color w:val="auto"/>
          <w:vertAlign w:val="superscript"/>
        </w:rPr>
      </w:pPr>
      <w:r>
        <w:rPr>
          <w:rFonts w:ascii="Arial" w:cs="Arial" w:eastAsia="Arial" w:hAnsi="Arial"/>
          <w:sz w:val="13"/>
          <w:szCs w:val="13"/>
          <w:color w:val="auto"/>
        </w:rPr>
        <w:t>Distributions are determined based on taxable income calculated in accordance with income tax regulations, which may differ from amounts determined under GAAP.</w:t>
      </w:r>
    </w:p>
    <w:p>
      <w:pPr>
        <w:spacing w:after="0" w:line="10" w:lineRule="exact"/>
        <w:rPr>
          <w:rFonts w:ascii="Arial" w:cs="Arial" w:eastAsia="Arial" w:hAnsi="Arial"/>
          <w:sz w:val="22"/>
          <w:szCs w:val="22"/>
          <w:color w:val="auto"/>
          <w:vertAlign w:val="superscript"/>
        </w:rPr>
      </w:pPr>
    </w:p>
    <w:p>
      <w:pPr>
        <w:ind w:left="420" w:hanging="412"/>
        <w:spacing w:after="0" w:line="183" w:lineRule="auto"/>
        <w:tabs>
          <w:tab w:leader="none" w:pos="420" w:val="left"/>
        </w:tabs>
        <w:numPr>
          <w:ilvl w:val="0"/>
          <w:numId w:val="7"/>
        </w:numPr>
        <w:rPr>
          <w:rFonts w:ascii="Arial" w:cs="Arial" w:eastAsia="Arial" w:hAnsi="Arial"/>
          <w:sz w:val="29"/>
          <w:szCs w:val="29"/>
          <w:color w:val="auto"/>
          <w:vertAlign w:val="superscript"/>
        </w:rPr>
      </w:pPr>
      <w:r>
        <w:rPr>
          <w:rFonts w:ascii="Arial" w:cs="Arial" w:eastAsia="Arial" w:hAnsi="Arial"/>
          <w:sz w:val="16"/>
          <w:szCs w:val="16"/>
          <w:color w:val="auto"/>
        </w:rPr>
        <w:t>Total return is based on the change in market price per share during the period and takes into account distributions, if any, reinvested in accordance with our dividend reinvestment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60" w:right="268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229"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On June 23, 2011, Funding I entered into a five-year senior secured revolving Credit Facility with Three Pillars Funding LLC (“Lender”), an asset-backed commercial paper conduit administered by SunTrust Robinson Humphrey, Inc. (“STRH”). The Credit Facility allows Funding I to borrow up to $100.0 million and contains an accordion feature whereby the Credit Facility can be expanded to $600.0 million. As of June 30, 2011, Funding I had no outstanding borrowings under the Credit Facility.</w:t>
      </w:r>
    </w:p>
    <w:p>
      <w:pPr>
        <w:spacing w:after="0" w:line="79"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During the Credit Facility's first three years, the revolving period, it bears interest at the LIBOR plus 225 basis points, and after the revolving period, the rate sets to LIBOR plus 425 basis points for the remaining two years. The Credit Facility is secured by all of the assets held by Funding I. Both the Company and Funding I have made customary representations and warranties and are required to comply with various covenants, reporting requirements and other customary requirements for similar credit facilities. For a complete list of such covenants, see our report on Form 8-K, filed June 29, 2011.</w:t>
      </w:r>
    </w:p>
    <w:p>
      <w:pPr>
        <w:spacing w:after="0" w:line="49"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The Credit Facility, as amended, contains covenants including but not limited to restrictions of loan size, sector requirements, average life of loans, geographic portfolio concentrations, minimum portfolio yield and loan payment frequency. Additionally, the Credit Facility requires the maintenance of asset, income and leverage ratios, restrictions on certain payments and issuance of debt. Any violations of these and other covenants could result in the early amortization of the Credit Facility and further limit advances available under it.</w:t>
      </w:r>
    </w:p>
    <w:p>
      <w:pPr>
        <w:spacing w:after="0" w:line="6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own 100% of the equity interest in Funding I and plan to treat the indebtedness of Funding I as our leverage. We also plan to transfer certain loans and debt securities we have originated or acquired or will originate or acquire from time to time to Funding I through a Purchase and Contribution Agreement and may cause Funding I to originate or acquire loans in the future, consistent with the Company's investment objectives. The structure of the financing, including organizing Funding I as a special purpose, bankruptcy-remote entity and selling assets from the Company to Funding I renders such assets generally unavailable to creditors of PennantPark Floating Rate Capital Ltd. and is intended to protect the Lender from credit and bankruptcy risks of PennantPark Floating Rate Capital Ltd.</w:t>
      </w:r>
    </w:p>
    <w:p>
      <w:pPr>
        <w:spacing w:after="0" w:line="192"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7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the event that we fail to receive cash from Funding I, we could be unable to make distributions to our stockholders in amounts sufficient to maintain our status as a RIC, or at all. We also could be forced to sell 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80" w:right="2660"/>
        <w:spacing w:after="0" w:line="250"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 – (Continued) JUNE 30,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consolidated statement of assets and liabilities of PennantPark Floating Rate Capital Ltd. and subsidiary (the “Company”), including the consolidated schedule of investments, as of June 30, 2011, and the consolidated statements of operations, changes in net assets, and cash flows for the period from March 4, 2011 (Commencement of Operations) to June 30, 2011. These interim consolidated financial statements are the responsibility of the Company's management.</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89979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997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Report contains statements that constitute forward-looking statements, which relate to both us and our consolidated subsidiary, regarding future events or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8" w:lineRule="exact"/>
        <w:rPr>
          <w:sz w:val="20"/>
          <w:szCs w:val="20"/>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valuations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 and current reports on Form 8-K.</w:t>
      </w:r>
    </w:p>
    <w:p>
      <w:pPr>
        <w:spacing w:after="0" w:line="117"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You should understand that under Sections 27A(b)(2)(B) of the Securities Act of 1933, as amended, and Section 21E(b)(2)(B) of the Securities Exchange Act of 1934, as amended, the “safe harbor” provisions of the Private Securities Litigation Reform Act of 1995 do not apply to this quarterly Report on Form 10-Q.</w:t>
      </w:r>
    </w:p>
    <w:p>
      <w:pPr>
        <w:spacing w:after="0" w:line="14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accompanying notes to the Consolidated Financial Statements contained elsewhere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ind w:right="80" w:firstLine="324"/>
        <w:spacing w:after="0" w:line="316" w:lineRule="auto"/>
        <w:rPr>
          <w:sz w:val="20"/>
          <w:szCs w:val="20"/>
          <w:color w:val="auto"/>
        </w:rPr>
      </w:pPr>
      <w:r>
        <w:rPr>
          <w:rFonts w:ascii="Arial" w:cs="Arial" w:eastAsia="Arial" w:hAnsi="Arial"/>
          <w:sz w:val="16"/>
          <w:szCs w:val="16"/>
          <w:color w:val="auto"/>
        </w:rPr>
        <w:t>PennantPark Floating Rate Capital Ltd. is a business development company whose objective is to generate high current income by investing primarily in Floating Rate Loans (as defined below) made to private middle-market companies whose debt is typically not rated or rated below investment grade.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Floating Rate Loans to private middle-market companies offer attractive risk adjusted returns due to 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limited amount of capital available for such companies and the potential for rising interest rates. In this Report, we refer to the term “middle-market” when referring to companies with annual revenues between $50 million and $1 billion. We may also invest in thinly traded or small market-capitalization public middle-market U.S. companies. Our investments are typically not rated or rated below investment grade. However, when our investments such as Floating Rate Loans are compared to junk bonds and other forms of non-investment grade debt, they typically have more robust capital-preserving qualities, such as less credit risk, and have historically had lower default rates than junk bonds. We refer to Floating Rate Loans or variable rate investments as investments that pay interest at variable rates, which are determined periodically, on the basis of a floating base lending rate such as LIBOR, plus a fixed spread over it. Our investments may have terms of three to ten years and are made to U.S. and, to a limited extent, non-U.S. corporations, partnerships and other business entities which operate in various industries and geographical regions.</w:t>
      </w:r>
    </w:p>
    <w:p>
      <w:pPr>
        <w:spacing w:after="0" w:line="124"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$2 million and $20 million, on average, although we expect that this investment size will vary proportionately with the size of our capital 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the Company</w:t>
      </w:r>
    </w:p>
    <w:p>
      <w:pPr>
        <w:spacing w:after="0" w:line="81"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PennantPark Floating Rate Capital Ltd. was organized under the Maryland General Corporation Law on October 28, 2010. We are a closed-end, externally managed,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0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investment activities are managed by PennantPark Investment Advisers. Our wholly owned subsidiary, Funding I, was organized in Delaware as a limited liability company on May 18, 2011 and as of June 30, 2011 had not yet begun investing. We formed Funding I in order to establish a senior secured revolving credit facility (the “Credit Facility”). The Investment Adviser serves as the collateral manager to Funding I and has irrevocably directed that all management fees owing with respect to such services are to be paid to the Company so long as the Investment Adviser remains the collateral manager. This arrangement has no effect on the consolidated management fee of the Company. The Credit Facility allows Funding I to borrow up to $100.0 million at LIBOR plus 225 basis points during the reinvestment period. The Credit Facility will be secured by all of the assets held by Funding I.</w:t>
      </w:r>
    </w:p>
    <w:p>
      <w:pPr>
        <w:spacing w:after="0" w:line="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Under our Investment Management Agreement, we have agreed to pay our Investment Adviser an annual base management fee based on our average gross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PennantPark Investment Advisers, supervises our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generate revenue in the form of interest income on our portfolio investments and capital gains and distributions, if any, from our debt investments in portfolio companies. Our Floating Rate Loans generally have a term of three to ten years and bear interest at a floating or variable rate. Interest on debt investments is generally payable quarterly or semiannually. In some cases, some of our investments may provide for deferred interest payments or PIK. The principal amount of our debt investments and any accrued but unpaid interest generally will become due at the maturity date. We expect to originate portfolio investments to a greater extent over time and may generate revenue from origination or structuring fees. In addition, we may generate revenue in the form of commitment or diligence fees, fees for providing managerial assistance and possibly consulting fees. Loan origination fees, original issue discount, or “OID” and market discount or premium are capitalized, and we accrete or amortize such amounts into income. We record prepayment premiums on loans and debt securities as income. Dividend income, if any, 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recognized on an accrual basis on the ex-dividend date to the extent that we expect to collect such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6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Our primary operating expenses may include the payment of management fees to the Investment Adviser, our allocable portion of overhead under the Administration Agreement and other operating costs as detailed below. Our management fee compensates the Investment Adviser for its work in identifying, evaluating, negotiating, consummating and monitoring our investments. Additionally, we would accrue and pay interest expense on any outstanding debt under a Credit Facility. We bear all other direct or indirect costs and expenses of our operations and transactions, including:</w:t>
      </w:r>
    </w:p>
    <w:p>
      <w:pPr>
        <w:spacing w:after="0" w:line="49" w:lineRule="exact"/>
        <w:rPr>
          <w:sz w:val="20"/>
          <w:szCs w:val="20"/>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63"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8"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to transfer agent, custodian and other third parties;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63"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86" w:lineRule="exact"/>
        <w:rPr>
          <w:rFonts w:ascii="Arial" w:cs="Arial" w:eastAsia="Arial" w:hAnsi="Arial"/>
          <w:sz w:val="16"/>
          <w:szCs w:val="16"/>
          <w:color w:val="auto"/>
        </w:rPr>
      </w:pPr>
    </w:p>
    <w:p>
      <w:pPr>
        <w:ind w:left="1300" w:hanging="320"/>
        <w:spacing w:after="0" w:line="279"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the Administration Agreement that are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21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June 30, 2011, our portfolio totaled $87.3 million and consisted of $77.4 million of senior secured loans, $8.4 million of second lien secured debt and $1.5 million in subordinated debt investments. Our portfolio consisted of 88% variable rate investments, with a LIBOR or prime floor, and 12% fixed rate investments. Overall, the portfolio had an unrealized depreciation of approximately $0.1 million. Our overall portfolio consisted of 28 companies with an average investment size of $3.1 million, a weighted average yield on debt investments of 8.0%, and was invested 89% in senior secured loans, 9% in second lien secured debt and 2% in subordinated debt investments.</w:t>
      </w:r>
    </w:p>
    <w:p>
      <w:pPr>
        <w:spacing w:after="0" w:line="1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March 4, 2011 (Commencement of Operations) to June 30, 2011, we invested $114.8 million in 38 new companies with a weighted average yield on debt investments of 7.5%. Sales and repayments of investments for the period from March 4, 2011 (Commencement of Operations) to June 30, 2011 totaled $27.8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discussion of our financial condition and results of operation is based upon our Consolidated Financial Statements, which have been prepared in accordance with GAAP. The preparation of Consolidated Financial Statements requires management to make estimates and assumptions that affect the reported amounts of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ASC serve as a single source of accounting literature. Subsequent events are evaluated and disclosed as appropriate for events occurring through the date the Consolidated Financial Statements are issued.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52"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w:t>
      </w:r>
    </w:p>
    <w:p>
      <w:pPr>
        <w:spacing w:after="0" w:line="12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6" w:lineRule="exact"/>
        <w:rPr>
          <w:sz w:val="20"/>
          <w:szCs w:val="20"/>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116"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71"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2"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29"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7"/>
          <w:szCs w:val="17"/>
          <w:color w:val="auto"/>
        </w:rPr>
        <w:t>Level 1: Inputs that are quoted prices (unadjusted) in active markets for identical assets or liabilities, accessible by us at the measurement date.</w:t>
      </w:r>
    </w:p>
    <w:p>
      <w:pPr>
        <w:spacing w:after="0" w:line="88" w:lineRule="exact"/>
        <w:rPr>
          <w:sz w:val="20"/>
          <w:szCs w:val="20"/>
          <w:color w:val="auto"/>
        </w:rPr>
      </w:pPr>
    </w:p>
    <w:p>
      <w:pPr>
        <w:ind w:left="80" w:right="160"/>
        <w:spacing w:after="0" w:line="263"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5" w:lineRule="exact"/>
        <w:rPr>
          <w:sz w:val="20"/>
          <w:szCs w:val="20"/>
          <w:color w:val="auto"/>
        </w:rPr>
      </w:pPr>
    </w:p>
    <w:p>
      <w:pPr>
        <w:ind w:left="80" w:right="200"/>
        <w:spacing w:after="0" w:line="25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84"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69" w:lineRule="exact"/>
        <w:rPr>
          <w:sz w:val="20"/>
          <w:szCs w:val="20"/>
          <w:color w:val="auto"/>
        </w:rPr>
      </w:pPr>
    </w:p>
    <w:p>
      <w:pPr>
        <w:jc w:val="both"/>
        <w:ind w:left="120" w:right="200" w:firstLine="338"/>
        <w:spacing w:after="0" w:line="263"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its investments are trading, in determining fair value.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67" w:lineRule="exact"/>
        <w:rPr>
          <w:sz w:val="20"/>
          <w:szCs w:val="20"/>
          <w:color w:val="auto"/>
        </w:rPr>
      </w:pPr>
    </w:p>
    <w:p>
      <w:pPr>
        <w:ind w:left="120" w:right="200" w:firstLine="432"/>
        <w:spacing w:after="0" w:line="257"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Floating Rate Loans with contractual PIK interest, which represents contractual interest accrued and added to the loan balance that generally becomes due at maturity, we generally do not accrue PIK interest if the portfolio company valuation indicates that such PIK interest is not collectible. We do not accrue as a receivable interest on our investments if we determine that it is probable that we will not be able to collect such interest. Loan origination fees, OID, market discount or premium are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capitalized, and we then amortize such amounts into interest income. We record prepayment premiums on our investments as income. Dividend income, if any, are recognized on an accrual basis on the ex-dividend date to the extent that we expect to collect such amounts.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Realized Gains or Losses and Net Unrealized Appreciation or Depreciation</w:t>
      </w:r>
    </w:p>
    <w:p>
      <w:pPr>
        <w:spacing w:after="0" w:line="81" w:lineRule="exact"/>
        <w:rPr>
          <w:sz w:val="20"/>
          <w:szCs w:val="20"/>
          <w:color w:val="auto"/>
        </w:rPr>
      </w:pPr>
    </w:p>
    <w:p>
      <w:pPr>
        <w:ind w:left="120" w:right="240" w:firstLine="324"/>
        <w:spacing w:after="0" w:line="301"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Unrealized appreciation or depreciation reflects the change in portfolio investment values during the reporting period, including any reversal of previously recorded unrealized appreciation or depreciation, when gains or losses are realized.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Payment-in-Kind Interest, or PIK</w:t>
      </w:r>
    </w:p>
    <w:p>
      <w:pPr>
        <w:spacing w:after="0" w:line="67" w:lineRule="exact"/>
        <w:rPr>
          <w:sz w:val="20"/>
          <w:szCs w:val="20"/>
          <w:color w:val="auto"/>
        </w:rPr>
      </w:pPr>
    </w:p>
    <w:p>
      <w:pPr>
        <w:ind w:left="120" w:right="200" w:firstLine="324"/>
        <w:spacing w:after="0" w:line="263" w:lineRule="auto"/>
        <w:rPr>
          <w:sz w:val="20"/>
          <w:szCs w:val="20"/>
          <w:color w:val="auto"/>
        </w:rPr>
      </w:pPr>
      <w:r>
        <w:rPr>
          <w:rFonts w:ascii="Arial" w:cs="Arial" w:eastAsia="Arial" w:hAnsi="Arial"/>
          <w:sz w:val="18"/>
          <w:szCs w:val="18"/>
          <w:color w:val="auto"/>
        </w:rPr>
        <w:t>We may have investments in our portfolio which contain a PIK interest provision. PIK interest is added to the principal balance of the investment and recorded as income. For us to maintain our status as a RIC, substantially all of this income must be paid out to stockholders in the form of dividends, even though we have not collected any cash with respect to PIK securities.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Income Taxes</w:t>
      </w:r>
    </w:p>
    <w:p>
      <w:pPr>
        <w:spacing w:after="0" w:line="81" w:lineRule="exact"/>
        <w:rPr>
          <w:sz w:val="20"/>
          <w:szCs w:val="20"/>
          <w:color w:val="auto"/>
        </w:rPr>
      </w:pPr>
    </w:p>
    <w:p>
      <w:pPr>
        <w:ind w:left="120" w:right="40" w:firstLine="324"/>
        <w:spacing w:after="0" w:line="275" w:lineRule="auto"/>
        <w:rPr>
          <w:sz w:val="20"/>
          <w:szCs w:val="20"/>
          <w:color w:val="auto"/>
        </w:rPr>
      </w:pPr>
      <w:r>
        <w:rPr>
          <w:rFonts w:ascii="Arial" w:cs="Arial" w:eastAsia="Arial" w:hAnsi="Arial"/>
          <w:sz w:val="17"/>
          <w:szCs w:val="17"/>
          <w:color w:val="auto"/>
        </w:rPr>
        <w:t>We intend to elect and operate so as to qualify to be taxed as a RIC under Subchapter M of the Code and intend to continue to do so. 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36" w:lineRule="exact"/>
        <w:rPr>
          <w:sz w:val="20"/>
          <w:szCs w:val="20"/>
          <w:color w:val="auto"/>
        </w:rPr>
      </w:pPr>
    </w:p>
    <w:p>
      <w:pPr>
        <w:ind w:left="120" w:firstLine="324"/>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Set forth below are the results of operations for the period from March 4, 2011 (Commencement of Operations) to June 30, 2011.</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Income</w:t>
      </w:r>
    </w:p>
    <w:p>
      <w:pPr>
        <w:spacing w:after="0" w:line="81" w:lineRule="exact"/>
        <w:rPr>
          <w:sz w:val="20"/>
          <w:szCs w:val="20"/>
          <w:color w:val="auto"/>
        </w:rPr>
      </w:pPr>
    </w:p>
    <w:p>
      <w:pPr>
        <w:jc w:val="both"/>
        <w:ind w:left="120" w:firstLine="405"/>
        <w:spacing w:after="0" w:line="263" w:lineRule="auto"/>
        <w:rPr>
          <w:sz w:val="20"/>
          <w:szCs w:val="20"/>
          <w:color w:val="auto"/>
        </w:rPr>
      </w:pPr>
      <w:r>
        <w:rPr>
          <w:rFonts w:ascii="Arial" w:cs="Arial" w:eastAsia="Arial" w:hAnsi="Arial"/>
          <w:sz w:val="18"/>
          <w:szCs w:val="18"/>
          <w:color w:val="auto"/>
        </w:rPr>
        <w:t>Investment income for the period from March 4, 2011 (Commencement of Operations) to June 30, 2011 was $0.9 million, and was primarily attributable to senior secured loans. We continue to deploy capital raised in our public offering and with availability under the Credit Facility will look to grow investment income over time.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81" w:lineRule="exact"/>
        <w:rPr>
          <w:sz w:val="20"/>
          <w:szCs w:val="20"/>
          <w:color w:val="auto"/>
        </w:rPr>
      </w:pPr>
    </w:p>
    <w:p>
      <w:pPr>
        <w:jc w:val="both"/>
        <w:ind w:left="120" w:firstLine="405"/>
        <w:spacing w:after="0" w:line="259" w:lineRule="auto"/>
        <w:rPr>
          <w:sz w:val="20"/>
          <w:szCs w:val="20"/>
          <w:color w:val="auto"/>
        </w:rPr>
      </w:pPr>
      <w:r>
        <w:rPr>
          <w:rFonts w:ascii="Arial" w:cs="Arial" w:eastAsia="Arial" w:hAnsi="Arial"/>
          <w:sz w:val="18"/>
          <w:szCs w:val="18"/>
          <w:color w:val="auto"/>
        </w:rPr>
        <w:t>Expenses for the period from March 4, 2011 (Commencement of Operations) to June 30, 2011, totaled $1.8 million. Base management fee for the same period totaled $0.1 million, performance-based incentive fees totaled $0.1 million (none of which is currently payable), debt issuance costs (non-recurring) totaled $1.3 million, and general and administrative expenses totaled $0.3 million. Expenses include organizational costs associated with starting up our operations.</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Investment Income/Loss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investment loss totaled $0.9 million, or $0.13 per share, for the period from March 4, 2011 (Commencement of Operations) to June 30, 2011.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125" w:right="4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Realized Gains</w:t>
      </w:r>
    </w:p>
    <w:p>
      <w:pPr>
        <w:spacing w:after="0" w:line="81" w:lineRule="exact"/>
        <w:rPr>
          <w:sz w:val="20"/>
          <w:szCs w:val="20"/>
          <w:color w:val="auto"/>
        </w:rPr>
      </w:pPr>
    </w:p>
    <w:p>
      <w:pPr>
        <w:ind w:left="120" w:firstLine="405"/>
        <w:spacing w:after="0" w:line="277" w:lineRule="auto"/>
        <w:rPr>
          <w:sz w:val="20"/>
          <w:szCs w:val="20"/>
          <w:color w:val="auto"/>
        </w:rPr>
      </w:pPr>
      <w:r>
        <w:rPr>
          <w:rFonts w:ascii="Arial" w:cs="Arial" w:eastAsia="Arial" w:hAnsi="Arial"/>
          <w:sz w:val="18"/>
          <w:szCs w:val="18"/>
          <w:color w:val="auto"/>
        </w:rPr>
        <w:t>Sales and repayments of investments for the period from March 4, 2011 (Commencement of Operations) to June 30, 2011 totaled $27.8 million and realized gains totaled $0.3 million due to sales of debt investments.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Unrealized Depreciation on Investments</w:t>
      </w:r>
    </w:p>
    <w:p>
      <w:pPr>
        <w:spacing w:after="0" w:line="81" w:lineRule="exact"/>
        <w:rPr>
          <w:sz w:val="20"/>
          <w:szCs w:val="20"/>
          <w:color w:val="auto"/>
        </w:rPr>
      </w:pPr>
    </w:p>
    <w:p>
      <w:pPr>
        <w:ind w:left="120" w:firstLine="405"/>
        <w:spacing w:after="0" w:line="277" w:lineRule="auto"/>
        <w:rPr>
          <w:sz w:val="20"/>
          <w:szCs w:val="20"/>
          <w:color w:val="auto"/>
        </w:rPr>
      </w:pPr>
      <w:r>
        <w:rPr>
          <w:rFonts w:ascii="Arial" w:cs="Arial" w:eastAsia="Arial" w:hAnsi="Arial"/>
          <w:sz w:val="18"/>
          <w:szCs w:val="18"/>
          <w:color w:val="auto"/>
        </w:rPr>
        <w:t>For the period from March 4, 2011 (Commencement of Operations) to June 30, 2011, our investments had net unrealized depreciation of approximately $0.1 million.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81" w:lineRule="exact"/>
        <w:rPr>
          <w:sz w:val="20"/>
          <w:szCs w:val="20"/>
          <w:color w:val="auto"/>
        </w:rPr>
      </w:pPr>
    </w:p>
    <w:p>
      <w:pPr>
        <w:ind w:left="120" w:firstLine="405"/>
        <w:spacing w:after="0" w:line="277" w:lineRule="auto"/>
        <w:rPr>
          <w:sz w:val="20"/>
          <w:szCs w:val="20"/>
          <w:color w:val="auto"/>
        </w:rPr>
      </w:pPr>
      <w:r>
        <w:rPr>
          <w:rFonts w:ascii="Arial" w:cs="Arial" w:eastAsia="Arial" w:hAnsi="Arial"/>
          <w:sz w:val="18"/>
          <w:szCs w:val="18"/>
          <w:color w:val="auto"/>
        </w:rPr>
        <w:t>Net decrease in net assets resulting from operations totaled $0.7 million, or $0.10 per share, for the period from March 4, 2011 (Commencement of Operations) to June 30, 2011.</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125" w:right="4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liquidity and capital resources are derived from the proceeds of our initial public offering, our Credit Facility and from cash flows from operations, including investment sales and income earned. Our primary use of funds from operations included investments in portfolio companies and other operating expenses we incurred. We used, and expect to continue to use capital resources from public offerings of securities and our Credit Facility to finance our investment objective.</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June 23, 2011, Funding I entered into a five-year $100.0 million senior secured revolving Credit Facility with the lender and STRH, as administrative agent. The Credit Facility contains an accordion feature whereby it can be expanded to $600.0 million. During the Credit Facility's first three years, the revolving period, it bears interest at the LIBOR plus 225 basis points, and after the revolving period, the rate sets to LIBOR plus 425 basis points for the remaining two years. The Credit Facility is secured by all of the assets held by Funding I. Both the Company and Funding I have made customary representations and warranties and are required to comply with various covenants, reporting requirements and other requirements customary for similar credit facilities.</w:t>
      </w:r>
    </w:p>
    <w:p>
      <w:pPr>
        <w:spacing w:after="0" w:line="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30, 2011, we had cash equivalents of approximately $10.5 million and $100.0 million of unused borrowing capacity under our Credit Facility. The Credit Facility contains covenants including but not limited to restrictions of loan size, sector requirements, average life of loans, geographic portfolio concentrations, minimum portfolio yield and loan payment frequency. Additionally, the Credit Facility requires the maintenance of asset, income and leverage ratios, restrictions on certain payments and issuance of debt. Any violations of these and other covenants could result in the early amortization of the Credit Facility and further limit advances available under it.</w:t>
      </w:r>
    </w:p>
    <w:p>
      <w:pPr>
        <w:spacing w:after="0" w:line="8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own 100% of the equity interest in Funding I and plan to treat the indebtedness of Funding I as our leverage. We also plan to transfer certain loans and debt securities we have originated or acquired or will originate or acquire from time to time to Funding I through a Purchase and Contribution Agreement and may cause Funding I to originate or acquire loans in the future, consistent with the Company's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 of PennantPark Floating Rate Capital Ltd.</w:t>
      </w:r>
    </w:p>
    <w:p>
      <w:pPr>
        <w:spacing w:after="0" w:line="17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equity interest in Funding I is subordinate to the secured and unsecured creditors, known or unknown, of Funding I including the Lender. Consequently, to the extent that the value of Funding I's portfolio of loan investments has been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7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the event that we fail to receive cash from Funding I, we could be unable to make distributions to our stockholders in amounts sufficient to maintain our status as a RIC, or at all. We also could be forced to sell 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4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Cash provided by financing activities for the period from March 4, 2011 (Commencement of Operations) to June 30, 2011 was $97.3 million. Cash used in operating activities for the period from March 4, 2011 (Commencement of Operations) to June 30, 2011 was $86.9 million. We expect that all current liquidity needs will be met with cash flows from operations and our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entered into certain contracts under which we will have material future commitments. Under the Investment Management Agreement, which was approved in March 2011, PennantPark Investment Advisers serves as our investment adviser. The Investment Adviser also serves as the collateral manager to Funding I and has irrevocably directed that all management fees owing with respect to such services are to be paid to the Company so long as the Investment Adviser remains the collateral manager. This arrangement will not increase the consolidated management fee of the Company. Payments under the Investment Management Agreement in each reporting period will be equal to (1) a management fee equal to a percentage of the value of our gross assets and (2) an incentive fee based on our performance. See Note 3.</w:t>
      </w:r>
    </w:p>
    <w:p>
      <w:pPr>
        <w:spacing w:after="0" w:line="178"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Under the Administration Agreement which was approved March 2011, PennantPark Investment Administration furnishes us with office facilities and administrative services necessary to conduct our day-to-day operations. If we are requested to provide managerial assistance to our portfolio companies, we or PennantPark Investment Administration will be paid an additional amount based on the services provided.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The Investment Adviser has paid to the underwriters 2% of the sales load, or $2.1 million in the aggregate, with respect to the initial public offering and exercise of the over-allotment option of shares of our common stock. We (and indirectly our stockholders) are obligated to repay this amount (a) if during any four consecutive calendar quarter-periods ending on or after the one year anniversary of the closing of our initial public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8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any new agreements that we enter into may increase. In addition, we will likely incur significant time and expense in locating alternative parties to provide the services we expect to receive under the Investment Management Agreement and the Administration Agreement. Any new Investment Management Agreement would also be subject to approval by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currently engage in no off-balance sheet arrangements, including any risk management of commodity pricing or other hedging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qualify as a RIC, we must also distribute an amount at least equal to the sum of 98% of our ordinary income (during each calendar year) plus 98.2% of our net capital gains (during each 12 month period ending on October 31) to avoid a 4% excise tax.</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 from March 4, 2011 (Commencement of Operations) to June 30, 2011, we declared distributions of $0.05 per share, for a total distribution of $0.3 million. Distributions are paid from taxable earnings and may include a return of capital and/or capital gains. The specific tax characteristics of the distributions will be reported to stockholders on Form 1099-DIV after the end of the calendar year and in its periodic report filed with the SEC.</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continue to make monthly distributions to our stockholders. Our monthly distributions, if any, are determined by our board of directors.</w:t>
      </w:r>
    </w:p>
    <w:p>
      <w:pPr>
        <w:spacing w:after="0" w:line="2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an amount equal to less than 10% of his or her entire distribution in cash. We have not elected to distribute stock as a dividend but reserve the right to do so.</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3"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Assuming that the balance sheet as of June 30,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reflect potential changes in the credit market, credit quality, size and composition of the assets on the balance sheet or other business developments that could affect the net change in net assets resulting from operations, or net income. Accordingly, no assurances can be given that actual results would not differ materially from the statement above.</w:t>
      </w:r>
    </w:p>
    <w:p>
      <w:pPr>
        <w:spacing w:after="0" w:line="121"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change in market interest rates would not have a material adverse effect on our net investment income.</w:t>
      </w:r>
    </w:p>
    <w:p>
      <w:pPr>
        <w:spacing w:after="0" w:line="1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hedge against interest rate fluctuations through the use of standard hedging instruments such as futures, options and forward contracts subject to the requirements of the 1940 Act. While any such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of the period covered by this Report, we, including our Chief Executive Officer and Chief Financial Officer, evaluated the effectiveness of the design and operation of our disclosure controls and procedures (as defined in Rule 13a-15(e) of the 1934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320" w:top="125" w:right="4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Neither we nor our Investment Adviser nor our Administrator is currently subject to any material legal proceedings, nor, to our knowledge, is any material legal proceeding threatened against us, our Investment Adviser or Administrator. From time to time, we, our Investment Adviser or Administrator, may become a party to certain legal proceedings in the ordinary course of business, including proceedings relating to the enforcement of our rights under contracts with our portfolio companies. The outcome of these legal proceedings cannot be predicted with certainty.</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“Risk Factors” section of our Registration Statement on Form N-2 filed on April 8, 2011, which could materially affect our business, financial condition and/or operating results. The risks described in our Form N-2 will be updated in our Annual Report on Form 10-K and are not the only risks facing us. Additional risks and uncertainties not currently known to us or that we currently deem to be immaterial also may materially and adversely affect our business, financial condition and/or operating results. As a result of the Credit Facility, through Funding I, we are subject to a variety of risks normally associated with leverage, including those set forth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interests in Funding I are subordinated.</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own 100% of the equity interests in Funding I. We consolidate Funding I in our financial statements and treat the indebtedness of Funding I as our leverage. 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I may fail to meet certain asset coverage tests, which would have an adverse effect on the time of payments to us.</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Under the documents governing the Credit Facility, there are two coverage tests applicable to Funding I. The first such test compares the amount of interest received on the portfolio loans held by Funding I to the amount of interest payable to the Lender. To meet this first test, the aggregate amount of interest received on the portfolio loans must equal at least 125% of the interest payable in respect to the Lender. The second such test compares the aggregate principal amount of the portfolio loans to the aggregate outstanding principal amount of the Credit Facility. To meet this test at any time, the aggregate principal amount of the portfolio loans must equal at least 50% of the aggregate outstanding borrowings under the Credit Facility.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receive cash on our equity interests from Funding I.</w:t>
      </w:r>
    </w:p>
    <w:p>
      <w:pPr>
        <w:spacing w:after="0" w:line="229"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Except for management fees that PennantPark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portfolio companies at less than their fair value in order to continue making such distributions.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ability to sell investments held by Funding I is limited.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ectPr>
          <w:pgSz w:w="11900" w:h="16838" w:orient="portrait"/>
          <w:cols w:equalWidth="0" w:num="1">
            <w:col w:w="10900"/>
          </w:cols>
          <w:pgMar w:left="320" w:top="125" w:right="67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28" w:lineRule="exact"/>
        <w:rPr>
          <w:sz w:val="20"/>
          <w:szCs w:val="20"/>
          <w:color w:val="auto"/>
        </w:rPr>
      </w:pPr>
    </w:p>
    <w:p>
      <w:pPr>
        <w:sectPr>
          <w:pgSz w:w="11900" w:h="16838" w:orient="portrait"/>
          <w:cols w:equalWidth="0" w:num="2">
            <w:col w:w="580" w:space="720"/>
            <w:col w:w="9600"/>
          </w:cols>
          <w:pgMar w:left="320" w:top="125" w:right="6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900"/>
          </w:cols>
          <w:pgMar w:left="320" w:top="125" w:right="679"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117" w:lineRule="exact"/>
        <w:rPr>
          <w:sz w:val="20"/>
          <w:szCs w:val="20"/>
          <w:color w:val="auto"/>
        </w:rPr>
      </w:pPr>
    </w:p>
    <w:p>
      <w:pPr>
        <w:sectPr>
          <w:pgSz w:w="11900" w:h="16838" w:orient="portrait"/>
          <w:cols w:equalWidth="0" w:num="2">
            <w:col w:w="580" w:space="720"/>
            <w:col w:w="9600"/>
          </w:cols>
          <w:pgMar w:left="320" w:top="125" w:right="6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900"/>
          </w:cols>
          <w:pgMar w:left="320" w:top="125" w:right="679"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06" w:lineRule="exact"/>
        <w:rPr>
          <w:sz w:val="20"/>
          <w:szCs w:val="20"/>
          <w:color w:val="auto"/>
        </w:rPr>
      </w:pPr>
    </w:p>
    <w:p>
      <w:pPr>
        <w:sectPr>
          <w:pgSz w:w="11900" w:h="16838" w:orient="portrait"/>
          <w:cols w:equalWidth="0" w:num="2">
            <w:col w:w="580" w:space="720"/>
            <w:col w:w="9600"/>
          </w:cols>
          <w:pgMar w:left="320" w:top="125" w:right="67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00"/>
          </w:cols>
          <w:pgMar w:left="320" w:top="125" w:right="67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360" w:lineRule="exact"/>
        <w:rPr>
          <w:sz w:val="20"/>
          <w:szCs w:val="20"/>
          <w:color w:val="auto"/>
        </w:rPr>
      </w:pPr>
    </w:p>
    <w:p>
      <w:pPr>
        <w:ind w:left="720" w:right="160" w:hanging="476"/>
        <w:spacing w:after="0" w:line="277" w:lineRule="auto"/>
        <w:tabs>
          <w:tab w:leader="none" w:pos="700" w:val="left"/>
        </w:tabs>
        <w:rPr>
          <w:sz w:val="20"/>
          <w:szCs w:val="20"/>
          <w:color w:val="auto"/>
        </w:rPr>
      </w:pPr>
      <w:r>
        <w:rPr>
          <w:rFonts w:ascii="Arial" w:cs="Arial" w:eastAsia="Arial" w:hAnsi="Arial"/>
          <w:sz w:val="18"/>
          <w:szCs w:val="18"/>
          <w:color w:val="auto"/>
        </w:rPr>
        <w:t>3.1</w:t>
        <w:tab/>
        <w:t>Articles of Amendment and Restatement of the Registrant (Incorporated by reference to the Registrant's Pre-Effective Amendment No.3 to the Registration Statement on Form N-2 (File No. 333-170243), filed on March 29, 2011).</w:t>
      </w:r>
    </w:p>
    <w:p>
      <w:pPr>
        <w:spacing w:after="0" w:line="8" w:lineRule="exact"/>
        <w:rPr>
          <w:sz w:val="20"/>
          <w:szCs w:val="20"/>
          <w:color w:val="auto"/>
        </w:rPr>
      </w:pPr>
    </w:p>
    <w:p>
      <w:pPr>
        <w:ind w:left="720" w:right="840" w:hanging="476"/>
        <w:spacing w:after="0" w:line="277" w:lineRule="auto"/>
        <w:tabs>
          <w:tab w:leader="none" w:pos="700" w:val="left"/>
        </w:tabs>
        <w:rPr>
          <w:sz w:val="20"/>
          <w:szCs w:val="20"/>
          <w:color w:val="auto"/>
        </w:rPr>
      </w:pPr>
      <w:r>
        <w:rPr>
          <w:rFonts w:ascii="Arial" w:cs="Arial" w:eastAsia="Arial" w:hAnsi="Arial"/>
          <w:sz w:val="18"/>
          <w:szCs w:val="18"/>
          <w:color w:val="auto"/>
        </w:rPr>
        <w:t>3.2</w:t>
        <w:tab/>
        <w:t>Amended and Restated Bylaws of the Registrant (Incorporated by reference to the Registrant's Pre-Effective Amendment No.3 to the Registration Statement on Form N-2 (File No. 333-170243), filed on March 29, 2011).</w:t>
      </w:r>
    </w:p>
    <w:p>
      <w:pPr>
        <w:spacing w:after="0" w:line="8" w:lineRule="exact"/>
        <w:rPr>
          <w:sz w:val="20"/>
          <w:szCs w:val="20"/>
          <w:color w:val="auto"/>
        </w:rPr>
      </w:pPr>
    </w:p>
    <w:p>
      <w:pPr>
        <w:ind w:left="720" w:right="160" w:hanging="476"/>
        <w:spacing w:after="0" w:line="277" w:lineRule="auto"/>
        <w:tabs>
          <w:tab w:leader="none" w:pos="700" w:val="left"/>
        </w:tabs>
        <w:rPr>
          <w:sz w:val="20"/>
          <w:szCs w:val="20"/>
          <w:color w:val="auto"/>
        </w:rPr>
      </w:pPr>
      <w:r>
        <w:rPr>
          <w:rFonts w:ascii="Arial" w:cs="Arial" w:eastAsia="Arial" w:hAnsi="Arial"/>
          <w:sz w:val="18"/>
          <w:szCs w:val="18"/>
          <w:color w:val="auto"/>
        </w:rPr>
        <w:t>4.1</w:t>
        <w:tab/>
        <w:t>Form of Share Certificate (Incorporated by reference to the Registrant's Pre-Effective Amendment No.5 to the Registration Statement on Form N-2 (File No. 333-170243), filed on April 5, 2011).</w:t>
      </w:r>
    </w:p>
    <w:p>
      <w:pPr>
        <w:spacing w:after="0" w:line="8"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Computation of Per Share Earnings (included in the notes to the consolidated financial statements contained in this Report).</w:t>
      </w:r>
    </w:p>
    <w:p>
      <w:pPr>
        <w:spacing w:after="0" w:line="63" w:lineRule="exact"/>
        <w:rPr>
          <w:sz w:val="20"/>
          <w:szCs w:val="20"/>
          <w:color w:val="auto"/>
        </w:rPr>
      </w:pPr>
    </w:p>
    <w:p>
      <w:pPr>
        <w:ind w:left="720" w:hanging="521"/>
        <w:spacing w:after="0" w:line="257" w:lineRule="auto"/>
        <w:tabs>
          <w:tab w:leader="none" w:pos="700" w:val="left"/>
        </w:tabs>
        <w:rPr>
          <w:sz w:val="20"/>
          <w:szCs w:val="20"/>
          <w:color w:val="auto"/>
        </w:rPr>
      </w:pPr>
      <w:r>
        <w:rPr>
          <w:rFonts w:ascii="Arial" w:cs="Arial" w:eastAsia="Arial" w:hAnsi="Arial"/>
          <w:sz w:val="18"/>
          <w:szCs w:val="18"/>
          <w:color w:val="auto"/>
        </w:rPr>
        <w:t>10.1</w:t>
        <w:tab/>
        <w:t>Revolving Credit and Security Agreement, dated as of June 23, 2011, among PennantPark Floating Rate Funding I, LLC, as the borrower, PennantPark Investment Advisers, LLC, as the collateral manager, the lenders from time to time party thereto, SunTrust Robinson Humphrey, Inc., as administrative agent, U.S. Bank National Association, as collateral agent, U.S. Bank National Association, as backup collateral manager, and U.S. Bank National Association, as custodian (Incorporated by reference to Exhibit 10.1 to the Registrant's Periodic Report on Form 8-K, filed on June 29, 2011).</w:t>
      </w:r>
    </w:p>
    <w:p>
      <w:pPr>
        <w:spacing w:after="0" w:line="26" w:lineRule="exact"/>
        <w:rPr>
          <w:sz w:val="20"/>
          <w:szCs w:val="20"/>
          <w:color w:val="auto"/>
        </w:rPr>
      </w:pPr>
    </w:p>
    <w:p>
      <w:pPr>
        <w:jc w:val="both"/>
        <w:ind w:left="720" w:right="60" w:hanging="521"/>
        <w:spacing w:after="0" w:line="263" w:lineRule="auto"/>
        <w:tabs>
          <w:tab w:leader="none" w:pos="700" w:val="left"/>
        </w:tabs>
        <w:rPr>
          <w:sz w:val="20"/>
          <w:szCs w:val="20"/>
          <w:color w:val="auto"/>
        </w:rPr>
      </w:pPr>
      <w:r>
        <w:rPr>
          <w:rFonts w:ascii="Arial" w:cs="Arial" w:eastAsia="Arial" w:hAnsi="Arial"/>
          <w:sz w:val="18"/>
          <w:szCs w:val="18"/>
          <w:color w:val="auto"/>
        </w:rPr>
        <w:t>10.2</w:t>
        <w:tab/>
        <w:t>Purchase and Contribution Agreement, dated as of June 23, 2011, among PennantPark Floating Rate Capital Ltd., as the seller, and PennantPark Floating Rate Funding I, LLC, as the buyer (Incorporated by reference to Exhibit 10.2 to the Registrant's Periodic Report on Form 8-K, filed on June 29, 2011).</w:t>
      </w:r>
    </w:p>
    <w:p>
      <w:pPr>
        <w:spacing w:after="0" w:line="22"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6"/>
          <w:szCs w:val="16"/>
          <w:color w:val="auto"/>
        </w:rPr>
        <w:t>Certification of Chief Executive Officer pursuant to Rule 13a-14 of the Securities Exchange Act of 1934, as amended.</w:t>
      </w:r>
    </w:p>
    <w:p>
      <w:pPr>
        <w:spacing w:after="0" w:line="63"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6"/>
          <w:szCs w:val="16"/>
          <w:color w:val="auto"/>
        </w:rPr>
        <w:t>Certification of Chief Financial Officer pursuant to Rule 13a-14 of the Securities Exchange Act of 1934, as amended.</w:t>
      </w:r>
    </w:p>
    <w:p>
      <w:pPr>
        <w:spacing w:after="0" w:line="63"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63"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18"/>
          <w:szCs w:val="18"/>
          <w:color w:val="auto"/>
        </w:rPr>
        <w:t>32.2 *</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w:t>
      </w:r>
    </w:p>
    <w:p>
      <w:pPr>
        <w:spacing w:after="0" w:line="171" w:lineRule="exact"/>
        <w:rPr>
          <w:sz w:val="20"/>
          <w:szCs w:val="20"/>
          <w:color w:val="auto"/>
        </w:rPr>
      </w:pPr>
    </w:p>
    <w:p>
      <w:pPr>
        <w:ind w:left="720" w:hanging="68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125" w:right="4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30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PENNANT PARK FLOATING RATE CAPITAL LTD.</w:t>
      </w:r>
    </w:p>
    <w:p>
      <w:pPr>
        <w:spacing w:after="0" w:line="387" w:lineRule="exact"/>
        <w:rPr>
          <w:sz w:val="20"/>
          <w:szCs w:val="20"/>
          <w:color w:val="auto"/>
        </w:rPr>
      </w:pPr>
    </w:p>
    <w:p>
      <w:pPr>
        <w:ind w:left="40"/>
        <w:spacing w:after="0"/>
        <w:tabs>
          <w:tab w:leader="none" w:pos="700" w:val="left"/>
          <w:tab w:leader="none" w:pos="442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53"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Arthur H. Penn</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Chief Executive Officer</w:t>
      </w:r>
    </w:p>
    <w:p>
      <w:pPr>
        <w:spacing w:after="0" w:line="391" w:lineRule="exact"/>
        <w:rPr>
          <w:sz w:val="20"/>
          <w:szCs w:val="20"/>
          <w:color w:val="auto"/>
        </w:rPr>
      </w:pPr>
    </w:p>
    <w:p>
      <w:pPr>
        <w:ind w:left="40"/>
        <w:spacing w:after="0"/>
        <w:tabs>
          <w:tab w:leader="none" w:pos="700" w:val="left"/>
          <w:tab w:leader="none" w:pos="4420" w:val="left"/>
          <w:tab w:leader="none" w:pos="7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5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Aviv Efrat</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Chief Executive Officer of PennantPark Floating Rate Capital Ltd., certify that:</w:t>
      </w:r>
    </w:p>
    <w:p>
      <w:pPr>
        <w:spacing w:after="0" w:line="7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 and subsidiaries;</w:t>
      </w:r>
    </w:p>
    <w:p>
      <w:pPr>
        <w:spacing w:after="0" w:line="184" w:lineRule="exact"/>
        <w:rPr>
          <w:rFonts w:ascii="Arial" w:cs="Arial" w:eastAsia="Arial" w:hAnsi="Arial"/>
          <w:sz w:val="18"/>
          <w:szCs w:val="18"/>
          <w:color w:val="auto"/>
        </w:rPr>
      </w:pPr>
    </w:p>
    <w:p>
      <w:pPr>
        <w:ind w:right="20" w:firstLine="8"/>
        <w:spacing w:after="0" w:line="342" w:lineRule="auto"/>
        <w:tabs>
          <w:tab w:leader="none" w:pos="1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firstLine="8"/>
        <w:spacing w:after="0" w:line="277" w:lineRule="auto"/>
        <w:tabs>
          <w:tab w:leader="none" w:pos="2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9"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5" w:lineRule="exact"/>
        <w:rPr>
          <w:sz w:val="20"/>
          <w:szCs w:val="20"/>
          <w:color w:val="auto"/>
        </w:rPr>
      </w:pPr>
    </w:p>
    <w:p>
      <w:pPr>
        <w:jc w:val="both"/>
        <w:ind w:firstLine="8"/>
        <w:spacing w:after="0" w:line="263" w:lineRule="auto"/>
        <w:tabs>
          <w:tab w:leader="none" w:pos="1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4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43" w:lineRule="exact"/>
        <w:rPr>
          <w:rFonts w:ascii="Arial" w:cs="Arial" w:eastAsia="Arial" w:hAnsi="Arial"/>
          <w:sz w:val="18"/>
          <w:szCs w:val="18"/>
          <w:color w:val="auto"/>
        </w:rPr>
      </w:pPr>
    </w:p>
    <w:p>
      <w:pPr>
        <w:ind w:firstLine="8"/>
        <w:spacing w:after="0" w:line="277" w:lineRule="auto"/>
        <w:tabs>
          <w:tab w:leader="none" w:pos="1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firstLine="8"/>
        <w:spacing w:after="0" w:line="308" w:lineRule="auto"/>
        <w:tabs>
          <w:tab w:leader="none" w:pos="2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06" w:lineRule="exact"/>
        <w:rPr>
          <w:sz w:val="20"/>
          <w:szCs w:val="20"/>
          <w:color w:val="auto"/>
        </w:rPr>
      </w:pPr>
    </w:p>
    <w:p>
      <w:pPr>
        <w:ind w:right="20" w:firstLine="8"/>
        <w:spacing w:after="0" w:line="306" w:lineRule="auto"/>
        <w:tabs>
          <w:tab w:leader="none" w:pos="20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sz w:val="20"/>
          <w:szCs w:val="20"/>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9" w:lineRule="exact"/>
        <w:rPr>
          <w:rFonts w:ascii="Arial" w:cs="Arial" w:eastAsia="Arial" w:hAnsi="Arial"/>
          <w:sz w:val="18"/>
          <w:szCs w:val="18"/>
          <w:color w:val="auto"/>
        </w:rPr>
      </w:pPr>
    </w:p>
    <w:p>
      <w:pPr>
        <w:ind w:right="20" w:firstLine="8"/>
        <w:spacing w:after="0" w:line="277"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287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Arthur H. Penn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66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Chief Financial Officer of PennantPark Floating Rate Capital Ltd., certify that:</w:t>
      </w:r>
    </w:p>
    <w:p>
      <w:pPr>
        <w:spacing w:after="0" w:line="7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 and subsidiaries;</w:t>
      </w:r>
    </w:p>
    <w:p>
      <w:pPr>
        <w:spacing w:after="0" w:line="184" w:lineRule="exact"/>
        <w:rPr>
          <w:rFonts w:ascii="Arial" w:cs="Arial" w:eastAsia="Arial" w:hAnsi="Arial"/>
          <w:sz w:val="18"/>
          <w:szCs w:val="18"/>
          <w:color w:val="auto"/>
        </w:rPr>
      </w:pPr>
    </w:p>
    <w:p>
      <w:pPr>
        <w:ind w:right="20" w:firstLine="8"/>
        <w:spacing w:after="0" w:line="342" w:lineRule="auto"/>
        <w:tabs>
          <w:tab w:leader="none" w:pos="1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firstLine="8"/>
        <w:spacing w:after="0" w:line="277" w:lineRule="auto"/>
        <w:tabs>
          <w:tab w:leader="none" w:pos="2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9"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5" w:lineRule="exact"/>
        <w:rPr>
          <w:sz w:val="20"/>
          <w:szCs w:val="20"/>
          <w:color w:val="auto"/>
        </w:rPr>
      </w:pPr>
    </w:p>
    <w:p>
      <w:pPr>
        <w:jc w:val="both"/>
        <w:ind w:firstLine="8"/>
        <w:spacing w:after="0" w:line="263"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4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43" w:lineRule="exact"/>
        <w:rPr>
          <w:rFonts w:ascii="Arial" w:cs="Arial" w:eastAsia="Arial" w:hAnsi="Arial"/>
          <w:sz w:val="18"/>
          <w:szCs w:val="18"/>
          <w:color w:val="auto"/>
        </w:rPr>
      </w:pPr>
    </w:p>
    <w:p>
      <w:pPr>
        <w:ind w:firstLine="8"/>
        <w:spacing w:after="0" w:line="277" w:lineRule="auto"/>
        <w:tabs>
          <w:tab w:leader="none" w:pos="1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firstLine="8"/>
        <w:spacing w:after="0" w:line="308" w:lineRule="auto"/>
        <w:tabs>
          <w:tab w:leader="none" w:pos="2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06" w:lineRule="exact"/>
        <w:rPr>
          <w:sz w:val="20"/>
          <w:szCs w:val="20"/>
          <w:color w:val="auto"/>
        </w:rPr>
      </w:pPr>
    </w:p>
    <w:p>
      <w:pPr>
        <w:ind w:right="20" w:firstLine="8"/>
        <w:spacing w:after="0" w:line="306" w:lineRule="auto"/>
        <w:tabs>
          <w:tab w:leader="none" w:pos="20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sz w:val="20"/>
          <w:szCs w:val="20"/>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9" w:lineRule="exact"/>
        <w:rPr>
          <w:rFonts w:ascii="Arial" w:cs="Arial" w:eastAsia="Arial" w:hAnsi="Arial"/>
          <w:sz w:val="18"/>
          <w:szCs w:val="18"/>
          <w:color w:val="auto"/>
        </w:rPr>
      </w:pPr>
    </w:p>
    <w:p>
      <w:pPr>
        <w:ind w:right="20" w:firstLine="8"/>
        <w:spacing w:after="0" w:line="277"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287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Aviv Efrat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66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connection with this Report on Form 10-Q for the period ended June 30, 2011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13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063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Arthur H. Penn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2011</w:t>
      </w:r>
    </w:p>
    <w:p>
      <w:pPr>
        <w:sectPr>
          <w:pgSz w:w="11900" w:h="16838" w:orient="portrait"/>
          <w:cols w:equalWidth="0" w:num="1">
            <w:col w:w="11240"/>
          </w:cols>
          <w:pgMar w:left="320" w:top="58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connection with this Report on Form 10-Q for the period ended June 30, 2011 (the “Report”) of PennantPark Floating Rate Capital Ltd. (the “Registrant”), as filed with the Securities and Exchange Commission on the date hereof, I, Aviv Efrat, Chief Financial Officer of the Registrant, hereby certify, to the best of my knowledge, that:</w:t>
      </w:r>
    </w:p>
    <w:p>
      <w:pPr>
        <w:spacing w:after="0" w:line="34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0633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Aviv Efrat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2011</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T"/>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lvl>
    <w:lvl w:ilvl="1">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2020-05-05T12:05:38Z</dcterms:created>
  <dcterms:modified xsi:type="dcterms:W3CDTF">2020-05-05T12:05:38Z</dcterms:modified>
</cp:coreProperties>
</file>