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14,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38" w:lineRule="auto"/>
        <w:rPr>
          <w:sz w:val="20"/>
          <w:szCs w:val="20"/>
          <w:color w:val="auto"/>
        </w:rPr>
      </w:pPr>
      <w:r>
        <w:rPr>
          <w:rFonts w:ascii="Arial" w:cs="Arial" w:eastAsia="Arial" w:hAnsi="Arial"/>
          <w:sz w:val="22"/>
          <w:szCs w:val="22"/>
          <w:color w:val="auto"/>
        </w:rPr>
        <w:t>On January 14, 2013, PennantPark Floating Rate Capital Ltd. (the "Company") issued a press release announcing that its investment adviser, PennantPark Investment Advisers, LLC, intends to commence purchases of shares of common stock in the Company as of January 15, 2013. A copy of the press release is furnished as Exhibit 99.1 to this report, pursuant to Item 7.01 and Regulation FD.</w:t>
      </w:r>
    </w:p>
    <w:p>
      <w:pPr>
        <w:spacing w:after="0" w:line="200" w:lineRule="exact"/>
        <w:rPr>
          <w:sz w:val="24"/>
          <w:szCs w:val="24"/>
          <w:color w:val="auto"/>
        </w:rPr>
      </w:pPr>
    </w:p>
    <w:p>
      <w:pPr>
        <w:spacing w:after="0" w:line="255"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14,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84"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14, 2013</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14,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96" w:right="459" w:bottom="1440" w:gutter="0" w:footer="0" w:header="0"/>
        </w:sectPr>
      </w:pPr>
    </w:p>
    <w:bookmarkStart w:id="2" w:name="page3"/>
    <w:bookmarkEnd w:id="2"/>
    <w:p>
      <w:pPr>
        <w:jc w:val="both"/>
        <w:ind w:right="80"/>
        <w:spacing w:after="0" w:line="257" w:lineRule="auto"/>
        <w:rPr>
          <w:sz w:val="20"/>
          <w:szCs w:val="20"/>
          <w:color w:val="auto"/>
        </w:rPr>
      </w:pPr>
      <w:r>
        <w:rPr>
          <w:rFonts w:ascii="Arial" w:cs="Arial" w:eastAsia="Arial" w:hAnsi="Arial"/>
          <w:sz w:val="22"/>
          <w:szCs w:val="22"/>
          <w:b w:val="1"/>
          <w:bCs w:val="1"/>
          <w:color w:val="auto"/>
        </w:rPr>
        <w:t>PennantPark Floating Rate Capital Ltd. Announces Commencement of Purchases of Shares by PennantPark Investment Advisers, LLC</w:t>
      </w:r>
    </w:p>
    <w:p>
      <w:pPr>
        <w:spacing w:after="0" w:line="167" w:lineRule="exact"/>
        <w:rPr>
          <w:sz w:val="20"/>
          <w:szCs w:val="20"/>
          <w:color w:val="auto"/>
        </w:rPr>
      </w:pPr>
    </w:p>
    <w:p>
      <w:pPr>
        <w:jc w:val="both"/>
        <w:ind w:right="60"/>
        <w:spacing w:after="0" w:line="257" w:lineRule="auto"/>
        <w:rPr>
          <w:sz w:val="20"/>
          <w:szCs w:val="20"/>
          <w:color w:val="auto"/>
        </w:rPr>
      </w:pPr>
      <w:r>
        <w:rPr>
          <w:rFonts w:ascii="Arial" w:cs="Arial" w:eastAsia="Arial" w:hAnsi="Arial"/>
          <w:sz w:val="21"/>
          <w:szCs w:val="21"/>
          <w:color w:val="auto"/>
        </w:rPr>
        <w:t>NEW YORK, NY -- (Marketwire - January 14, 2013) - PennantPark Floating Rate Capital Ltd. ("Company") (NASDAQ: PFLT) announced today that PennantPark Investment Advisers, LLC ("Investment Adviser") intends to commence purchases of shares of common stock of the Company in secondary market purchases on January 15, 2013.</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These purchases fulfill a contractual obligation of the Investment Adviser undertaken in connection with the Company's initial public offering of common stock ("IPO") in April 2011. At that time, the Investment Adviser agreed to pay to the underwriters a portion of the underwriters' sales load in respect of the IPO. The Investment Adviser paid 2% of such sales load, or $2,055,000 in the aggregate, on behalf of the Company. Under terms agreed among the Company, the Investment Adviser and the underwriters of the IPO, the Company agreed to repay such amount to the Investment Adviser upon its achievement of a benchmark return over four consecutive quarters, and the Investment Adviser agreed to use such amount to purchase shares of the Company's common stock over a six-month period following such repayment. The Company met the conditions for repayment of the Investment Adviser at the end of the quarter ended December 31, 2012 and duly repaid $2,055,000 to the Investment Adviser on January 14, 2013. The Investment Adviser announced that it intends to purchase shares of the Company's common stock in the secondary market over the applicable six-month purchase period in compliance with applicable law and Securities and Exchange Commission guidance.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0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2020-05-05T12:04:23Z</dcterms:created>
  <dcterms:modified xsi:type="dcterms:W3CDTF">2020-05-05T12:04:23Z</dcterms:modified>
</cp:coreProperties>
</file>