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25,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On November 25, 2024, PennantPark Floating Rate Capital Ltd., or the Company, issued a press release announcing its financial results for the fourth fiscal quarter and fiscal year ended September 30, 2024. A copy of the press release is furnished as Exhibit 99.1 to this report pursuant to Item 2.02 on Form 8-K and Regulation FD.</w:t>
      </w:r>
    </w:p>
    <w:p>
      <w:pPr>
        <w:spacing w:after="0" w:line="149"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jc w:val="both"/>
        <w:ind w:right="140" w:firstLine="222"/>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Floating Rate Capital Ltd. dated November 25,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2024</w:t>
            </w:r>
          </w:p>
        </w:tc>
        <w:tc>
          <w:tcPr>
            <w:tcW w:w="49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PennantPark Floating Rate Capital Ltd. Announces Financial Results for the Fourth Quarter and Fiscal Year Ended September 30, 2024</w:t>
      </w:r>
    </w:p>
    <w:p>
      <w:pPr>
        <w:spacing w:after="0" w:line="1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MIAMI, Nov. 25, 2024 (GLOBE NEWSWIRE) -- PennantPark Floating Rate Capital Ltd. (NYSE: PFLT) (the "Company") announced today financial results for the fourth quarter and fiscal year ended September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 ended September 30, 2024</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5"/>
        </w:trPr>
        <w:tc>
          <w:tcPr>
            <w:tcW w:w="62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1,983.5</w:t>
            </w:r>
          </w:p>
        </w:tc>
      </w:tr>
      <w:tr>
        <w:trPr>
          <w:trHeight w:val="270"/>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877.3</w:t>
            </w:r>
          </w:p>
        </w:tc>
      </w:tr>
      <w:tr>
        <w:trPr>
          <w:trHeight w:val="270"/>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11.31</w:t>
            </w:r>
          </w:p>
        </w:tc>
      </w:tr>
      <w:tr>
        <w:trPr>
          <w:trHeight w:val="279"/>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decrease in GAAP net asset value per share</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w:t>
            </w:r>
          </w:p>
        </w:tc>
      </w:tr>
      <w:tr>
        <w:trPr>
          <w:trHeight w:val="324"/>
        </w:trPr>
        <w:tc>
          <w:tcPr>
            <w:tcW w:w="620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11.31</w:t>
            </w:r>
          </w:p>
        </w:tc>
      </w:tr>
      <w:tr>
        <w:trPr>
          <w:trHeight w:val="475"/>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Quarterly decrease in adjusted net asset value per share </w:t>
            </w:r>
            <w:r>
              <w:rPr>
                <w:rFonts w:ascii="Times New Roman" w:cs="Times New Roman" w:eastAsia="Times New Roman" w:hAnsi="Times New Roman"/>
                <w:sz w:val="35"/>
                <w:szCs w:val="35"/>
                <w:color w:val="auto"/>
                <w:vertAlign w:val="superscript"/>
              </w:rPr>
              <w:t>(2)</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w:t>
            </w:r>
          </w:p>
        </w:tc>
      </w:tr>
      <w:tr>
        <w:trPr>
          <w:trHeight w:val="65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443.9</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2036 Asset-Backed Debt</w:t>
            </w: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284.1</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2036-R Asset Backed Debt</w:t>
            </w: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265.2</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2026 Notes</w:t>
            </w: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183.8</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Regulatory Debt to Equity</w:t>
            </w: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1.35x</w:t>
            </w:r>
          </w:p>
        </w:tc>
      </w:tr>
      <w:tr>
        <w:trPr>
          <w:trHeight w:val="282"/>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yield on debt investments at quarter-end</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794"/>
        </w:trPr>
        <w:tc>
          <w:tcPr>
            <w:tcW w:w="6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8"/>
              </w:rPr>
              <w:t>Quarter Ended</w:t>
            </w:r>
          </w:p>
        </w:tc>
        <w:tc>
          <w:tcPr>
            <w:tcW w:w="280" w:type="dxa"/>
            <w:vAlign w:val="bottom"/>
          </w:tcPr>
          <w:p>
            <w:pPr>
              <w:spacing w:after="0"/>
              <w:rPr>
                <w:sz w:val="24"/>
                <w:szCs w:val="24"/>
                <w:color w:val="auto"/>
              </w:rPr>
            </w:pPr>
          </w:p>
        </w:tc>
        <w:tc>
          <w:tcPr>
            <w:tcW w:w="18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Year Ended</w:t>
            </w:r>
          </w:p>
        </w:tc>
      </w:tr>
      <w:tr>
        <w:trPr>
          <w:trHeight w:val="243"/>
        </w:trPr>
        <w:tc>
          <w:tcPr>
            <w:tcW w:w="6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4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September 30,</w:t>
            </w:r>
          </w:p>
        </w:tc>
        <w:tc>
          <w:tcPr>
            <w:tcW w:w="280" w:type="dxa"/>
            <w:vAlign w:val="bottom"/>
          </w:tcPr>
          <w:p>
            <w:pPr>
              <w:spacing w:after="0"/>
              <w:rPr>
                <w:sz w:val="21"/>
                <w:szCs w:val="21"/>
                <w:color w:val="auto"/>
              </w:rPr>
            </w:pPr>
          </w:p>
        </w:tc>
        <w:tc>
          <w:tcPr>
            <w:tcW w:w="1860" w:type="dxa"/>
            <w:vAlign w:val="bottom"/>
          </w:tcPr>
          <w:p>
            <w:pPr>
              <w:jc w:val="center"/>
              <w:ind w:righ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September 30,</w:t>
            </w:r>
          </w:p>
        </w:tc>
      </w:tr>
      <w:tr>
        <w:trPr>
          <w:trHeight w:val="286"/>
        </w:trPr>
        <w:tc>
          <w:tcPr>
            <w:tcW w:w="6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280" w:type="dxa"/>
            <w:vAlign w:val="bottom"/>
          </w:tcPr>
          <w:p>
            <w:pPr>
              <w:spacing w:after="0"/>
              <w:rPr>
                <w:sz w:val="24"/>
                <w:szCs w:val="24"/>
                <w:color w:val="auto"/>
              </w:rPr>
            </w:pPr>
          </w:p>
        </w:tc>
        <w:tc>
          <w:tcPr>
            <w:tcW w:w="18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5"/>
              </w:rPr>
              <w:t>2024</w:t>
            </w:r>
          </w:p>
        </w:tc>
      </w:tr>
      <w:tr>
        <w:trPr>
          <w:trHeight w:val="528"/>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18.0</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77.7</w:t>
            </w:r>
          </w:p>
        </w:tc>
      </w:tr>
      <w:tr>
        <w:trPr>
          <w:trHeight w:val="279"/>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 (GAAP)</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0.24</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1.18</w:t>
            </w:r>
          </w:p>
        </w:tc>
      </w:tr>
      <w:tr>
        <w:trPr>
          <w:trHeight w:val="315"/>
        </w:trPr>
        <w:tc>
          <w:tcPr>
            <w:tcW w:w="62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0.32</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1.27</w:t>
            </w:r>
          </w:p>
        </w:tc>
      </w:tr>
      <w:tr>
        <w:trPr>
          <w:trHeight w:val="282"/>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0.31</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1.23</w:t>
            </w:r>
          </w:p>
        </w:tc>
      </w:tr>
      <w:tr>
        <w:trPr>
          <w:trHeight w:val="528"/>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445.8</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1,407.5</w:t>
            </w:r>
          </w:p>
        </w:tc>
      </w:tr>
      <w:tr>
        <w:trPr>
          <w:trHeight w:val="282"/>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127.9</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514.1</w:t>
            </w:r>
          </w:p>
        </w:tc>
      </w:tr>
      <w:tr>
        <w:trPr>
          <w:trHeight w:val="528"/>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PSSL Portfolio data:</w:t>
            </w: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PSSL investment portfolio</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913.3</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913.3</w:t>
            </w:r>
          </w:p>
        </w:tc>
      </w:tr>
      <w:tr>
        <w:trPr>
          <w:trHeight w:val="270"/>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45.8</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286.2</w:t>
            </w:r>
          </w:p>
        </w:tc>
      </w:tr>
      <w:tr>
        <w:trPr>
          <w:trHeight w:val="282"/>
        </w:trPr>
        <w:tc>
          <w:tcPr>
            <w:tcW w:w="6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35.9</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160.1</w:t>
            </w:r>
          </w:p>
        </w:tc>
      </w:tr>
    </w:tbl>
    <w:p>
      <w:pPr>
        <w:spacing w:after="0" w:line="200" w:lineRule="exact"/>
        <w:rPr>
          <w:sz w:val="20"/>
          <w:szCs w:val="20"/>
          <w:color w:val="auto"/>
        </w:rPr>
      </w:pPr>
    </w:p>
    <w:p>
      <w:pPr>
        <w:spacing w:after="0" w:line="260" w:lineRule="exact"/>
        <w:rPr>
          <w:sz w:val="20"/>
          <w:szCs w:val="20"/>
          <w:color w:val="auto"/>
        </w:rPr>
      </w:pPr>
    </w:p>
    <w:p>
      <w:pPr>
        <w:ind w:left="540" w:hanging="208"/>
        <w:spacing w:after="0" w:line="241"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Secured Loan Fund I LLC, or PSSL, an unconsolidated joint venture, totaling $294.2 million, at fair value.</w:t>
      </w:r>
    </w:p>
    <w:p>
      <w:pPr>
        <w:spacing w:after="0" w:line="1" w:lineRule="exact"/>
        <w:rPr>
          <w:rFonts w:ascii="Times New Roman" w:cs="Times New Roman" w:eastAsia="Times New Roman" w:hAnsi="Times New Roman"/>
          <w:sz w:val="22"/>
          <w:szCs w:val="22"/>
          <w:color w:val="auto"/>
        </w:rPr>
      </w:pPr>
    </w:p>
    <w:p>
      <w:pPr>
        <w:jc w:val="both"/>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including the impact of the unrealized amounts on the Credit Facility. The presentation of this additional information is not meant to be considered in isolation or as a substitute for financial results prepared in accordance with GAAP.</w:t>
      </w:r>
    </w:p>
    <w:p>
      <w:pPr>
        <w:spacing w:after="0" w:line="2" w:lineRule="exact"/>
        <w:rPr>
          <w:rFonts w:ascii="Times New Roman" w:cs="Times New Roman" w:eastAsia="Times New Roman" w:hAnsi="Times New Roman"/>
          <w:sz w:val="22"/>
          <w:szCs w:val="22"/>
          <w:color w:val="auto"/>
        </w:rPr>
      </w:pPr>
    </w:p>
    <w:p>
      <w:pPr>
        <w:jc w:val="both"/>
        <w:ind w:left="540" w:hanging="208"/>
        <w:spacing w:after="0" w:line="232"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September 30, 2024, Core NII excluded: i) $8.6m of debt amendment and issuance costs, and included ii) $2.8m of incentive fee expense.</w:t>
      </w:r>
    </w:p>
    <w:p>
      <w:pPr>
        <w:sectPr>
          <w:pgSz w:w="11900" w:h="16883"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CONFERENCE CALL AT 9:00 A.M. ET ON NOVEMBER 26, 2024</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Tuesday, November 26,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#3226260 or PennantPark Floating Rate Capital Ltd. An archived replay will also be available on a webcast link located on the Quarterly Earnings page in the Investor section of PennantPark’s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have another quarter of solid performance” said Art Penn, Chairman and CEO. “We believe we are continuing to invest in a strong vintage of new loans in the core middle market with low leverage, meaningful covenants, and attractive spreads .”</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2024, our portfolio totaled $1,983.5 million and consisted of $1,746.7 million of first lien secured debt (including $237.7 million in PSSL),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of our overall portfolio on a cost and fair value basis, respectively. Overall, the portfolio had a net unrealized depreciation of $11.4 million. Our overall portfolio consisted of 158 companies with an average investment size of $12.6 million, and a weighted average yield on debt investments of 11.5%, and was invested 88% in first lien secured debt (including 12% in PSSL), less than 1% in second lien secured debt and subordinated debt and 12% in preferred and common equity (including 3% in PSSL). As of September 30, 2024, over 99% of the investments held by PSSL were first lien secured debt.</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2023, our portfolio totaled $1,067.2 million and consisted of $906.2 million of first lien secured debt (including $210.1 million in PSSL), $0.1 million of second lien secured debt and $160.9 million of preferred and common equity (including $50.9 million in PSSL). Our debt portfolio consisted of approximately 100% variable-rate investments. As of September 30, 2023, we had three portfolio companies on non-accrual, representing 0.9% and 0.2% percent of our overall portfolio on a cost and fair value basis, respectively. Overall, the portfolio had net unrealized depreciation of $25.7 million. Our overall portfolio consisted of 131 companies with an average investment size of $8.1 million, had a weighted average yield on debt investments of 12.6%, and was invested 85% in first lien secured debt (including 20% in PSSL), less than 1% in second lien secured debt and 15% in preferred and common equity (including 5% in PSSL). As of September 30, 2023, 99% of the investments held by PSSL were first lien secured debt.</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September 30, 2024, we invested $445.8 million in ten new and 50 existing portfolio companies with a weighted average yield on debt investments of 11.0%. Sale and repayments of investments for the same period totaled $127.9 million. This compares to the three months ended September 30, 2023, in which we invested $93.5 million in three new and 31 existing portfolio companies with a weighted average yield on debt investment of 12.1%. Sales and repayments of investments for the same period totaled $141.0 million.</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2024, we invested $1,407.5 million in 43 new and 91 existing portfolio companies with a weighted average yield on debt investments of 11.4%. Sales and repayments of investments for the same period totaled $514.1 million.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2023, we invested $324.5 million in 16 new and 71 existing portfolio companies with a weighted average yield on debt investments of 12.1%. Sales and repayments of investments for the same period totaled $399.1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Secured Loan Fund I LLC</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September 30, 2024, PSSL’s portfolio totaled $913.3 million, consisted of 109 companies with an average investment size of $8.4 million and had a weighted average yield on debt investments of 11.4%. As of September 30, 2023, PSSL’s portfolio totaled $785.9 million, consisted of 105 companies with an average investment size of $7.5 million and had a weighted average yield on debt investments of 12.1%.</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September 30, 2024, PSSL invested $45.8 million in five new and 26 existing portfolio companies with a weighted average yield on debt investments of 11.3%. PSSL's sales and repayments for the same period totaled $35.9 million. For the three months ended September 30, 2023, PSSL invested $52.5 million in five new and eight existing portfolio companies with a weighted average yield on debt investments of 12.0% PSSL's sales and repayments for the same period totaled $76.4 million.</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2024, PSSL invested $286.2 million (of which $253.6 million was purchased from the Company) in 24 new and 36 existing portfolio companies with a weighted average yield on debt investments of 11.7%. PSSL’s sales and repayments of investments for the same period totaled $160.1 million.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2023, PSSL invested $190.9 million (of which $158.2 million was purchased from the Company) in 22 new and 27 existing portfolio companies with a weighted average yield on debt investments of 11.8%. PSSL’s sales and repayments of investments for the same period totaled $155.2 million.</w:t>
      </w:r>
    </w:p>
    <w:p>
      <w:pPr>
        <w:sectPr>
          <w:pgSz w:w="11900" w:h="16838" w:orient="portrait"/>
          <w:cols w:equalWidth="0" w:num="1">
            <w:col w:w="11240"/>
          </w:cols>
          <w:pgMar w:left="320" w:top="108"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and year ended September 30,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Investment income for the three months and year ended September 30, 2024, was $55.5 million and $186.4 million and was attributable to $49.2 million and $164.3 million from first lien secured debt and $6.3 million and $22.1 million from other investments. The increase in investment income compared to the same periods in the prior year was primarily due to an increase in the size of the debt portfolio.</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Investment income for the three months and year ended September 30, 2023 was $35.7 million and $139.3 million respectively, and was attributable to $31.4 million and $120.0 million from first lien secured debt, zero and $4.3 million and $19.3 million from other investments.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Expenses for the three months and year ended September 30, 2024, totaled $37.5 million and $108.6 million. Base management fee for the same period totaled $4.6 million and $14.9 million, incentive fee totaled $3.2 million and $18.1 million, debt related interest and expenses totaled $27.8 million and $67.9 million, general and administrative expenses totaled $1.7 million and $6.7 million and provision for taxes totaled $0.2 million and $1.1 million, respectively. The increase in expenses compared to the prior year was primarily due to an increase in debt related interest and expenses and incentive fees.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Expenses for the three months and year ended September 30, 2023 totaled $17.2 million and $71.8 million. Base management fee for the same period totaled $2.8 million and $11.4 million, incentive fee totaled $4.6 million and $16.9 million, debt related interest and expenses totaled $8.6 million and $38.2 million, general and administrative expenses totaled $1.1 million and $4.4 million and provision for taxes totaled $0.2 million and $1.0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Net investment income for the three months and year ended September 30, 2024 totaled $18.0 million and $77.7 million, or $0.24 and $1.18 per share. Net investment income for the three months and year ended September 30, 2023, totaled $18.5 million and $67.5 million, or $0.32 and $1.33 per share, respectively. The increase in net investment income compared to the prior year was primarily due to an increase in the size of our debt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Net realized gain (losses) for the three months and year ended September 30, 2024 totaled $(0.3) million and $0.2 million. Net realized gain (losses) for the three months and year ended September 30, 2023 totaled $(2.3) million and ($15.9) million, respectively. The change in realized gains (losses) was primarily due to changes in market conditions of our investments and the values at which they were realized, caused by fluctuations in the market and in the economy.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the Credit Facility and the 2023 Notes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and year ended September 30, 2024, we reported net change in unrealized appreciation (depreciation) on investments of $4.3 million and $14.3 million, respectively. For the three months and year ended September 30, 2023, net change in unrealized appreciation (depreciation) on investments was $9.5 million and $(12.6) million, respectively. As of September 30, 2024 and 2023, our net unrealized appreciation (depreciation) on investments totaled $(11.4) million and $(25.7) million, respectively. The net change in unrealized appreciation/depreciation on our investments for the year ended September 30, 2024 compared to the prior year was primarily due to changes in the capital market conditions of our investments and the values at which they were realized, caused by the fluctuations in the market and in the economy.</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and year ended September 30, 2024, our Credit Facility and 2023 Notes had a net change in unrealized (appreciation) depreciation totaled zero, respectively. For the three months and year ended September 30, 2023, the Credit Facility or our Prior Credit Facility, as applicable, and 2023 Notes had a net change in unrealized (appreciation) depreciation of $2.6 million and $(2.3) million, respectively. The net change in unrealized appreciation or depreciation compared to the same periods in the prior year was primarily due to changes in the capital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and year ended September 30, 2024, net change in net assets resulting from operations totaled $21.3 million and $91.8 million, or $0.29 and $1.40 per share, respectively. For the three months and year ended September 30, 2023, net change in net assets resulting from operations totaled $28.0 million and $39.3 million, or $0.48 and $0.77 per share, respectively. The increase in net assets from operations for the year ended September 30, 2024 compared to the prior year was primarily due to less depreciation of the portfolio primarily driven by changes in market conditions of our investments along with the change in size and cost yield of our debt portfolio and costs of financing.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ectPr>
          <w:pgSz w:w="11900" w:h="16838" w:orient="portrait"/>
          <w:cols w:equalWidth="0" w:num="1">
            <w:col w:w="11240"/>
          </w:cols>
          <w:pgMar w:left="320" w:top="108" w:right="339" w:bottom="90" w:gutter="0" w:footer="0" w:header="0"/>
        </w:sectPr>
      </w:pPr>
    </w:p>
    <w:bookmarkStart w:id="6" w:name="page7"/>
    <w:bookmarkEnd w:id="6"/>
    <w:p>
      <w:pPr>
        <w:spacing w:after="0" w:line="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annualized weighted average cost of debt for the years ended September 30, 2024 and 2023, inclusive of the fee on the undrawn commitment on the Credit Facility or Prior Credit Facility, as applicable, amendment costs and debt issuance costs, was 8.5% and 6.2%, respectively. As of September 30, 2024 and 2023, we had $192.1 million and $376.6 million of unused borrowing capacity under the Credit Facility, subject to leverage and borrowing base restrictions.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Funding I’s multi-currency Credit Facility with the Lenders upsized during the year increasing the facility to $636.0 million as of September 30, 2024, subject to satisfaction of certain conditions and regulatory restrictions that the 1940 Act imposes on us as a BDC, has an interest rate spread above SOFR (or an alternative risk-free floating interest rate index) of 225 basis points, a maturity date of August 2029 and a revolving period that ends in August 2027. As of September 30, 2024 and 2023, Funding I had $443.9 million and $9.4 million of outstanding borrowings under the Credit Facility or the Prior Credit Facility, as applicable, respectively. The Credit Facility had a weighted average interest rate of 7.5% and 7.7%, exclusive of the fee on undrawn commitments, as of September 30, 2024 and 2023, respectively.</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September 30, 2024 and 2023, we had cash equivalents of $112.1 million and $100.6 million, respectively, available for investing and general corporate purposes. We believe our liquidity and capital resources are sufficient to allow us to take advantage of market opportunities.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operating activities used cash of $801.4 million for the year ended September 30, 2024, and our financing activities provided cash of $812.9 million for the same period. Our operating activities used cash primarily for our investment activities and our financing activities provided cash primarily from proceeds from the ATM program, borrowing under the Credit Facility and issuances of asset-backed debt.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operating activities provided cash of $140.6 million for the year ended September 30, 2023, and our financing activities used cash of $91.5 million for the same period. Our operating activities provided cash primarily from our investment activities and our financing activities used cash primarily from paying down the Credit Facility and paying distributions to stockholders offset by offering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and year ended September 30, 2024, we declared distributions of $0.31 and $1.23 per share for total distributions of $22.7 million and $80.6 million , respectively. During the three months and year ended September 30, 2023, we declared distributions of $0.31 and $1.19 per share for total distributions of $18.1 million and $60.5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Subsequent to the quarter end, we remained active and invested over $330 million in new and existing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Annual Report on Form 10-K filed with the SEC, and stockholders may find such report on its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 CONSOLIDATED STATEMENTS OF ASSETS AND LIABILITIES (in thousands, except per share data)</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87"/>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September 30, 2024</w:t>
            </w:r>
          </w:p>
        </w:tc>
        <w:tc>
          <w:tcPr>
            <w:tcW w:w="180" w:type="dxa"/>
            <w:vAlign w:val="bottom"/>
          </w:tcPr>
          <w:p>
            <w:pPr>
              <w:spacing w:after="0"/>
              <w:rPr>
                <w:sz w:val="24"/>
                <w:szCs w:val="24"/>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7300" w:type="dxa"/>
            <w:vAlign w:val="bottom"/>
            <w:vMerge w:val="continue"/>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(cost—$1,622,669 and $768,240,</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1,632,269</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772,178</w:t>
            </w: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Controlled, affiliated investments (cost— $372,271 and $324,639, respectively)</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351,235</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294,996</w:t>
            </w:r>
          </w:p>
        </w:tc>
        <w:tc>
          <w:tcPr>
            <w:tcW w:w="0" w:type="dxa"/>
            <w:vAlign w:val="bottom"/>
          </w:tcPr>
          <w:p>
            <w:pPr>
              <w:spacing w:after="0"/>
              <w:rPr>
                <w:sz w:val="1"/>
                <w:szCs w:val="1"/>
                <w:color w:val="auto"/>
              </w:rPr>
            </w:pPr>
          </w:p>
        </w:tc>
      </w:tr>
      <w:tr>
        <w:trPr>
          <w:trHeight w:val="251"/>
        </w:trPr>
        <w:tc>
          <w:tcPr>
            <w:tcW w:w="730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of investments (cost—$1,994,940 and $1,092,878, respectively)</w:t>
            </w:r>
          </w:p>
        </w:tc>
        <w:tc>
          <w:tcPr>
            <w:tcW w:w="5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1,983,504</w:t>
            </w: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1,067,174</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(cost—$112,046 and $100,555, 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112,050</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100,555</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12,167</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10,423</w:t>
            </w:r>
          </w:p>
        </w:tc>
        <w:tc>
          <w:tcPr>
            <w:tcW w:w="0" w:type="dxa"/>
            <w:vAlign w:val="bottom"/>
          </w:tcPr>
          <w:p>
            <w:pPr>
              <w:spacing w:after="0"/>
              <w:rPr>
                <w:sz w:val="1"/>
                <w:szCs w:val="1"/>
                <w:color w:val="auto"/>
              </w:rPr>
            </w:pPr>
          </w:p>
        </w:tc>
      </w:tr>
    </w:tbl>
    <w:p>
      <w:pPr>
        <w:sectPr>
          <w:pgSz w:w="11900" w:h="16862"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receivable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635</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565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291</w:t>
            </w:r>
          </w:p>
        </w:tc>
        <w:tc>
          <w:tcPr>
            <w:tcW w:w="52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198</w:t>
            </w:r>
          </w:p>
        </w:tc>
        <w:tc>
          <w:tcPr>
            <w:tcW w:w="5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5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2,108,845</w:t>
            </w:r>
          </w:p>
        </w:tc>
        <w:tc>
          <w:tcPr>
            <w:tcW w:w="2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1,179,611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5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 payable, at fair value (cost—$443,885 and $9,400 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443,880</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9,400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2023 Notes payable, at fair value (par—$0 and $76,219, 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76,219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(par—$185,000)</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183,832</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183,054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2031 Asset-Backed Debt, net (par—$0 and $228,000, 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226,759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2036 Asset-Backed Debt, net (par—$287,000 and $0, 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284,086</w:t>
            </w:r>
          </w:p>
        </w:tc>
        <w:tc>
          <w:tcPr>
            <w:tcW w:w="52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2036-R Asset-Backed Debt, net (par-$266,000 and $0 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265,235</w:t>
            </w:r>
          </w:p>
        </w:tc>
        <w:tc>
          <w:tcPr>
            <w:tcW w:w="52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investments purchased</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20,363</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4,905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14,645</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8,615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7,834</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6,020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4,588</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2,759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3,189</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4,628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2,187</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1,712</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1,794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Affiliates</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5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1,231,551</w:t>
            </w:r>
          </w:p>
        </w:tc>
        <w:tc>
          <w:tcPr>
            <w:tcW w:w="2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526,006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Net assets</w:t>
            </w:r>
          </w:p>
        </w:tc>
        <w:tc>
          <w:tcPr>
            <w:tcW w:w="5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77,579,896 and 58,734,702 shares issued and outstanding,</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78</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976,744</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765,187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5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(99,528)</w:t>
            </w:r>
          </w:p>
        </w:tc>
        <w:tc>
          <w:tcPr>
            <w:tcW w:w="5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(111,641)</w:t>
            </w: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5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877,294</w:t>
            </w:r>
          </w:p>
        </w:tc>
        <w:tc>
          <w:tcPr>
            <w:tcW w:w="20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653,605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2,108,845</w:t>
            </w:r>
          </w:p>
        </w:tc>
        <w:tc>
          <w:tcPr>
            <w:tcW w:w="200" w:type="dxa"/>
            <w:vAlign w:val="bottom"/>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1,179,611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11.31</w:t>
            </w:r>
          </w:p>
        </w:tc>
        <w:tc>
          <w:tcPr>
            <w:tcW w:w="200" w:type="dxa"/>
            <w:vAlign w:val="bottom"/>
            <w:vMerge w:val="continue"/>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11.13</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80" w:type="dxa"/>
            <w:vAlign w:val="bottom"/>
          </w:tcPr>
          <w:p>
            <w:pPr>
              <w:spacing w:after="0"/>
              <w:rPr>
                <w:sz w:val="21"/>
                <w:szCs w:val="21"/>
                <w:color w:val="auto"/>
              </w:rPr>
            </w:pP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Year Ended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5"/>
          </w:tcPr>
          <w:p>
            <w:pPr>
              <w:jc w:val="right"/>
              <w:ind w:right="102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280" w:type="dxa"/>
            <w:vAlign w:val="bottom"/>
          </w:tcPr>
          <w:p>
            <w:pPr>
              <w:spacing w:after="0"/>
              <w:rPr>
                <w:sz w:val="24"/>
                <w:szCs w:val="24"/>
                <w:color w:val="auto"/>
              </w:rPr>
            </w:pPr>
          </w:p>
        </w:tc>
        <w:tc>
          <w:tcPr>
            <w:tcW w:w="2620" w:type="dxa"/>
            <w:vAlign w:val="bottom"/>
            <w:gridSpan w:val="4"/>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2024</w:t>
            </w:r>
          </w:p>
        </w:tc>
        <w:tc>
          <w:tcPr>
            <w:tcW w:w="26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0" w:type="dxa"/>
            <w:vAlign w:val="bottom"/>
          </w:tcPr>
          <w:p>
            <w:pPr>
              <w:spacing w:after="0"/>
              <w:rPr>
                <w:sz w:val="1"/>
                <w:szCs w:val="1"/>
                <w:color w:val="auto"/>
              </w:rPr>
            </w:pPr>
          </w:p>
        </w:tc>
      </w:tr>
      <w:tr>
        <w:trPr>
          <w:trHeight w:val="250"/>
        </w:trPr>
        <w:tc>
          <w:tcPr>
            <w:tcW w:w="50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39,704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23,209</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128,397</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88,649</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677</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2,354</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6,279</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439</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1,899</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9,498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8,346</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35,093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31,047</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3,063</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14,875</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11,463</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2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55,524</w:t>
            </w:r>
          </w:p>
        </w:tc>
        <w:tc>
          <w:tcPr>
            <w:tcW w:w="2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35,734</w:t>
            </w:r>
          </w:p>
        </w:tc>
        <w:tc>
          <w:tcPr>
            <w:tcW w:w="2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186,355</w:t>
            </w:r>
          </w:p>
        </w:tc>
        <w:tc>
          <w:tcPr>
            <w:tcW w:w="22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139,337</w:t>
            </w: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4,588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2,759</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11,402</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Incentive Fee</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4,628</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18,125</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16,873</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19,299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8,571</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59,221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38,166</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235</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general and administrative expenses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877</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4,493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3,422</w:t>
            </w:r>
          </w:p>
        </w:tc>
        <w:tc>
          <w:tcPr>
            <w:tcW w:w="0" w:type="dxa"/>
            <w:vAlign w:val="bottom"/>
          </w:tcPr>
          <w:p>
            <w:pPr>
              <w:spacing w:after="0"/>
              <w:rPr>
                <w:sz w:val="1"/>
                <w:szCs w:val="1"/>
                <w:color w:val="auto"/>
              </w:rPr>
            </w:pPr>
          </w:p>
        </w:tc>
      </w:tr>
      <w:tr>
        <w:trPr>
          <w:trHeight w:val="207"/>
        </w:trPr>
        <w:tc>
          <w:tcPr>
            <w:tcW w:w="506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Expenses before amendment costs, debt issuance</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costs and provision for taxes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28,776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17,070</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98,871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70,862</w:t>
            </w:r>
          </w:p>
        </w:tc>
        <w:tc>
          <w:tcPr>
            <w:tcW w:w="0" w:type="dxa"/>
            <w:vAlign w:val="bottom"/>
          </w:tcPr>
          <w:p>
            <w:pPr>
              <w:spacing w:after="0"/>
              <w:rPr>
                <w:sz w:val="1"/>
                <w:szCs w:val="1"/>
                <w:color w:val="auto"/>
              </w:rPr>
            </w:pPr>
          </w:p>
        </w:tc>
      </w:tr>
      <w:tr>
        <w:trPr>
          <w:trHeight w:val="211"/>
        </w:trPr>
        <w:tc>
          <w:tcPr>
            <w:tcW w:w="5060" w:type="dxa"/>
            <w:vAlign w:val="bottom"/>
          </w:tcPr>
          <w:p>
            <w:pPr>
              <w:ind w:left="200"/>
              <w:spacing w:after="0" w:line="210" w:lineRule="exact"/>
              <w:rPr>
                <w:sz w:val="20"/>
                <w:szCs w:val="20"/>
                <w:color w:val="auto"/>
              </w:rPr>
            </w:pPr>
            <w:r>
              <w:rPr>
                <w:rFonts w:ascii="Times New Roman" w:cs="Times New Roman" w:eastAsia="Times New Roman" w:hAnsi="Times New Roman"/>
                <w:sz w:val="22"/>
                <w:szCs w:val="22"/>
                <w:color w:val="auto"/>
              </w:rPr>
              <w:t>Credit Facility amendment costs and debt issuance</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costs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8,549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8,643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150</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40" w:top="111" w:right="37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Net expenses</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17,220</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108,634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71,846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17,974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18,514</w:t>
            </w:r>
          </w:p>
        </w:tc>
        <w:tc>
          <w:tcPr>
            <w:tcW w:w="2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77,721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67,491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506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w:t>
            </w: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and debt:</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(346)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(2,372)</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(15,892)</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extinguishment</w:t>
            </w:r>
          </w:p>
        </w:tc>
        <w:tc>
          <w:tcPr>
            <w:tcW w:w="4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(383)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(383)</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realized gain on investments</w:t>
            </w:r>
          </w:p>
        </w:tc>
        <w:tc>
          <w:tcPr>
            <w:tcW w:w="44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(45)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37</w:t>
            </w:r>
          </w:p>
        </w:tc>
        <w:tc>
          <w:tcPr>
            <w:tcW w:w="3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(45)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(263)</w:t>
            </w: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4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(2,335)</w:t>
            </w:r>
          </w:p>
        </w:tc>
        <w:tc>
          <w:tcPr>
            <w:tcW w:w="22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(16,155)</w:t>
            </w:r>
          </w:p>
        </w:tc>
        <w:tc>
          <w:tcPr>
            <w:tcW w:w="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(1,781)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5,497</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5,662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(6,707)</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Controlled and non-controlled, affiliated investments</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3,967</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8,606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(5,858)</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Provision for taxes on unrealized appreciation</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on investments</w:t>
            </w:r>
          </w:p>
        </w:tc>
        <w:tc>
          <w:tcPr>
            <w:tcW w:w="4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(148)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(155)</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2,774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depreciation (appreciation)</w:t>
            </w:r>
          </w:p>
        </w:tc>
        <w:tc>
          <w:tcPr>
            <w:tcW w:w="44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2,558</w:t>
            </w:r>
          </w:p>
        </w:tc>
        <w:tc>
          <w:tcPr>
            <w:tcW w:w="3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(2,284)</w:t>
            </w:r>
          </w:p>
        </w:tc>
        <w:tc>
          <w:tcPr>
            <w:tcW w:w="0" w:type="dxa"/>
            <w:vAlign w:val="bottom"/>
          </w:tcPr>
          <w:p>
            <w:pPr>
              <w:spacing w:after="0"/>
              <w:rPr>
                <w:sz w:val="1"/>
                <w:szCs w:val="1"/>
                <w:color w:val="auto"/>
              </w:rPr>
            </w:pPr>
          </w:p>
        </w:tc>
      </w:tr>
      <w:tr>
        <w:trPr>
          <w:trHeight w:val="207"/>
        </w:trPr>
        <w:tc>
          <w:tcPr>
            <w:tcW w:w="506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appreciation</w:t>
            </w: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(depreciation) on investments and debt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11,867</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14,324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(12,075)</w:t>
            </w:r>
          </w:p>
        </w:tc>
        <w:tc>
          <w:tcPr>
            <w:tcW w:w="0" w:type="dxa"/>
            <w:vAlign w:val="bottom"/>
          </w:tcPr>
          <w:p>
            <w:pPr>
              <w:spacing w:after="0"/>
              <w:rPr>
                <w:sz w:val="1"/>
                <w:szCs w:val="1"/>
                <w:color w:val="auto"/>
              </w:rPr>
            </w:pPr>
          </w:p>
        </w:tc>
      </w:tr>
      <w:tr>
        <w:trPr>
          <w:trHeight w:val="207"/>
        </w:trPr>
        <w:tc>
          <w:tcPr>
            <w:tcW w:w="506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realized and unrealized gain (loss) from</w:t>
            </w: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investments and debt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9,532</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14,118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(28,230)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226"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21,340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28,046</w:t>
            </w:r>
          </w:p>
        </w:tc>
        <w:tc>
          <w:tcPr>
            <w:tcW w:w="3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91,839</w:t>
            </w:r>
          </w:p>
        </w:tc>
        <w:tc>
          <w:tcPr>
            <w:tcW w:w="220" w:type="dxa"/>
            <w:vAlign w:val="bottom"/>
          </w:tcPr>
          <w:p>
            <w:pPr>
              <w:spacing w:after="0"/>
              <w:rPr>
                <w:sz w:val="17"/>
                <w:szCs w:val="17"/>
                <w:color w:val="auto"/>
              </w:rPr>
            </w:pPr>
          </w:p>
        </w:tc>
        <w:tc>
          <w:tcPr>
            <w:tcW w:w="380" w:type="dxa"/>
            <w:vAlign w:val="bottom"/>
            <w:gridSpan w:val="2"/>
            <w:vMerge w:val="restart"/>
          </w:tcPr>
          <w:p>
            <w:pPr>
              <w:jc w:val="right"/>
              <w:ind w:right="194"/>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39,261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w:t>
            </w:r>
          </w:p>
        </w:tc>
        <w:tc>
          <w:tcPr>
            <w:tcW w:w="4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rPr>
              <w:t>Net increase (decrease) in net assets resulting from</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44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160" w:type="dxa"/>
            <w:vAlign w:val="bottom"/>
          </w:tcPr>
          <w:p>
            <w:pPr>
              <w:spacing w:after="0"/>
              <w:rPr>
                <w:sz w:val="17"/>
                <w:szCs w:val="17"/>
                <w:color w:val="auto"/>
              </w:rPr>
            </w:pPr>
          </w:p>
        </w:tc>
        <w:tc>
          <w:tcPr>
            <w:tcW w:w="52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0.48</w:t>
            </w:r>
          </w:p>
        </w:tc>
        <w:tc>
          <w:tcPr>
            <w:tcW w:w="3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220" w:type="dxa"/>
            <w:vAlign w:val="bottom"/>
          </w:tcPr>
          <w:p>
            <w:pPr>
              <w:spacing w:after="0"/>
              <w:rPr>
                <w:sz w:val="17"/>
                <w:szCs w:val="17"/>
                <w:color w:val="auto"/>
              </w:rPr>
            </w:pPr>
          </w:p>
        </w:tc>
        <w:tc>
          <w:tcPr>
            <w:tcW w:w="380" w:type="dxa"/>
            <w:vAlign w:val="bottom"/>
            <w:gridSpan w:val="2"/>
            <w:vMerge w:val="restart"/>
          </w:tcPr>
          <w:p>
            <w:pPr>
              <w:jc w:val="right"/>
              <w:ind w:right="194"/>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0.77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operations per common share</w:t>
            </w:r>
          </w:p>
        </w:tc>
        <w:tc>
          <w:tcPr>
            <w:tcW w:w="4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0.32</w:t>
            </w:r>
          </w:p>
        </w:tc>
        <w:tc>
          <w:tcPr>
            <w:tcW w:w="220" w:type="dxa"/>
            <w:vAlign w:val="bottom"/>
            <w:vMerge w:val="continue"/>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220" w:type="dxa"/>
            <w:vAlign w:val="bottom"/>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FLOATING RATE CAPITAL LTD.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middle-market credit platform, managing $8.3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CONTACT: Richard T. Allorto, Jr.</w:t>
      </w:r>
    </w:p>
    <w:p>
      <w:pPr>
        <w:sectPr>
          <w:pgSz w:w="11900" w:h="16838" w:orient="portrait"/>
          <w:cols w:equalWidth="0" w:num="1">
            <w:col w:w="11240"/>
          </w:cols>
          <w:pgMar w:left="320" w:top="108" w:right="339" w:bottom="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21"/>
          <w:szCs w:val="21"/>
          <w:color w:val="auto"/>
        </w:rPr>
        <w:t>PennantPark Floating Rate Capital Ltd.</w:t>
      </w:r>
    </w:p>
    <w:p>
      <w:pPr>
        <w:spacing w:after="0" w:line="42" w:lineRule="exact"/>
        <w:rPr>
          <w:sz w:val="20"/>
          <w:szCs w:val="20"/>
          <w:color w:val="auto"/>
        </w:rPr>
      </w:pPr>
    </w:p>
    <w:p>
      <w:pPr>
        <w:ind w:left="40" w:right="6979" w:hanging="5"/>
        <w:spacing w:after="0" w:line="296" w:lineRule="auto"/>
        <w:tabs>
          <w:tab w:leader="none" w:pos="56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2024-11-25T15:16:24Z</dcterms:created>
  <dcterms:modified xsi:type="dcterms:W3CDTF">2024-11-25T15:16:24Z</dcterms:modified>
</cp:coreProperties>
</file>