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February 6,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February 6, 2019, PennantPark Floating Rate Capital Ltd. issued a press release announcing its financial results for the first fiscal quarter ended December 31, 2018. A copy of the press release is furnished as Exhibit 99.1 to this report pursuant to Item 2.02 on Form 8-K and Regulation FD.</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February 6,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5000" w:type="dxa"/>
            <w:vAlign w:val="bottom"/>
            <w:gridSpan w:val="3"/>
          </w:tcPr>
          <w:p>
            <w:pPr>
              <w:ind w:left="190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February 6, 2019</w:t>
            </w:r>
          </w:p>
        </w:tc>
        <w:tc>
          <w:tcPr>
            <w:tcW w:w="5000" w:type="dxa"/>
            <w:vAlign w:val="bottom"/>
            <w:gridSpan w:val="3"/>
          </w:tcPr>
          <w:p>
            <w:pPr>
              <w:ind w:left="1900"/>
              <w:spacing w:after="0"/>
              <w:rPr>
                <w:sz w:val="20"/>
                <w:szCs w:val="20"/>
                <w:color w:val="auto"/>
              </w:rPr>
            </w:pPr>
            <w:r>
              <w:rPr>
                <w:rFonts w:ascii="Arial" w:cs="Arial" w:eastAsia="Arial" w:hAnsi="Arial"/>
                <w:sz w:val="18"/>
                <w:szCs w:val="18"/>
                <w:color w:val="auto"/>
              </w:rPr>
              <w:t>By: /s/ Aviv Efrat</w:t>
            </w:r>
          </w:p>
        </w:tc>
      </w:tr>
      <w:tr>
        <w:trPr>
          <w:trHeight w:val="222"/>
        </w:trPr>
        <w:tc>
          <w:tcPr>
            <w:tcW w:w="3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auto"/>
        </w:rPr>
        <w:t>PennantPark Floating Rate Capital Ltd. Announces Financial Results for the Quarter Ended December 31, 2018</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NEW YORK, Feb. 06, 2019 (GLOBE NEWSWIRE) -- PennantPark Floating Rate Capital Ltd. (NASDAQ: PFLT) (TASE: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PFLT) announced today financial results for the first fiscal quarter ended December 31, 2018.</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Quarter ended December 31, 2018</w:t>
      </w:r>
    </w:p>
    <w:p>
      <w:pPr>
        <w:spacing w:after="0"/>
        <w:rPr>
          <w:sz w:val="20"/>
          <w:szCs w:val="20"/>
          <w:color w:val="auto"/>
        </w:rPr>
      </w:pPr>
      <w:r>
        <w:rPr>
          <w:rFonts w:ascii="Arial" w:cs="Arial" w:eastAsia="Arial" w:hAnsi="Arial"/>
          <w:sz w:val="22"/>
          <w:szCs w:val="22"/>
          <w:color w:val="auto"/>
        </w:rPr>
        <w:t>($ in millions, except per share amounts)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4580" w:type="dxa"/>
            <w:vAlign w:val="bottom"/>
          </w:tcPr>
          <w:p>
            <w:pPr>
              <w:spacing w:after="0"/>
              <w:rPr>
                <w:sz w:val="20"/>
                <w:szCs w:val="20"/>
                <w:color w:val="auto"/>
              </w:rPr>
            </w:pPr>
            <w:r>
              <w:rPr>
                <w:rFonts w:ascii="Arial" w:cs="Arial" w:eastAsia="Arial" w:hAnsi="Arial"/>
                <w:sz w:val="22"/>
                <w:szCs w:val="22"/>
                <w:color w:val="auto"/>
              </w:rPr>
              <w:t>Assets and Liabilities:</w:t>
            </w:r>
          </w:p>
        </w:tc>
        <w:tc>
          <w:tcPr>
            <w:tcW w:w="1580" w:type="dxa"/>
            <w:vAlign w:val="bottom"/>
          </w:tcPr>
          <w:p>
            <w:pPr>
              <w:spacing w:after="0"/>
              <w:rPr>
                <w:sz w:val="23"/>
                <w:szCs w:val="23"/>
                <w:color w:val="auto"/>
              </w:rPr>
            </w:pPr>
          </w:p>
        </w:tc>
      </w:tr>
      <w:tr>
        <w:trPr>
          <w:trHeight w:val="320"/>
        </w:trPr>
        <w:tc>
          <w:tcPr>
            <w:tcW w:w="4580" w:type="dxa"/>
            <w:vAlign w:val="bottom"/>
          </w:tcPr>
          <w:p>
            <w:pPr>
              <w:ind w:left="120"/>
              <w:spacing w:after="0" w:line="319"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1580" w:type="dxa"/>
            <w:vAlign w:val="bottom"/>
          </w:tcPr>
          <w:p>
            <w:pPr>
              <w:jc w:val="right"/>
              <w:spacing w:after="0"/>
              <w:rPr>
                <w:sz w:val="20"/>
                <w:szCs w:val="20"/>
                <w:color w:val="auto"/>
              </w:rPr>
            </w:pPr>
            <w:r>
              <w:rPr>
                <w:rFonts w:ascii="Arial" w:cs="Arial" w:eastAsia="Arial" w:hAnsi="Arial"/>
                <w:sz w:val="22"/>
                <w:szCs w:val="22"/>
                <w:color w:val="auto"/>
              </w:rPr>
              <w:t>$ 979.7</w:t>
            </w:r>
          </w:p>
        </w:tc>
      </w:tr>
      <w:tr>
        <w:trPr>
          <w:trHeight w:val="270"/>
        </w:trPr>
        <w:tc>
          <w:tcPr>
            <w:tcW w:w="4580" w:type="dxa"/>
            <w:vAlign w:val="bottom"/>
          </w:tcPr>
          <w:p>
            <w:pPr>
              <w:ind w:left="120"/>
              <w:spacing w:after="0"/>
              <w:rPr>
                <w:sz w:val="20"/>
                <w:szCs w:val="20"/>
                <w:color w:val="auto"/>
              </w:rPr>
            </w:pPr>
            <w:r>
              <w:rPr>
                <w:rFonts w:ascii="Arial" w:cs="Arial" w:eastAsia="Arial" w:hAnsi="Arial"/>
                <w:sz w:val="22"/>
                <w:szCs w:val="22"/>
                <w:color w:val="auto"/>
              </w:rPr>
              <w:t>PSSL investment portfolio</w:t>
            </w:r>
          </w:p>
        </w:tc>
        <w:tc>
          <w:tcPr>
            <w:tcW w:w="1580" w:type="dxa"/>
            <w:vAlign w:val="bottom"/>
          </w:tcPr>
          <w:p>
            <w:pPr>
              <w:jc w:val="right"/>
              <w:spacing w:after="0"/>
              <w:rPr>
                <w:sz w:val="20"/>
                <w:szCs w:val="20"/>
                <w:color w:val="auto"/>
              </w:rPr>
            </w:pPr>
            <w:r>
              <w:rPr>
                <w:rFonts w:ascii="Arial" w:cs="Arial" w:eastAsia="Arial" w:hAnsi="Arial"/>
                <w:sz w:val="22"/>
                <w:szCs w:val="22"/>
                <w:color w:val="auto"/>
              </w:rPr>
              <w:t>$ 493.5</w:t>
            </w:r>
          </w:p>
        </w:tc>
      </w:tr>
      <w:tr>
        <w:trPr>
          <w:trHeight w:val="270"/>
        </w:trPr>
        <w:tc>
          <w:tcPr>
            <w:tcW w:w="4580" w:type="dxa"/>
            <w:vAlign w:val="bottom"/>
          </w:tcPr>
          <w:p>
            <w:pPr>
              <w:ind w:left="120"/>
              <w:spacing w:after="0"/>
              <w:rPr>
                <w:sz w:val="20"/>
                <w:szCs w:val="20"/>
                <w:color w:val="auto"/>
              </w:rPr>
            </w:pPr>
            <w:r>
              <w:rPr>
                <w:rFonts w:ascii="Arial" w:cs="Arial" w:eastAsia="Arial" w:hAnsi="Arial"/>
                <w:sz w:val="22"/>
                <w:szCs w:val="22"/>
                <w:color w:val="auto"/>
              </w:rPr>
              <w:t>Net assets</w:t>
            </w:r>
          </w:p>
        </w:tc>
        <w:tc>
          <w:tcPr>
            <w:tcW w:w="1580" w:type="dxa"/>
            <w:vAlign w:val="bottom"/>
          </w:tcPr>
          <w:p>
            <w:pPr>
              <w:jc w:val="right"/>
              <w:spacing w:after="0"/>
              <w:rPr>
                <w:sz w:val="20"/>
                <w:szCs w:val="20"/>
                <w:color w:val="auto"/>
              </w:rPr>
            </w:pPr>
            <w:r>
              <w:rPr>
                <w:rFonts w:ascii="Arial" w:cs="Arial" w:eastAsia="Arial" w:hAnsi="Arial"/>
                <w:sz w:val="22"/>
                <w:szCs w:val="22"/>
                <w:color w:val="auto"/>
              </w:rPr>
              <w:t>$ 529.8</w:t>
            </w:r>
          </w:p>
        </w:tc>
      </w:tr>
      <w:tr>
        <w:trPr>
          <w:trHeight w:val="274"/>
        </w:trPr>
        <w:tc>
          <w:tcPr>
            <w:tcW w:w="4580" w:type="dxa"/>
            <w:vAlign w:val="bottom"/>
          </w:tcPr>
          <w:p>
            <w:pPr>
              <w:ind w:left="120"/>
              <w:spacing w:after="0"/>
              <w:rPr>
                <w:sz w:val="20"/>
                <w:szCs w:val="20"/>
                <w:color w:val="auto"/>
              </w:rPr>
            </w:pPr>
            <w:r>
              <w:rPr>
                <w:rFonts w:ascii="Arial" w:cs="Arial" w:eastAsia="Arial" w:hAnsi="Arial"/>
                <w:sz w:val="22"/>
                <w:szCs w:val="22"/>
                <w:color w:val="auto"/>
              </w:rPr>
              <w:t>Net asset value per share</w:t>
            </w:r>
          </w:p>
        </w:tc>
        <w:tc>
          <w:tcPr>
            <w:tcW w:w="1580" w:type="dxa"/>
            <w:vAlign w:val="bottom"/>
          </w:tcPr>
          <w:p>
            <w:pPr>
              <w:jc w:val="right"/>
              <w:spacing w:after="0"/>
              <w:rPr>
                <w:sz w:val="20"/>
                <w:szCs w:val="20"/>
                <w:color w:val="auto"/>
              </w:rPr>
            </w:pPr>
            <w:r>
              <w:rPr>
                <w:rFonts w:ascii="Arial" w:cs="Arial" w:eastAsia="Arial" w:hAnsi="Arial"/>
                <w:sz w:val="22"/>
                <w:szCs w:val="22"/>
                <w:color w:val="auto"/>
              </w:rPr>
              <w:t>$ 13.66</w:t>
            </w:r>
          </w:p>
        </w:tc>
      </w:tr>
      <w:tr>
        <w:trPr>
          <w:trHeight w:val="536"/>
        </w:trPr>
        <w:tc>
          <w:tcPr>
            <w:tcW w:w="4580" w:type="dxa"/>
            <w:vAlign w:val="bottom"/>
          </w:tcPr>
          <w:p>
            <w:pPr>
              <w:ind w:left="120"/>
              <w:spacing w:after="0"/>
              <w:rPr>
                <w:sz w:val="20"/>
                <w:szCs w:val="20"/>
                <w:color w:val="auto"/>
              </w:rPr>
            </w:pPr>
            <w:r>
              <w:rPr>
                <w:rFonts w:ascii="Arial" w:cs="Arial" w:eastAsia="Arial" w:hAnsi="Arial"/>
                <w:sz w:val="22"/>
                <w:szCs w:val="22"/>
                <w:color w:val="auto"/>
              </w:rPr>
              <w:t>Credit Facility</w:t>
            </w:r>
          </w:p>
        </w:tc>
        <w:tc>
          <w:tcPr>
            <w:tcW w:w="1580" w:type="dxa"/>
            <w:vAlign w:val="bottom"/>
          </w:tcPr>
          <w:p>
            <w:pPr>
              <w:jc w:val="right"/>
              <w:spacing w:after="0"/>
              <w:rPr>
                <w:sz w:val="20"/>
                <w:szCs w:val="20"/>
                <w:color w:val="auto"/>
              </w:rPr>
            </w:pPr>
            <w:r>
              <w:rPr>
                <w:rFonts w:ascii="Arial" w:cs="Arial" w:eastAsia="Arial" w:hAnsi="Arial"/>
                <w:sz w:val="22"/>
                <w:szCs w:val="22"/>
                <w:color w:val="auto"/>
              </w:rPr>
              <w:t>$ 345.9</w:t>
            </w:r>
          </w:p>
        </w:tc>
      </w:tr>
      <w:tr>
        <w:trPr>
          <w:trHeight w:val="274"/>
        </w:trPr>
        <w:tc>
          <w:tcPr>
            <w:tcW w:w="4580" w:type="dxa"/>
            <w:vAlign w:val="bottom"/>
          </w:tcPr>
          <w:p>
            <w:pPr>
              <w:ind w:left="120"/>
              <w:spacing w:after="0"/>
              <w:rPr>
                <w:sz w:val="20"/>
                <w:szCs w:val="20"/>
                <w:color w:val="auto"/>
              </w:rPr>
            </w:pPr>
            <w:r>
              <w:rPr>
                <w:rFonts w:ascii="Arial" w:cs="Arial" w:eastAsia="Arial" w:hAnsi="Arial"/>
                <w:sz w:val="22"/>
                <w:szCs w:val="22"/>
                <w:color w:val="auto"/>
              </w:rPr>
              <w:t>2023 Notes</w:t>
            </w:r>
          </w:p>
        </w:tc>
        <w:tc>
          <w:tcPr>
            <w:tcW w:w="1580" w:type="dxa"/>
            <w:vAlign w:val="bottom"/>
          </w:tcPr>
          <w:p>
            <w:pPr>
              <w:jc w:val="right"/>
              <w:spacing w:after="0"/>
              <w:rPr>
                <w:sz w:val="20"/>
                <w:szCs w:val="20"/>
                <w:color w:val="auto"/>
              </w:rPr>
            </w:pPr>
            <w:r>
              <w:rPr>
                <w:rFonts w:ascii="Arial" w:cs="Arial" w:eastAsia="Arial" w:hAnsi="Arial"/>
                <w:sz w:val="22"/>
                <w:szCs w:val="22"/>
                <w:color w:val="auto"/>
              </w:rPr>
              <w:t>$ 133.4</w:t>
            </w:r>
          </w:p>
        </w:tc>
      </w:tr>
      <w:tr>
        <w:trPr>
          <w:trHeight w:val="540"/>
        </w:trPr>
        <w:tc>
          <w:tcPr>
            <w:tcW w:w="4580" w:type="dxa"/>
            <w:vAlign w:val="bottom"/>
          </w:tcPr>
          <w:p>
            <w:pPr>
              <w:ind w:left="120"/>
              <w:spacing w:after="0"/>
              <w:rPr>
                <w:sz w:val="20"/>
                <w:szCs w:val="20"/>
                <w:color w:val="auto"/>
              </w:rPr>
            </w:pPr>
            <w:r>
              <w:rPr>
                <w:rFonts w:ascii="Arial" w:cs="Arial" w:eastAsia="Arial" w:hAnsi="Arial"/>
                <w:sz w:val="22"/>
                <w:szCs w:val="22"/>
                <w:color w:val="auto"/>
              </w:rPr>
              <w:t>Yield on debt investments at quarter-end</w:t>
            </w:r>
          </w:p>
        </w:tc>
        <w:tc>
          <w:tcPr>
            <w:tcW w:w="1580" w:type="dxa"/>
            <w:vAlign w:val="bottom"/>
          </w:tcPr>
          <w:p>
            <w:pPr>
              <w:jc w:val="right"/>
              <w:spacing w:after="0"/>
              <w:rPr>
                <w:sz w:val="20"/>
                <w:szCs w:val="20"/>
                <w:color w:val="auto"/>
              </w:rPr>
            </w:pPr>
            <w:r>
              <w:rPr>
                <w:rFonts w:ascii="Arial" w:cs="Arial" w:eastAsia="Arial" w:hAnsi="Arial"/>
                <w:sz w:val="22"/>
                <w:szCs w:val="22"/>
                <w:color w:val="auto"/>
              </w:rPr>
              <w:t>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5400" w:type="dxa"/>
            <w:vAlign w:val="bottom"/>
          </w:tcPr>
          <w:p>
            <w:pPr>
              <w:spacing w:after="0"/>
              <w:rPr>
                <w:sz w:val="20"/>
                <w:szCs w:val="20"/>
                <w:color w:val="auto"/>
              </w:rPr>
            </w:pPr>
            <w:r>
              <w:rPr>
                <w:rFonts w:ascii="Arial" w:cs="Arial" w:eastAsia="Arial" w:hAnsi="Arial"/>
                <w:sz w:val="22"/>
                <w:szCs w:val="22"/>
                <w:color w:val="auto"/>
              </w:rPr>
              <w:t>Operating Results:</w:t>
            </w: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5400" w:type="dxa"/>
            <w:vAlign w:val="bottom"/>
          </w:tcPr>
          <w:p>
            <w:pPr>
              <w:ind w:left="120"/>
              <w:spacing w:after="0"/>
              <w:rPr>
                <w:sz w:val="20"/>
                <w:szCs w:val="20"/>
                <w:color w:val="auto"/>
              </w:rPr>
            </w:pPr>
            <w:r>
              <w:rPr>
                <w:rFonts w:ascii="Arial" w:cs="Arial" w:eastAsia="Arial" w:hAnsi="Arial"/>
                <w:sz w:val="22"/>
                <w:szCs w:val="22"/>
                <w:color w:val="auto"/>
              </w:rPr>
              <w:t>Net investment income</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54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270"/>
        </w:trPr>
        <w:tc>
          <w:tcPr>
            <w:tcW w:w="5400" w:type="dxa"/>
            <w:vAlign w:val="bottom"/>
          </w:tcPr>
          <w:p>
            <w:pPr>
              <w:ind w:left="120"/>
              <w:spacing w:after="0"/>
              <w:rPr>
                <w:sz w:val="20"/>
                <w:szCs w:val="20"/>
                <w:color w:val="auto"/>
              </w:rPr>
            </w:pPr>
            <w:r>
              <w:rPr>
                <w:rFonts w:ascii="Arial" w:cs="Arial" w:eastAsia="Arial" w:hAnsi="Arial"/>
                <w:sz w:val="22"/>
                <w:szCs w:val="22"/>
                <w:color w:val="auto"/>
              </w:rPr>
              <w:t>GAAP net investment income per share</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540" w:type="dxa"/>
            <w:vAlign w:val="bottom"/>
          </w:tcPr>
          <w:p>
            <w:pPr>
              <w:jc w:val="right"/>
              <w:spacing w:after="0"/>
              <w:rPr>
                <w:sz w:val="20"/>
                <w:szCs w:val="20"/>
                <w:color w:val="auto"/>
              </w:rPr>
            </w:pPr>
            <w:r>
              <w:rPr>
                <w:rFonts w:ascii="Arial" w:cs="Arial" w:eastAsia="Arial" w:hAnsi="Arial"/>
                <w:sz w:val="22"/>
                <w:szCs w:val="22"/>
                <w:color w:val="auto"/>
              </w:rPr>
              <w:t>0.28</w:t>
            </w:r>
          </w:p>
        </w:tc>
      </w:tr>
      <w:tr>
        <w:trPr>
          <w:trHeight w:val="270"/>
        </w:trPr>
        <w:tc>
          <w:tcPr>
            <w:tcW w:w="5400" w:type="dxa"/>
            <w:vAlign w:val="bottom"/>
          </w:tcPr>
          <w:p>
            <w:pPr>
              <w:ind w:left="120"/>
              <w:spacing w:after="0"/>
              <w:rPr>
                <w:sz w:val="20"/>
                <w:szCs w:val="20"/>
                <w:color w:val="auto"/>
              </w:rPr>
            </w:pPr>
            <w:r>
              <w:rPr>
                <w:rFonts w:ascii="Arial" w:cs="Arial" w:eastAsia="Arial" w:hAnsi="Arial"/>
                <w:sz w:val="22"/>
                <w:szCs w:val="22"/>
                <w:color w:val="auto"/>
                <w:w w:val="89"/>
              </w:rPr>
              <w:t>Capital gain incentive fee accrued but not payable per share</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540" w:type="dxa"/>
            <w:vAlign w:val="bottom"/>
          </w:tcPr>
          <w:p>
            <w:pPr>
              <w:jc w:val="right"/>
              <w:spacing w:after="0"/>
              <w:rPr>
                <w:sz w:val="20"/>
                <w:szCs w:val="20"/>
                <w:color w:val="auto"/>
              </w:rPr>
            </w:pPr>
            <w:r>
              <w:rPr>
                <w:rFonts w:ascii="Arial" w:cs="Arial" w:eastAsia="Arial" w:hAnsi="Arial"/>
                <w:sz w:val="22"/>
                <w:szCs w:val="22"/>
                <w:color w:val="auto"/>
                <w:w w:val="90"/>
              </w:rPr>
              <w:t>(0.04)</w:t>
            </w:r>
          </w:p>
        </w:tc>
      </w:tr>
      <w:tr>
        <w:trPr>
          <w:trHeight w:val="274"/>
        </w:trPr>
        <w:tc>
          <w:tcPr>
            <w:tcW w:w="5400" w:type="dxa"/>
            <w:vAlign w:val="bottom"/>
          </w:tcPr>
          <w:p>
            <w:pPr>
              <w:ind w:left="120"/>
              <w:spacing w:after="0"/>
              <w:rPr>
                <w:sz w:val="20"/>
                <w:szCs w:val="20"/>
                <w:color w:val="auto"/>
              </w:rPr>
            </w:pPr>
            <w:r>
              <w:rPr>
                <w:rFonts w:ascii="Arial" w:cs="Arial" w:eastAsia="Arial" w:hAnsi="Arial"/>
                <w:sz w:val="22"/>
                <w:szCs w:val="22"/>
                <w:color w:val="auto"/>
              </w:rPr>
              <w:t>Credit facility amendment costs, net of incentive fees</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540" w:type="dxa"/>
            <w:vAlign w:val="bottom"/>
          </w:tcPr>
          <w:p>
            <w:pPr>
              <w:jc w:val="right"/>
              <w:spacing w:after="0"/>
              <w:rPr>
                <w:sz w:val="20"/>
                <w:szCs w:val="20"/>
                <w:color w:val="auto"/>
              </w:rPr>
            </w:pPr>
            <w:r>
              <w:rPr>
                <w:rFonts w:ascii="Arial" w:cs="Arial" w:eastAsia="Arial" w:hAnsi="Arial"/>
                <w:sz w:val="22"/>
                <w:szCs w:val="22"/>
                <w:color w:val="auto"/>
              </w:rPr>
              <w:t>0.06</w:t>
            </w:r>
          </w:p>
        </w:tc>
      </w:tr>
      <w:tr>
        <w:trPr>
          <w:trHeight w:val="744"/>
        </w:trPr>
        <w:tc>
          <w:tcPr>
            <w:tcW w:w="5400" w:type="dxa"/>
            <w:vAlign w:val="bottom"/>
          </w:tcPr>
          <w:p>
            <w:pPr>
              <w:ind w:left="120"/>
              <w:spacing w:after="0"/>
              <w:rPr>
                <w:sz w:val="20"/>
                <w:szCs w:val="20"/>
                <w:color w:val="auto"/>
              </w:rPr>
            </w:pPr>
            <w:r>
              <w:rPr>
                <w:rFonts w:ascii="Arial" w:cs="Arial" w:eastAsia="Arial" w:hAnsi="Arial"/>
                <w:sz w:val="22"/>
                <w:szCs w:val="22"/>
                <w:color w:val="auto"/>
              </w:rPr>
              <w:t xml:space="preserve">Core net investment income per share </w:t>
            </w:r>
            <w:r>
              <w:rPr>
                <w:rFonts w:ascii="Arial" w:cs="Arial" w:eastAsia="Arial" w:hAnsi="Arial"/>
                <w:sz w:val="35"/>
                <w:szCs w:val="35"/>
                <w:color w:val="auto"/>
                <w:vertAlign w:val="superscript"/>
              </w:rPr>
              <w:t>(2)</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540" w:type="dxa"/>
            <w:vAlign w:val="bottom"/>
          </w:tcPr>
          <w:p>
            <w:pPr>
              <w:jc w:val="right"/>
              <w:spacing w:after="0"/>
              <w:rPr>
                <w:sz w:val="20"/>
                <w:szCs w:val="20"/>
                <w:color w:val="auto"/>
              </w:rPr>
            </w:pPr>
            <w:r>
              <w:rPr>
                <w:rFonts w:ascii="Arial" w:cs="Arial" w:eastAsia="Arial" w:hAnsi="Arial"/>
                <w:sz w:val="22"/>
                <w:szCs w:val="22"/>
                <w:color w:val="auto"/>
              </w:rPr>
              <w:t>0.30</w:t>
            </w:r>
          </w:p>
        </w:tc>
      </w:tr>
      <w:tr>
        <w:trPr>
          <w:trHeight w:val="390"/>
        </w:trPr>
        <w:tc>
          <w:tcPr>
            <w:tcW w:w="5400" w:type="dxa"/>
            <w:vAlign w:val="bottom"/>
          </w:tcPr>
          <w:p>
            <w:pPr>
              <w:ind w:left="120"/>
              <w:spacing w:after="0"/>
              <w:rPr>
                <w:sz w:val="20"/>
                <w:szCs w:val="20"/>
                <w:color w:val="auto"/>
              </w:rPr>
            </w:pPr>
            <w:r>
              <w:rPr>
                <w:rFonts w:ascii="Arial" w:cs="Arial" w:eastAsia="Arial" w:hAnsi="Arial"/>
                <w:sz w:val="22"/>
                <w:szCs w:val="22"/>
                <w:color w:val="auto"/>
              </w:rPr>
              <w:t>Distributions declared per share</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540" w:type="dxa"/>
            <w:vAlign w:val="bottom"/>
          </w:tcPr>
          <w:p>
            <w:pPr>
              <w:jc w:val="right"/>
              <w:spacing w:after="0"/>
              <w:rPr>
                <w:sz w:val="20"/>
                <w:szCs w:val="20"/>
                <w:color w:val="auto"/>
              </w:rPr>
            </w:pPr>
            <w:r>
              <w:rPr>
                <w:rFonts w:ascii="Arial" w:cs="Arial" w:eastAsia="Arial" w:hAnsi="Arial"/>
                <w:sz w:val="22"/>
                <w:szCs w:val="22"/>
                <w:color w:val="auto"/>
                <w:w w:val="94"/>
              </w:rPr>
              <w:t>0.285</w:t>
            </w:r>
          </w:p>
        </w:tc>
      </w:tr>
      <w:tr>
        <w:trPr>
          <w:trHeight w:val="536"/>
        </w:trPr>
        <w:tc>
          <w:tcPr>
            <w:tcW w:w="5400" w:type="dxa"/>
            <w:vAlign w:val="bottom"/>
          </w:tcPr>
          <w:p>
            <w:pPr>
              <w:spacing w:after="0"/>
              <w:rPr>
                <w:sz w:val="20"/>
                <w:szCs w:val="20"/>
                <w:color w:val="auto"/>
              </w:rPr>
            </w:pPr>
            <w:r>
              <w:rPr>
                <w:rFonts w:ascii="Arial" w:cs="Arial" w:eastAsia="Arial" w:hAnsi="Arial"/>
                <w:sz w:val="22"/>
                <w:szCs w:val="22"/>
                <w:color w:val="auto"/>
              </w:rPr>
              <w:t>Portfolio Activity:</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0"/>
        </w:trPr>
        <w:tc>
          <w:tcPr>
            <w:tcW w:w="5400" w:type="dxa"/>
            <w:vAlign w:val="bottom"/>
          </w:tcPr>
          <w:p>
            <w:pPr>
              <w:ind w:left="120"/>
              <w:spacing w:after="0"/>
              <w:rPr>
                <w:sz w:val="20"/>
                <w:szCs w:val="20"/>
                <w:color w:val="auto"/>
              </w:rPr>
            </w:pPr>
            <w:r>
              <w:rPr>
                <w:rFonts w:ascii="Arial" w:cs="Arial" w:eastAsia="Arial" w:hAnsi="Arial"/>
                <w:sz w:val="22"/>
                <w:szCs w:val="22"/>
                <w:color w:val="auto"/>
              </w:rPr>
              <w:t>Purchases of investments</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540" w:type="dxa"/>
            <w:vAlign w:val="bottom"/>
          </w:tcPr>
          <w:p>
            <w:pPr>
              <w:jc w:val="right"/>
              <w:spacing w:after="0"/>
              <w:rPr>
                <w:sz w:val="20"/>
                <w:szCs w:val="20"/>
                <w:color w:val="auto"/>
              </w:rPr>
            </w:pPr>
            <w:r>
              <w:rPr>
                <w:rFonts w:ascii="Arial" w:cs="Arial" w:eastAsia="Arial" w:hAnsi="Arial"/>
                <w:sz w:val="22"/>
                <w:szCs w:val="22"/>
                <w:color w:val="auto"/>
                <w:w w:val="94"/>
              </w:rPr>
              <w:t>180.7</w:t>
            </w:r>
          </w:p>
        </w:tc>
      </w:tr>
      <w:tr>
        <w:trPr>
          <w:trHeight w:val="274"/>
        </w:trPr>
        <w:tc>
          <w:tcPr>
            <w:tcW w:w="5400" w:type="dxa"/>
            <w:vAlign w:val="bottom"/>
          </w:tcPr>
          <w:p>
            <w:pPr>
              <w:ind w:left="120"/>
              <w:spacing w:after="0"/>
              <w:rPr>
                <w:sz w:val="20"/>
                <w:szCs w:val="20"/>
                <w:color w:val="auto"/>
              </w:rPr>
            </w:pPr>
            <w:r>
              <w:rPr>
                <w:rFonts w:ascii="Arial" w:cs="Arial" w:eastAsia="Arial" w:hAnsi="Arial"/>
                <w:sz w:val="22"/>
                <w:szCs w:val="22"/>
                <w:color w:val="auto"/>
              </w:rPr>
              <w:t>Sales and repayments of investments</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540" w:type="dxa"/>
            <w:vAlign w:val="bottom"/>
          </w:tcPr>
          <w:p>
            <w:pPr>
              <w:jc w:val="right"/>
              <w:spacing w:after="0"/>
              <w:rPr>
                <w:sz w:val="20"/>
                <w:szCs w:val="20"/>
                <w:color w:val="auto"/>
              </w:rPr>
            </w:pPr>
            <w:r>
              <w:rPr>
                <w:rFonts w:ascii="Arial" w:cs="Arial" w:eastAsia="Arial" w:hAnsi="Arial"/>
                <w:sz w:val="22"/>
                <w:szCs w:val="22"/>
                <w:color w:val="auto"/>
                <w:w w:val="94"/>
              </w:rPr>
              <w:t>190.3</w:t>
            </w:r>
          </w:p>
        </w:tc>
      </w:tr>
      <w:tr>
        <w:trPr>
          <w:trHeight w:val="536"/>
        </w:trPr>
        <w:tc>
          <w:tcPr>
            <w:tcW w:w="5400" w:type="dxa"/>
            <w:vAlign w:val="bottom"/>
          </w:tcPr>
          <w:p>
            <w:pPr>
              <w:ind w:left="120"/>
              <w:spacing w:after="0"/>
              <w:rPr>
                <w:sz w:val="20"/>
                <w:szCs w:val="20"/>
                <w:color w:val="auto"/>
              </w:rPr>
            </w:pPr>
            <w:r>
              <w:rPr>
                <w:rFonts w:ascii="Arial" w:cs="Arial" w:eastAsia="Arial" w:hAnsi="Arial"/>
                <w:sz w:val="22"/>
                <w:szCs w:val="22"/>
                <w:color w:val="auto"/>
              </w:rPr>
              <w:t>Number of new portfolio companies invested</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70"/>
        </w:trPr>
        <w:tc>
          <w:tcPr>
            <w:tcW w:w="5400" w:type="dxa"/>
            <w:vAlign w:val="bottom"/>
          </w:tcPr>
          <w:p>
            <w:pPr>
              <w:ind w:left="120"/>
              <w:spacing w:after="0"/>
              <w:rPr>
                <w:sz w:val="20"/>
                <w:szCs w:val="20"/>
                <w:color w:val="auto"/>
              </w:rPr>
            </w:pPr>
            <w:r>
              <w:rPr>
                <w:rFonts w:ascii="Arial" w:cs="Arial" w:eastAsia="Arial" w:hAnsi="Arial"/>
                <w:sz w:val="22"/>
                <w:szCs w:val="22"/>
                <w:color w:val="auto"/>
              </w:rPr>
              <w:t>Number of existing portfolio companies invested</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4"/>
        </w:trPr>
        <w:tc>
          <w:tcPr>
            <w:tcW w:w="5400" w:type="dxa"/>
            <w:vAlign w:val="bottom"/>
          </w:tcPr>
          <w:p>
            <w:pPr>
              <w:ind w:left="120"/>
              <w:spacing w:after="0"/>
              <w:rPr>
                <w:sz w:val="20"/>
                <w:szCs w:val="20"/>
                <w:color w:val="auto"/>
              </w:rPr>
            </w:pPr>
            <w:r>
              <w:rPr>
                <w:rFonts w:ascii="Arial" w:cs="Arial" w:eastAsia="Arial" w:hAnsi="Arial"/>
                <w:sz w:val="22"/>
                <w:szCs w:val="22"/>
                <w:color w:val="auto"/>
              </w:rPr>
              <w:t>Number of ending portfolio companies</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85</w:t>
            </w:r>
          </w:p>
        </w:tc>
      </w:tr>
    </w:tbl>
    <w:p>
      <w:pPr>
        <w:spacing w:after="0" w:line="252" w:lineRule="exact"/>
        <w:rPr>
          <w:sz w:val="20"/>
          <w:szCs w:val="20"/>
          <w:color w:val="auto"/>
        </w:rPr>
      </w:pPr>
    </w:p>
    <w:p>
      <w:pPr>
        <w:ind w:right="20" w:firstLine="8"/>
        <w:spacing w:after="0" w:line="196" w:lineRule="auto"/>
        <w:tabs>
          <w:tab w:leader="none" w:pos="287" w:val="left"/>
        </w:tabs>
        <w:numPr>
          <w:ilvl w:val="0"/>
          <w:numId w:val="3"/>
        </w:numPr>
        <w:rPr>
          <w:rFonts w:ascii="Arial" w:cs="Arial" w:eastAsia="Arial" w:hAnsi="Arial"/>
          <w:sz w:val="34"/>
          <w:szCs w:val="34"/>
          <w:color w:val="auto"/>
          <w:vertAlign w:val="superscript"/>
        </w:rPr>
      </w:pPr>
      <w:r>
        <w:rPr>
          <w:rFonts w:ascii="Arial" w:cs="Arial" w:eastAsia="Arial" w:hAnsi="Arial"/>
          <w:sz w:val="21"/>
          <w:szCs w:val="21"/>
          <w:color w:val="auto"/>
        </w:rPr>
        <w:t>Includes investments in PennantPark Senior Secured Loan Fund I LLC, or PSSL, an unconsolidated joint venture, totaling $161.0 million, at fair value.</w:t>
      </w:r>
    </w:p>
    <w:p>
      <w:pPr>
        <w:spacing w:after="0" w:line="23" w:lineRule="exact"/>
        <w:rPr>
          <w:rFonts w:ascii="Arial" w:cs="Arial" w:eastAsia="Arial" w:hAnsi="Arial"/>
          <w:sz w:val="34"/>
          <w:szCs w:val="34"/>
          <w:color w:val="auto"/>
          <w:vertAlign w:val="superscript"/>
        </w:rPr>
      </w:pPr>
    </w:p>
    <w:p>
      <w:pPr>
        <w:jc w:val="both"/>
        <w:ind w:firstLine="8"/>
        <w:spacing w:after="0" w:line="222" w:lineRule="auto"/>
        <w:tabs>
          <w:tab w:leader="none" w:pos="302" w:val="left"/>
        </w:tabs>
        <w:numPr>
          <w:ilvl w:val="0"/>
          <w:numId w:val="3"/>
        </w:numPr>
        <w:rPr>
          <w:rFonts w:ascii="Arial" w:cs="Arial" w:eastAsia="Arial" w:hAnsi="Arial"/>
          <w:sz w:val="35"/>
          <w:szCs w:val="35"/>
          <w:color w:val="auto"/>
          <w:vertAlign w:val="superscript"/>
        </w:rPr>
      </w:pPr>
      <w:r>
        <w:rPr>
          <w:rFonts w:ascii="Arial" w:cs="Arial" w:eastAsia="Arial" w:hAnsi="Arial"/>
          <w:sz w:val="21"/>
          <w:szCs w:val="21"/>
          <w:color w:val="auto"/>
        </w:rPr>
        <w:t>Core net investment income is a non-GAAP financial measure. The Company believes that core net investment income provides useful information to investors and management because it reflects the Company’s financial performance excluding the charges related to incentive fee on net unrealized gains accrued under GAAP but not payable unless such net unrealized gains are realized and the costs associated with amending our multi-currency, senior secured revolving credit facility, as amended and restated, or the Credit Facility. The presentation of this additional information is not meant to be considered in isolation or as a substitute for financial results prepared in accordance with GAAP.</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FEBRUARY 7, 2019</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PennantPark Floating Rate Capital Ltd. (“we,” “our,” “us” or the “Company”) will host a conference call at 10:00 a.m. (Eastern Time) on Thursday, February 7, 2019 to discuss its financial results. All interested parties are welcome to participate. You can access the conference call by dialing toll-free (800) 289-0459 approximately 5-10 minutes prior to the call. International callers should dial (323) 794-2558. All callers should reference PennantPark Floating Rate Capital Ltd. An archived replay of the call will be available through February 21, 2019 by calling toll-free (888) 203-1112. International callers please dial (719) 457-0820. For all phone replays, please reference conference ID #2535745.</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ectPr>
          <w:pgSz w:w="11900" w:h="16838" w:orient="portrait"/>
          <w:cols w:equalWidth="0" w:num="1">
            <w:col w:w="11240"/>
          </w:cols>
          <w:pgMar w:left="320" w:top="112" w:right="339" w:bottom="0" w:gutter="0" w:footer="0" w:header="0"/>
        </w:sectPr>
      </w:pPr>
    </w:p>
    <w:bookmarkStart w:id="4" w:name="page5"/>
    <w:bookmarkEnd w:id="4"/>
    <w:p>
      <w:pPr>
        <w:jc w:val="both"/>
        <w:spacing w:after="0"/>
        <w:rPr>
          <w:sz w:val="20"/>
          <w:szCs w:val="20"/>
          <w:color w:val="auto"/>
        </w:rPr>
      </w:pPr>
      <w:r>
        <w:rPr>
          <w:rFonts w:ascii="Arial" w:cs="Arial" w:eastAsia="Arial" w:hAnsi="Arial"/>
          <w:sz w:val="22"/>
          <w:szCs w:val="22"/>
          <w:color w:val="auto"/>
        </w:rPr>
        <w:t>“We are pleased that our current run rate net investment income covers the dividend due to the selective growth of the portfolio, as well as PSSL,” said Art Penn, Chairman and CEO. “Our earnings stream should have a nice tailwind based on a gradual increase in our debt to equity ratio, while still maintaining a prudent debt profile.”</w:t>
      </w:r>
    </w:p>
    <w:p>
      <w:pPr>
        <w:spacing w:after="0" w:line="187"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As of December 31, 2018, our portfolio totaled $979.7 million and consisted of $887.6 million of first lien secured debt (including $113.3 million in PSSL), $20.9 million of second lien secured debt and $71.2 million of preferred and common equity (including $47.7 million in PSSL). Our debt portfolio consisted of 100% variable-rate investments. As of December 31, 2018, we had no portfolio companies on non-accrual. Overall, the portfolio had net unrealized depreciation of $13.3 million. Our overall portfolio consisted of 85 companies with an average investment size of $11.5 million, had a weighted average yield on debt investments of 9.2%, and was invested 91% in first lien secured debt (including 12% in PSSL), 2% in second lien secured debt and 7% in preferred and common equity (including 5% in PSSL). As of December 31, 2018, all of the investments held by PSSL were first lien secured debt.</w:t>
      </w:r>
    </w:p>
    <w:p>
      <w:pPr>
        <w:spacing w:after="0" w:line="18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As of September 30, 2018, our portfolio totaled $1,000.6 million and consisted of $913.3 million of first lien secured debt (including $101.1 million in PSSL), $21.2 million of second lien secured debt and $66.1 million of preferred and common equity (including $44.8 million in PSSL). Our debt portfolio consisted of 100% variable-rate investments. As of September 30, 2018, we had no portfolio companies on non-accrual. Overall, the portfolio had net unrealized depreciation of $0.9 million. Our overall portfolio consisted of 88 companies with an average investment size of $11.4 million, had a weighted average yield on debt investments of 8.8%, and was invested 91% in first lien secured debt (including 10% in PSSL), 2% in second lien secured debt and 7% in preferred and common equity (including 4% in PSSL). As of September 30, 2018, all of the investments held by PSSL were first lien secured debt.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2018, we invested $180.7 million in nine new and 24 existing portfolio companies with a weighted average yield on debt investments of 8.6%. Sales and repayments of investments for the three months ended December 31, 2018 totaled $190.3 million.</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2017, we invested $176.9 million in 11 new and 11 existing portfolio companies with a weighted average yield on debt investments of 8.0%. Sales and repayments of investments for the three months ended December 31, 2017 totaled $149.1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Secured Loan Fund I LLC</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December 31, 2018, PSSL’s portfolio totaled $493.5 million, consisted of 43 companies with an average investment size of $11.5 million and had a weighted average yield on debt investments of 8.2%. As of September 30, 2018, PSSL’s portfolio totaled $425.4 million, consisted of 42 companies with an average investment size of $10.1 million and had a weighted average yield on debt investments of 7.8%.</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For the three months ended December 31, 2018, PSSL invested $142.4 million (including $38.0 million purchased from the Company) in nine new and seven existing portfolio companies with a weighted average yield on debt investments of 8.1%. PSSL’s sales and repayments of investments for the three months ended December 31, 2018 totaled $70.7 million. For the three months ended December 31, 2017, PSSL invested $47.9 million (including $27.3 million purchased from the Company) in seven new portfolio companies with a weighted average yield on debt investments of 7.4%. PSSL’s sales and repayments of investments for the three months ended December 31, 2018 totaled $0.9 million.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months ended December 31, 2018 and 2017.</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Investment income for the three months ended December 31, 2018 was $23.2 million and was attributable to $21.1 million from first lien secured debt and $2.1 million from second lien secured debt and preferred equity. Investment income for the three months ended December 31, 2017 was $14.8 million and was attributable to $13.6 million from first lien senior debt and $1.2 million from second lien secured debt and subordinated debt. The increase in investment income compared to the same period in the prior year was primarily due to the growth of our portfolio.</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Expenses for the three months ended December 31, 2018 totaled $12.2 million. Base management fee for the same period totaled $2.5 million, incentive fee totaled $(1.2) million (including $0.2 million on net investment income and $(1.4) million accrued but not payable on realized gains), debt related interest and expenses totaled $9.8 million (including $4.5 million in Credit Facility amendment costs) and general and administrative expenses totaled $1.1 million. Expenses for the three months ended December 31, 2017 totaled $16.8 million. Base management fee for the same period totaled $1.8 million, incentive fee totaled $0.1 million (including $(0.1) million on realized gains and $0.2 million on unrealized gains accrued but not payable), debt related interest and expenses totaled $13.5 million (including $10.9 million in Credit Facility amendment and debt issuance costs on the 3.83% Series A notes due 2023, or the 2023 Notes), general and administrative expenses totaled $1.2 million and provision for taxes totaled $0.2 million. The decrease in expenses compared to the same period in the prior year was primarily due to the expenses incurred in connection with the debt issuance costs on the 2023 Notes in the prior period.</w:t>
      </w:r>
    </w:p>
    <w:p>
      <w:pPr>
        <w:sectPr>
          <w:pgSz w:w="11900" w:h="16838" w:orient="portrait"/>
          <w:cols w:equalWidth="0" w:num="1">
            <w:col w:w="11240"/>
          </w:cols>
          <w:pgMar w:left="320" w:top="118" w:right="339" w:bottom="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Net Investment Income (Loss)</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Net investment income (loss) totaled $10.9 million, or $0.28 per share, for the three months ended December 31, 2018, and $(1.9) million, or $(0.05) per share, for the three months ended December 31, 2017. The increase in net investment income compared to the same period in the prior year was primarily due to the growth of our portfolio in the current period and the additional expenses incurred in connection with the debt issuance costs on the 2023 Notes in the prior period.</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Sales and repayments of investments for the three months ended December 31, 2018 totaled $190.3 million and net realized gains totaled $0.9 million. Sales and repayments of investments totaled $149.1 million and net realized losses totaled $2.8 million for the three months ended December 31, 2017. The change in realized gains/losses was primarily due to changes in the market conditions of our investments and the values at which they were realized.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the Credit Facility and the 2023 Notes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For the three months ended December 31, 2018 and 2017, we reported net change in unrealized (depreciation) appreciation on investments of $(12.4) million and $3.5 million, respectively. As of December 31, 2018 and September 30, 2018, our net unrealized depreciation on investments totaled $13.3 million and $0.9 million, respectively. The net change in unrealized appreciation/depreciation on our investments compared to the same period in the prior year was primarily due to changes in the capital market conditions, the financial performance of certain portfolio companies and the reversal of unrealized appreciation/depreciation on investments that were realized.</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For the three months ended December 31, 2018 and 2017, our Credit Facility and the 2023 Notes had a net change in unrealized depreciation of $5.5 million and $3.1 million, respectively. As of December 31, 2018 and September 30, 2018, the net unrealized depreciation on the Credit Facility and the 2023 Notes totaled $10.2 million and $4.7 million, respectively. The net change in net unrealized depreciation compared to the same period in the prior year was primarily due to changes in the capital markets.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Net change in net assets resulting from operations totaled $5.0 million, or $0.13 per share, for the three months ended December 31, 2018. This compares to a net change in net assets resulting from operations of $1.9 million, or $0.05 per share, for the three months ended December 31, 2017. The increase in the net change in net assets from operations compared to the same period in the prior year was primarily due to the growth of our portfolio in the current period and the additional expenses incurred in connection with the debt issuance costs on the 2023 Notes in the prior period.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annualized weighted average cost of debt for the three months ended December 31, 2018 and 2017, inclusive of the fee on the undrawn commitment of 0.375% on the Credit Facility, amendment costs and debt issuance costs, was 5.29% and 7.75%, respectively (excluding amendment and debt issuance costs, amounts were 4.37% and 3.80%, respectively).</w:t>
      </w:r>
    </w:p>
    <w:p>
      <w:pPr>
        <w:spacing w:after="0" w:line="16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December 31, 2018 and September 30, 2018, we had $350.9 million and $333.7 million of outstanding borrowings under the Credit Facility, respectively. The Credit Facility had a weighted average interest rate of 4.34% and 4.25%, exclusive of the fee on undrawn commitments as of December 31, 2018 and September 30, 2018, respectively. As of December 31, 2018 and September 30, 2018, we had $169.1 million and $71.3 million of unused borrowing capacity under our Credit Facility, respectively, subject to the regulatory restrictions.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December 31, 2018 and September 30, 2018, we had cash equivalents of $35.2 million and $72.2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ind w:right="20"/>
        <w:spacing w:after="0" w:line="257" w:lineRule="auto"/>
        <w:rPr>
          <w:sz w:val="20"/>
          <w:szCs w:val="20"/>
          <w:color w:val="auto"/>
        </w:rPr>
      </w:pPr>
      <w:r>
        <w:rPr>
          <w:rFonts w:ascii="Arial" w:cs="Arial" w:eastAsia="Arial" w:hAnsi="Arial"/>
          <w:sz w:val="21"/>
          <w:szCs w:val="21"/>
          <w:color w:val="auto"/>
        </w:rPr>
        <w:t>Our operating activities used cash of $43.6 million for the three months ended December 31, 2018, and our financing activities provided cash of $6.1 million for the same period. Our operating activities used cash primarily for our investment activities and our financing activities provided cash primarily from net borrowings under the Credit Facility.</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operating activities used cash of $44.6 million for the three months ended December 31, 2017, and our financing activities provided cash of $153.4 million for the same period. Our operating activities used cash primarily for our investment activities and our financing activities provided cash primarily from our recent equity offering, the issuance of the 2023 Notes and net borrowings under the Credit Facility.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ectPr>
          <w:pgSz w:w="11900" w:h="16838" w:orient="portrait"/>
          <w:cols w:equalWidth="0" w:num="1">
            <w:col w:w="11240"/>
          </w:cols>
          <w:pgMar w:left="320" w:top="111" w:right="339" w:bottom="59" w:gutter="0" w:footer="0" w:header="0"/>
        </w:sectPr>
      </w:pPr>
    </w:p>
    <w:bookmarkStart w:id="6" w:name="page7"/>
    <w:bookmarkEnd w:id="6"/>
    <w:p>
      <w:pPr>
        <w:jc w:val="both"/>
        <w:spacing w:after="0" w:line="234" w:lineRule="auto"/>
        <w:rPr>
          <w:sz w:val="20"/>
          <w:szCs w:val="20"/>
          <w:color w:val="auto"/>
        </w:rPr>
      </w:pPr>
      <w:r>
        <w:rPr>
          <w:rFonts w:ascii="Arial" w:cs="Arial" w:eastAsia="Arial" w:hAnsi="Arial"/>
          <w:sz w:val="22"/>
          <w:szCs w:val="22"/>
          <w:color w:val="auto"/>
        </w:rPr>
        <w:t>During both the three months ended December 31, 2018 and 2017, we declared distributions of $0.285 per share, for total distributions of $11.1 million and $10.4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its website at www.pennantpark.com.</w:t>
      </w:r>
    </w:p>
    <w:p>
      <w:pPr>
        <w:spacing w:after="0" w:line="200" w:lineRule="exact"/>
        <w:rPr>
          <w:sz w:val="20"/>
          <w:szCs w:val="20"/>
          <w:color w:val="auto"/>
        </w:rPr>
      </w:pPr>
    </w:p>
    <w:p>
      <w:pPr>
        <w:spacing w:after="0" w:line="252"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PENNANTPARK FLOATING RATE CAPITAL LTD. AND SUBSIDIARIES</w:t>
      </w:r>
    </w:p>
    <w:p>
      <w:pPr>
        <w:spacing w:after="0" w:line="14" w:lineRule="exact"/>
        <w:rPr>
          <w:sz w:val="20"/>
          <w:szCs w:val="20"/>
          <w:color w:val="auto"/>
        </w:rPr>
      </w:pPr>
    </w:p>
    <w:p>
      <w:pPr>
        <w:ind w:left="2400"/>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22"/>
                <w:szCs w:val="22"/>
                <w:b w:val="1"/>
                <w:bCs w:val="1"/>
                <w:color w:val="auto"/>
                <w:w w:val="86"/>
              </w:rPr>
              <w:t>December 31,</w:t>
            </w:r>
          </w:p>
        </w:tc>
        <w:tc>
          <w:tcPr>
            <w:tcW w:w="12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22"/>
                <w:szCs w:val="22"/>
                <w:b w:val="1"/>
                <w:bCs w:val="1"/>
                <w:color w:val="auto"/>
                <w:w w:val="87"/>
              </w:rPr>
              <w:t>September 30,</w:t>
            </w:r>
          </w:p>
        </w:tc>
      </w:tr>
      <w:tr>
        <w:trPr>
          <w:trHeight w:val="270"/>
        </w:trPr>
        <w:tc>
          <w:tcPr>
            <w:tcW w:w="7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center"/>
              <w:ind w:right="32"/>
              <w:spacing w:after="0"/>
              <w:rPr>
                <w:sz w:val="20"/>
                <w:szCs w:val="20"/>
                <w:color w:val="auto"/>
              </w:rPr>
            </w:pPr>
            <w:r>
              <w:rPr>
                <w:rFonts w:ascii="Arial" w:cs="Arial" w:eastAsia="Arial" w:hAnsi="Arial"/>
                <w:sz w:val="22"/>
                <w:szCs w:val="22"/>
                <w:b w:val="1"/>
                <w:bCs w:val="1"/>
                <w:color w:val="auto"/>
                <w:w w:val="89"/>
              </w:rPr>
              <w:t>2018</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right"/>
              <w:ind w:right="492"/>
              <w:spacing w:after="0"/>
              <w:rPr>
                <w:sz w:val="20"/>
                <w:szCs w:val="20"/>
                <w:color w:val="auto"/>
              </w:rPr>
            </w:pPr>
            <w:r>
              <w:rPr>
                <w:rFonts w:ascii="Arial" w:cs="Arial" w:eastAsia="Arial" w:hAnsi="Arial"/>
                <w:sz w:val="22"/>
                <w:szCs w:val="22"/>
                <w:b w:val="1"/>
                <w:bCs w:val="1"/>
                <w:color w:val="auto"/>
              </w:rPr>
              <w:t>2018</w:t>
            </w:r>
          </w:p>
        </w:tc>
        <w:tc>
          <w:tcPr>
            <w:tcW w:w="80" w:type="dxa"/>
            <w:vAlign w:val="bottom"/>
          </w:tcPr>
          <w:p>
            <w:pPr>
              <w:spacing w:after="0"/>
              <w:rPr>
                <w:sz w:val="23"/>
                <w:szCs w:val="23"/>
                <w:color w:val="auto"/>
              </w:rPr>
            </w:pPr>
          </w:p>
        </w:tc>
      </w:tr>
      <w:tr>
        <w:trPr>
          <w:trHeight w:val="280"/>
        </w:trPr>
        <w:tc>
          <w:tcPr>
            <w:tcW w:w="7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22"/>
                <w:szCs w:val="22"/>
                <w:b w:val="1"/>
                <w:bCs w:val="1"/>
                <w:color w:val="auto"/>
                <w:w w:val="90"/>
              </w:rPr>
              <w:t>(unaudited)</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9"/>
        </w:trPr>
        <w:tc>
          <w:tcPr>
            <w:tcW w:w="774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4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43"/>
        </w:trPr>
        <w:tc>
          <w:tcPr>
            <w:tcW w:w="7740" w:type="dxa"/>
            <w:vAlign w:val="bottom"/>
          </w:tcPr>
          <w:p>
            <w:pPr>
              <w:ind w:left="200"/>
              <w:spacing w:after="0" w:line="243" w:lineRule="exact"/>
              <w:rPr>
                <w:sz w:val="20"/>
                <w:szCs w:val="20"/>
                <w:color w:val="auto"/>
              </w:rPr>
            </w:pPr>
            <w:r>
              <w:rPr>
                <w:rFonts w:ascii="Arial" w:cs="Arial" w:eastAsia="Arial" w:hAnsi="Arial"/>
                <w:sz w:val="22"/>
                <w:szCs w:val="22"/>
                <w:color w:val="auto"/>
                <w:w w:val="93"/>
              </w:rPr>
              <w:t>Non-controlled, non-affiliated investments (cost—$830,609,329 and $856,893,017,</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740" w:type="dxa"/>
            <w:vAlign w:val="bottom"/>
          </w:tcPr>
          <w:p>
            <w:pPr>
              <w:ind w:left="200"/>
              <w:spacing w:after="0"/>
              <w:rPr>
                <w:sz w:val="20"/>
                <w:szCs w:val="20"/>
                <w:color w:val="auto"/>
              </w:rPr>
            </w:pPr>
            <w:r>
              <w:rPr>
                <w:rFonts w:ascii="Arial" w:cs="Arial" w:eastAsia="Arial" w:hAnsi="Arial"/>
                <w:sz w:val="22"/>
                <w:szCs w:val="22"/>
                <w:color w:val="auto"/>
              </w:rPr>
              <w:t>respectively)</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20" w:type="dxa"/>
            <w:vAlign w:val="bottom"/>
          </w:tcPr>
          <w:p>
            <w:pPr>
              <w:jc w:val="right"/>
              <w:spacing w:after="0"/>
              <w:rPr>
                <w:sz w:val="20"/>
                <w:szCs w:val="20"/>
                <w:color w:val="auto"/>
              </w:rPr>
            </w:pPr>
            <w:r>
              <w:rPr>
                <w:rFonts w:ascii="Arial" w:cs="Arial" w:eastAsia="Arial" w:hAnsi="Arial"/>
                <w:sz w:val="22"/>
                <w:szCs w:val="22"/>
                <w:color w:val="auto"/>
              </w:rPr>
              <w:t>818,667,554</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00" w:type="dxa"/>
            <w:vAlign w:val="bottom"/>
          </w:tcPr>
          <w:p>
            <w:pPr>
              <w:jc w:val="right"/>
              <w:spacing w:after="0"/>
              <w:rPr>
                <w:sz w:val="20"/>
                <w:szCs w:val="20"/>
                <w:color w:val="auto"/>
              </w:rPr>
            </w:pPr>
            <w:r>
              <w:rPr>
                <w:rFonts w:ascii="Arial" w:cs="Arial" w:eastAsia="Arial" w:hAnsi="Arial"/>
                <w:sz w:val="22"/>
                <w:szCs w:val="22"/>
                <w:color w:val="auto"/>
              </w:rPr>
              <w:t>854,753,064</w:t>
            </w:r>
          </w:p>
        </w:tc>
        <w:tc>
          <w:tcPr>
            <w:tcW w:w="80" w:type="dxa"/>
            <w:vAlign w:val="bottom"/>
          </w:tcPr>
          <w:p>
            <w:pPr>
              <w:spacing w:after="0"/>
              <w:rPr>
                <w:sz w:val="23"/>
                <w:szCs w:val="23"/>
                <w:color w:val="auto"/>
              </w:rPr>
            </w:pPr>
          </w:p>
        </w:tc>
      </w:tr>
      <w:tr>
        <w:trPr>
          <w:trHeight w:val="243"/>
        </w:trPr>
        <w:tc>
          <w:tcPr>
            <w:tcW w:w="7740" w:type="dxa"/>
            <w:vAlign w:val="bottom"/>
          </w:tcPr>
          <w:p>
            <w:pPr>
              <w:ind w:left="200"/>
              <w:spacing w:after="0" w:line="243" w:lineRule="exact"/>
              <w:rPr>
                <w:sz w:val="20"/>
                <w:szCs w:val="20"/>
                <w:color w:val="auto"/>
              </w:rPr>
            </w:pPr>
            <w:r>
              <w:rPr>
                <w:rFonts w:ascii="Arial" w:cs="Arial" w:eastAsia="Arial" w:hAnsi="Arial"/>
                <w:sz w:val="22"/>
                <w:szCs w:val="22"/>
                <w:color w:val="auto"/>
              </w:rPr>
              <w:t>Controlled, affiliated investments (cost—$161,875,000 and $144,375,000,</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4"/>
        </w:trPr>
        <w:tc>
          <w:tcPr>
            <w:tcW w:w="7740" w:type="dxa"/>
            <w:vAlign w:val="bottom"/>
          </w:tcPr>
          <w:p>
            <w:pPr>
              <w:ind w:left="200"/>
              <w:spacing w:after="0"/>
              <w:rPr>
                <w:sz w:val="20"/>
                <w:szCs w:val="20"/>
                <w:color w:val="auto"/>
              </w:rPr>
            </w:pPr>
            <w:r>
              <w:rPr>
                <w:rFonts w:ascii="Arial" w:cs="Arial" w:eastAsia="Arial" w:hAnsi="Arial"/>
                <w:sz w:val="22"/>
                <w:szCs w:val="22"/>
                <w:color w:val="auto"/>
              </w:rPr>
              <w:t>respectively)</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160,995,761</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145,860,229</w:t>
            </w:r>
          </w:p>
        </w:tc>
        <w:tc>
          <w:tcPr>
            <w:tcW w:w="80" w:type="dxa"/>
            <w:vAlign w:val="bottom"/>
          </w:tcPr>
          <w:p>
            <w:pPr>
              <w:spacing w:after="0"/>
              <w:rPr>
                <w:sz w:val="23"/>
                <w:szCs w:val="23"/>
                <w:color w:val="auto"/>
              </w:rPr>
            </w:pPr>
          </w:p>
        </w:tc>
      </w:tr>
      <w:tr>
        <w:trPr>
          <w:trHeight w:val="259"/>
        </w:trPr>
        <w:tc>
          <w:tcPr>
            <w:tcW w:w="7740" w:type="dxa"/>
            <w:vAlign w:val="bottom"/>
          </w:tcPr>
          <w:p>
            <w:pPr>
              <w:ind w:left="200"/>
              <w:spacing w:after="0"/>
              <w:rPr>
                <w:sz w:val="20"/>
                <w:szCs w:val="20"/>
                <w:color w:val="auto"/>
              </w:rPr>
            </w:pPr>
            <w:r>
              <w:rPr>
                <w:rFonts w:ascii="Arial" w:cs="Arial" w:eastAsia="Arial" w:hAnsi="Arial"/>
                <w:sz w:val="22"/>
                <w:szCs w:val="22"/>
                <w:color w:val="auto"/>
              </w:rPr>
              <w:t>Total of investments (cost—$992,484,329 and $1,001,268,017, respectively)</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979,663,315</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1,000,613,293</w:t>
            </w:r>
          </w:p>
        </w:tc>
        <w:tc>
          <w:tcPr>
            <w:tcW w:w="80" w:type="dxa"/>
            <w:vAlign w:val="bottom"/>
          </w:tcPr>
          <w:p>
            <w:pPr>
              <w:spacing w:after="0"/>
              <w:rPr>
                <w:sz w:val="22"/>
                <w:szCs w:val="22"/>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Cash and cash equivalents (cost—$35,296,899 and $72,231,801, respectively)</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35,180,396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72,224,183</w:t>
            </w:r>
          </w:p>
        </w:tc>
        <w:tc>
          <w:tcPr>
            <w:tcW w:w="80" w:type="dxa"/>
            <w:vAlign w:val="bottom"/>
          </w:tcPr>
          <w:p>
            <w:pPr>
              <w:spacing w:after="0"/>
              <w:rPr>
                <w:sz w:val="23"/>
                <w:szCs w:val="23"/>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Interest receivable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3,182,120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2,813,808</w:t>
            </w:r>
          </w:p>
        </w:tc>
        <w:tc>
          <w:tcPr>
            <w:tcW w:w="80" w:type="dxa"/>
            <w:vAlign w:val="bottom"/>
          </w:tcPr>
          <w:p>
            <w:pPr>
              <w:spacing w:after="0"/>
              <w:rPr>
                <w:sz w:val="23"/>
                <w:szCs w:val="23"/>
                <w:color w:val="auto"/>
              </w:rPr>
            </w:pPr>
          </w:p>
        </w:tc>
      </w:tr>
      <w:tr>
        <w:trPr>
          <w:trHeight w:val="274"/>
        </w:trPr>
        <w:tc>
          <w:tcPr>
            <w:tcW w:w="774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651,627</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792,069</w:t>
            </w:r>
          </w:p>
        </w:tc>
        <w:tc>
          <w:tcPr>
            <w:tcW w:w="80" w:type="dxa"/>
            <w:vAlign w:val="bottom"/>
          </w:tcPr>
          <w:p>
            <w:pPr>
              <w:spacing w:after="0"/>
              <w:rPr>
                <w:sz w:val="23"/>
                <w:szCs w:val="23"/>
                <w:color w:val="auto"/>
              </w:rPr>
            </w:pPr>
          </w:p>
        </w:tc>
      </w:tr>
      <w:tr>
        <w:trPr>
          <w:trHeight w:val="267"/>
        </w:trPr>
        <w:tc>
          <w:tcPr>
            <w:tcW w:w="774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1,018,677,458</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1,076,443,353</w:t>
            </w:r>
          </w:p>
        </w:tc>
        <w:tc>
          <w:tcPr>
            <w:tcW w:w="80" w:type="dxa"/>
            <w:vAlign w:val="bottom"/>
          </w:tcPr>
          <w:p>
            <w:pPr>
              <w:spacing w:after="0"/>
              <w:rPr>
                <w:sz w:val="23"/>
                <w:szCs w:val="23"/>
                <w:color w:val="auto"/>
              </w:rPr>
            </w:pPr>
          </w:p>
        </w:tc>
      </w:tr>
      <w:tr>
        <w:trPr>
          <w:trHeight w:val="256"/>
        </w:trPr>
        <w:tc>
          <w:tcPr>
            <w:tcW w:w="774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Distributions payable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3,683,347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3,683,347</w:t>
            </w:r>
          </w:p>
        </w:tc>
        <w:tc>
          <w:tcPr>
            <w:tcW w:w="80" w:type="dxa"/>
            <w:vAlign w:val="bottom"/>
          </w:tcPr>
          <w:p>
            <w:pPr>
              <w:spacing w:after="0"/>
              <w:rPr>
                <w:sz w:val="23"/>
                <w:szCs w:val="23"/>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161,625</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59,587,222</w:t>
            </w:r>
          </w:p>
        </w:tc>
        <w:tc>
          <w:tcPr>
            <w:tcW w:w="80" w:type="dxa"/>
            <w:vAlign w:val="bottom"/>
          </w:tcPr>
          <w:p>
            <w:pPr>
              <w:spacing w:after="0"/>
              <w:rPr>
                <w:sz w:val="23"/>
                <w:szCs w:val="23"/>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Credit Facility payable (cost—$350,907,500 and $333,727,520, respectively)</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345,867,658</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332,128,815</w:t>
            </w:r>
          </w:p>
        </w:tc>
        <w:tc>
          <w:tcPr>
            <w:tcW w:w="80" w:type="dxa"/>
            <w:vAlign w:val="bottom"/>
          </w:tcPr>
          <w:p>
            <w:pPr>
              <w:spacing w:after="0"/>
              <w:rPr>
                <w:sz w:val="23"/>
                <w:szCs w:val="23"/>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2023 Notes payable (cost—$138,579,858)</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133,410,829</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135,503,385</w:t>
            </w:r>
          </w:p>
        </w:tc>
        <w:tc>
          <w:tcPr>
            <w:tcW w:w="80" w:type="dxa"/>
            <w:vAlign w:val="bottom"/>
          </w:tcPr>
          <w:p>
            <w:pPr>
              <w:spacing w:after="0"/>
              <w:rPr>
                <w:sz w:val="23"/>
                <w:szCs w:val="23"/>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1,621,060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2,638,504</w:t>
            </w:r>
          </w:p>
        </w:tc>
        <w:tc>
          <w:tcPr>
            <w:tcW w:w="80" w:type="dxa"/>
            <w:vAlign w:val="bottom"/>
          </w:tcPr>
          <w:p>
            <w:pPr>
              <w:spacing w:after="0"/>
              <w:rPr>
                <w:sz w:val="23"/>
                <w:szCs w:val="23"/>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Base management fee payable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2,498,766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2,419,629</w:t>
            </w:r>
          </w:p>
        </w:tc>
        <w:tc>
          <w:tcPr>
            <w:tcW w:w="80" w:type="dxa"/>
            <w:vAlign w:val="bottom"/>
          </w:tcPr>
          <w:p>
            <w:pPr>
              <w:spacing w:after="0"/>
              <w:rPr>
                <w:sz w:val="23"/>
                <w:szCs w:val="23"/>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Performance-based incentive fee payable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187,202</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3,298,404</w:t>
            </w:r>
          </w:p>
        </w:tc>
        <w:tc>
          <w:tcPr>
            <w:tcW w:w="80" w:type="dxa"/>
            <w:vAlign w:val="bottom"/>
          </w:tcPr>
          <w:p>
            <w:pPr>
              <w:spacing w:after="0"/>
              <w:rPr>
                <w:sz w:val="23"/>
                <w:szCs w:val="23"/>
                <w:color w:val="auto"/>
              </w:rPr>
            </w:pPr>
          </w:p>
        </w:tc>
      </w:tr>
      <w:tr>
        <w:trPr>
          <w:trHeight w:val="274"/>
        </w:trPr>
        <w:tc>
          <w:tcPr>
            <w:tcW w:w="774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1,460,249</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1,342,479</w:t>
            </w:r>
          </w:p>
        </w:tc>
        <w:tc>
          <w:tcPr>
            <w:tcW w:w="80" w:type="dxa"/>
            <w:vAlign w:val="bottom"/>
          </w:tcPr>
          <w:p>
            <w:pPr>
              <w:spacing w:after="0"/>
              <w:rPr>
                <w:sz w:val="23"/>
                <w:szCs w:val="23"/>
                <w:color w:val="auto"/>
              </w:rPr>
            </w:pPr>
          </w:p>
        </w:tc>
      </w:tr>
      <w:tr>
        <w:trPr>
          <w:trHeight w:val="267"/>
        </w:trPr>
        <w:tc>
          <w:tcPr>
            <w:tcW w:w="774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488,890,736</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540,601,785</w:t>
            </w:r>
          </w:p>
        </w:tc>
        <w:tc>
          <w:tcPr>
            <w:tcW w:w="80" w:type="dxa"/>
            <w:vAlign w:val="bottom"/>
          </w:tcPr>
          <w:p>
            <w:pPr>
              <w:spacing w:after="0"/>
              <w:rPr>
                <w:sz w:val="23"/>
                <w:szCs w:val="23"/>
                <w:color w:val="auto"/>
              </w:rPr>
            </w:pPr>
          </w:p>
        </w:tc>
      </w:tr>
      <w:tr>
        <w:trPr>
          <w:trHeight w:val="250"/>
        </w:trPr>
        <w:tc>
          <w:tcPr>
            <w:tcW w:w="774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40" w:type="dxa"/>
            <w:vAlign w:val="bottom"/>
          </w:tcPr>
          <w:p>
            <w:pPr>
              <w:spacing w:after="0"/>
              <w:rPr>
                <w:sz w:val="21"/>
                <w:szCs w:val="21"/>
                <w:color w:val="auto"/>
              </w:rPr>
            </w:pPr>
          </w:p>
        </w:tc>
        <w:tc>
          <w:tcPr>
            <w:tcW w:w="142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r>
      <w:tr>
        <w:trPr>
          <w:trHeight w:val="276"/>
        </w:trPr>
        <w:tc>
          <w:tcPr>
            <w:tcW w:w="774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7740" w:type="dxa"/>
            <w:vAlign w:val="bottom"/>
          </w:tcPr>
          <w:p>
            <w:pPr>
              <w:spacing w:after="0" w:line="243" w:lineRule="exact"/>
              <w:rPr>
                <w:sz w:val="20"/>
                <w:szCs w:val="20"/>
                <w:color w:val="auto"/>
              </w:rPr>
            </w:pPr>
            <w:r>
              <w:rPr>
                <w:rFonts w:ascii="Arial" w:cs="Arial" w:eastAsia="Arial" w:hAnsi="Arial"/>
                <w:sz w:val="22"/>
                <w:szCs w:val="22"/>
                <w:color w:val="auto"/>
              </w:rPr>
              <w:t>Common stock, 38,772,074 shares issued and outstanding</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740" w:type="dxa"/>
            <w:vAlign w:val="bottom"/>
          </w:tcPr>
          <w:p>
            <w:pPr>
              <w:ind w:left="100"/>
              <w:spacing w:after="0"/>
              <w:rPr>
                <w:sz w:val="20"/>
                <w:szCs w:val="20"/>
                <w:color w:val="auto"/>
              </w:rPr>
            </w:pPr>
            <w:r>
              <w:rPr>
                <w:rFonts w:ascii="Arial" w:cs="Arial" w:eastAsia="Arial" w:hAnsi="Arial"/>
                <w:sz w:val="22"/>
                <w:szCs w:val="22"/>
                <w:color w:val="auto"/>
              </w:rPr>
              <w:t>Par value $0.001 per share and 100,000,000 shares authorized</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38,772</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38,772</w:t>
            </w:r>
          </w:p>
        </w:tc>
        <w:tc>
          <w:tcPr>
            <w:tcW w:w="80" w:type="dxa"/>
            <w:vAlign w:val="bottom"/>
          </w:tcPr>
          <w:p>
            <w:pPr>
              <w:spacing w:after="0"/>
              <w:rPr>
                <w:sz w:val="23"/>
                <w:szCs w:val="23"/>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539,462,336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539,462,336</w:t>
            </w:r>
          </w:p>
        </w:tc>
        <w:tc>
          <w:tcPr>
            <w:tcW w:w="80" w:type="dxa"/>
            <w:vAlign w:val="bottom"/>
          </w:tcPr>
          <w:p>
            <w:pPr>
              <w:spacing w:after="0"/>
              <w:rPr>
                <w:sz w:val="23"/>
                <w:szCs w:val="23"/>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Distributions in excess of net investment income</w:t>
            </w:r>
          </w:p>
        </w:tc>
        <w:tc>
          <w:tcPr>
            <w:tcW w:w="140" w:type="dxa"/>
            <w:vAlign w:val="bottom"/>
          </w:tcPr>
          <w:p>
            <w:pPr>
              <w:spacing w:after="0"/>
              <w:rPr>
                <w:sz w:val="23"/>
                <w:szCs w:val="23"/>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22"/>
                <w:szCs w:val="22"/>
                <w:color w:val="auto"/>
              </w:rPr>
              <w:t>(5,259,447)</w:t>
            </w:r>
          </w:p>
        </w:tc>
        <w:tc>
          <w:tcPr>
            <w:tcW w:w="120" w:type="dxa"/>
            <w:vAlign w:val="bottom"/>
          </w:tcPr>
          <w:p>
            <w:pPr>
              <w:spacing w:after="0"/>
              <w:rPr>
                <w:sz w:val="23"/>
                <w:szCs w:val="23"/>
                <w:color w:val="auto"/>
              </w:rPr>
            </w:pPr>
          </w:p>
        </w:tc>
        <w:tc>
          <w:tcPr>
            <w:tcW w:w="1580" w:type="dxa"/>
            <w:vAlign w:val="bottom"/>
            <w:gridSpan w:val="2"/>
          </w:tcPr>
          <w:p>
            <w:pPr>
              <w:jc w:val="right"/>
              <w:spacing w:after="0"/>
              <w:rPr>
                <w:sz w:val="20"/>
                <w:szCs w:val="20"/>
                <w:color w:val="auto"/>
              </w:rPr>
            </w:pPr>
            <w:r>
              <w:rPr>
                <w:rFonts w:ascii="Arial" w:cs="Arial" w:eastAsia="Arial" w:hAnsi="Arial"/>
                <w:sz w:val="22"/>
                <w:szCs w:val="22"/>
                <w:color w:val="auto"/>
              </w:rPr>
              <w:t>(5,153,449)</w:t>
            </w: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Accumulated net realized loss on investments</w:t>
            </w:r>
          </w:p>
        </w:tc>
        <w:tc>
          <w:tcPr>
            <w:tcW w:w="140" w:type="dxa"/>
            <w:vAlign w:val="bottom"/>
          </w:tcPr>
          <w:p>
            <w:pPr>
              <w:spacing w:after="0"/>
              <w:rPr>
                <w:sz w:val="23"/>
                <w:szCs w:val="23"/>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22"/>
                <w:szCs w:val="22"/>
                <w:color w:val="auto"/>
              </w:rPr>
              <w:t>(1,407,764)</w:t>
            </w:r>
          </w:p>
        </w:tc>
        <w:tc>
          <w:tcPr>
            <w:tcW w:w="120" w:type="dxa"/>
            <w:vAlign w:val="bottom"/>
          </w:tcPr>
          <w:p>
            <w:pPr>
              <w:spacing w:after="0"/>
              <w:rPr>
                <w:sz w:val="23"/>
                <w:szCs w:val="23"/>
                <w:color w:val="auto"/>
              </w:rPr>
            </w:pPr>
          </w:p>
        </w:tc>
        <w:tc>
          <w:tcPr>
            <w:tcW w:w="1580" w:type="dxa"/>
            <w:vAlign w:val="bottom"/>
            <w:gridSpan w:val="2"/>
          </w:tcPr>
          <w:p>
            <w:pPr>
              <w:jc w:val="right"/>
              <w:spacing w:after="0"/>
              <w:rPr>
                <w:sz w:val="20"/>
                <w:szCs w:val="20"/>
                <w:color w:val="auto"/>
              </w:rPr>
            </w:pPr>
            <w:r>
              <w:rPr>
                <w:rFonts w:ascii="Arial" w:cs="Arial" w:eastAsia="Arial" w:hAnsi="Arial"/>
                <w:sz w:val="22"/>
                <w:szCs w:val="22"/>
                <w:color w:val="auto"/>
              </w:rPr>
              <w:t>(2,331,230)</w:t>
            </w: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Net unrealized depreciation on investments</w:t>
            </w:r>
          </w:p>
        </w:tc>
        <w:tc>
          <w:tcPr>
            <w:tcW w:w="140" w:type="dxa"/>
            <w:vAlign w:val="bottom"/>
          </w:tcPr>
          <w:p>
            <w:pPr>
              <w:spacing w:after="0"/>
              <w:rPr>
                <w:sz w:val="23"/>
                <w:szCs w:val="23"/>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22"/>
                <w:szCs w:val="22"/>
                <w:color w:val="auto"/>
              </w:rPr>
              <w:t>(13,256,046)</w:t>
            </w:r>
          </w:p>
        </w:tc>
        <w:tc>
          <w:tcPr>
            <w:tcW w:w="120" w:type="dxa"/>
            <w:vAlign w:val="bottom"/>
          </w:tcPr>
          <w:p>
            <w:pPr>
              <w:spacing w:after="0"/>
              <w:rPr>
                <w:sz w:val="23"/>
                <w:szCs w:val="23"/>
                <w:color w:val="auto"/>
              </w:rPr>
            </w:pPr>
          </w:p>
        </w:tc>
        <w:tc>
          <w:tcPr>
            <w:tcW w:w="1580" w:type="dxa"/>
            <w:vAlign w:val="bottom"/>
            <w:gridSpan w:val="2"/>
          </w:tcPr>
          <w:p>
            <w:pPr>
              <w:jc w:val="right"/>
              <w:spacing w:after="0"/>
              <w:rPr>
                <w:sz w:val="20"/>
                <w:szCs w:val="20"/>
                <w:color w:val="auto"/>
              </w:rPr>
            </w:pPr>
            <w:r>
              <w:rPr>
                <w:rFonts w:ascii="Arial" w:cs="Arial" w:eastAsia="Arial" w:hAnsi="Arial"/>
                <w:sz w:val="22"/>
                <w:szCs w:val="22"/>
                <w:color w:val="auto"/>
              </w:rPr>
              <w:t>(850,039)</w:t>
            </w:r>
          </w:p>
        </w:tc>
      </w:tr>
      <w:tr>
        <w:trPr>
          <w:trHeight w:val="274"/>
        </w:trPr>
        <w:tc>
          <w:tcPr>
            <w:tcW w:w="7740" w:type="dxa"/>
            <w:vAlign w:val="bottom"/>
          </w:tcPr>
          <w:p>
            <w:pPr>
              <w:spacing w:after="0"/>
              <w:rPr>
                <w:sz w:val="20"/>
                <w:szCs w:val="20"/>
                <w:color w:val="auto"/>
              </w:rPr>
            </w:pPr>
            <w:r>
              <w:rPr>
                <w:rFonts w:ascii="Arial" w:cs="Arial" w:eastAsia="Arial" w:hAnsi="Arial"/>
                <w:sz w:val="22"/>
                <w:szCs w:val="22"/>
                <w:color w:val="auto"/>
              </w:rPr>
              <w:t>Net unrealized depreciation on debt</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10,208,871</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4,675,178</w:t>
            </w:r>
          </w:p>
        </w:tc>
        <w:tc>
          <w:tcPr>
            <w:tcW w:w="80" w:type="dxa"/>
            <w:vAlign w:val="bottom"/>
          </w:tcPr>
          <w:p>
            <w:pPr>
              <w:spacing w:after="0"/>
              <w:rPr>
                <w:sz w:val="23"/>
                <w:szCs w:val="23"/>
                <w:color w:val="auto"/>
              </w:rPr>
            </w:pPr>
          </w:p>
        </w:tc>
      </w:tr>
      <w:tr>
        <w:trPr>
          <w:trHeight w:val="267"/>
        </w:trPr>
        <w:tc>
          <w:tcPr>
            <w:tcW w:w="774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529,786,722</w:t>
            </w:r>
          </w:p>
        </w:tc>
        <w:tc>
          <w:tcPr>
            <w:tcW w:w="2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535,841,568</w:t>
            </w:r>
          </w:p>
        </w:tc>
        <w:tc>
          <w:tcPr>
            <w:tcW w:w="80" w:type="dxa"/>
            <w:vAlign w:val="bottom"/>
          </w:tcPr>
          <w:p>
            <w:pPr>
              <w:spacing w:after="0"/>
              <w:rPr>
                <w:sz w:val="23"/>
                <w:szCs w:val="23"/>
                <w:color w:val="auto"/>
              </w:rPr>
            </w:pPr>
          </w:p>
        </w:tc>
      </w:tr>
      <w:tr>
        <w:trPr>
          <w:trHeight w:val="264"/>
        </w:trPr>
        <w:tc>
          <w:tcPr>
            <w:tcW w:w="774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1,018,677,458</w:t>
            </w:r>
          </w:p>
        </w:tc>
        <w:tc>
          <w:tcPr>
            <w:tcW w:w="2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1,076,443,353</w:t>
            </w:r>
          </w:p>
        </w:tc>
        <w:tc>
          <w:tcPr>
            <w:tcW w:w="80" w:type="dxa"/>
            <w:vAlign w:val="bottom"/>
          </w:tcPr>
          <w:p>
            <w:pPr>
              <w:spacing w:after="0"/>
              <w:rPr>
                <w:sz w:val="22"/>
                <w:szCs w:val="22"/>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774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13.66</w:t>
            </w:r>
          </w:p>
        </w:tc>
        <w:tc>
          <w:tcPr>
            <w:tcW w:w="2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13.82</w:t>
            </w:r>
          </w:p>
        </w:tc>
        <w:tc>
          <w:tcPr>
            <w:tcW w:w="80" w:type="dxa"/>
            <w:vAlign w:val="bottom"/>
          </w:tcPr>
          <w:p>
            <w:pPr>
              <w:spacing w:after="0"/>
              <w:rPr>
                <w:sz w:val="22"/>
                <w:szCs w:val="22"/>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60"/>
        <w:spacing w:after="0" w:line="243" w:lineRule="auto"/>
        <w:rPr>
          <w:sz w:val="20"/>
          <w:szCs w:val="20"/>
          <w:color w:val="auto"/>
        </w:rPr>
      </w:pPr>
      <w:r>
        <w:rPr>
          <w:rFonts w:ascii="Arial" w:cs="Arial" w:eastAsia="Arial" w:hAnsi="Arial"/>
          <w:sz w:val="22"/>
          <w:szCs w:val="22"/>
          <w:b w:val="1"/>
          <w:bCs w:val="1"/>
          <w:color w:val="auto"/>
        </w:rPr>
        <w:t>PENNANTPARK FLOATING RATE CAPITAL LTD. AND SUBSIDIARIES CONSOLIDATED STATEMENTS OF OPERATIONS (Unaudited)</w:t>
      </w:r>
    </w:p>
    <w:p>
      <w:pPr>
        <w:spacing w:after="0" w:line="258" w:lineRule="exact"/>
        <w:rPr>
          <w:sz w:val="20"/>
          <w:szCs w:val="20"/>
          <w:color w:val="auto"/>
        </w:rPr>
      </w:pPr>
    </w:p>
    <w:p>
      <w:pPr>
        <w:jc w:val="center"/>
        <w:ind w:left="7580"/>
        <w:spacing w:after="0"/>
        <w:rPr>
          <w:sz w:val="20"/>
          <w:szCs w:val="20"/>
          <w:color w:val="auto"/>
        </w:rPr>
      </w:pPr>
      <w:r>
        <w:rPr>
          <w:rFonts w:ascii="Arial" w:cs="Arial" w:eastAsia="Arial" w:hAnsi="Arial"/>
          <w:sz w:val="21"/>
          <w:szCs w:val="21"/>
          <w:b w:val="1"/>
          <w:bCs w:val="1"/>
          <w:u w:val="single" w:color="auto"/>
          <w:color w:val="auto"/>
        </w:rPr>
        <w:t>Three Months Ended December 31,</w:t>
      </w:r>
    </w:p>
    <w:p>
      <w:pPr>
        <w:spacing w:after="0" w:line="42" w:lineRule="exact"/>
        <w:rPr>
          <w:sz w:val="20"/>
          <w:szCs w:val="20"/>
          <w:color w:val="auto"/>
        </w:rPr>
      </w:pPr>
    </w:p>
    <w:p>
      <w:pPr>
        <w:ind w:left="8320"/>
        <w:spacing w:after="0"/>
        <w:tabs>
          <w:tab w:leader="none" w:pos="10100" w:val="left"/>
        </w:tabs>
        <w:rPr>
          <w:sz w:val="20"/>
          <w:szCs w:val="20"/>
          <w:color w:val="auto"/>
        </w:rPr>
      </w:pPr>
      <w:r>
        <w:rPr>
          <w:rFonts w:ascii="Arial" w:cs="Arial" w:eastAsia="Arial" w:hAnsi="Arial"/>
          <w:sz w:val="22"/>
          <w:szCs w:val="22"/>
          <w:b w:val="1"/>
          <w:bCs w:val="1"/>
          <w:color w:val="auto"/>
        </w:rPr>
        <w:t>2018</w:t>
      </w:r>
      <w:r>
        <w:rPr>
          <w:sz w:val="20"/>
          <w:szCs w:val="20"/>
          <w:color w:val="auto"/>
        </w:rPr>
        <w:tab/>
      </w:r>
      <w:r>
        <w:rPr>
          <w:rFonts w:ascii="Arial" w:cs="Arial" w:eastAsia="Arial" w:hAnsi="Arial"/>
          <w:sz w:val="22"/>
          <w:szCs w:val="2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19685</wp:posOffset>
            </wp:positionV>
            <wp:extent cx="21602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ectPr>
          <w:pgSz w:w="11900" w:h="16838" w:orient="portrait"/>
          <w:cols w:equalWidth="0" w:num="1">
            <w:col w:w="11240"/>
          </w:cols>
          <w:pgMar w:left="320" w:top="118" w:right="339" w:bottom="0" w:gutter="0" w:footer="0" w:header="0"/>
        </w:sectPr>
      </w:pPr>
    </w:p>
    <w:bookmarkStart w:id="7" w:name="page8"/>
    <w:bookmarkEnd w:id="7"/>
    <w:tbl>
      <w:tblPr>
        <w:tblLayout w:type="fixed"/>
        <w:tblInd w:w="20" w:type="dxa"/>
        <w:tblCellMar>
          <w:top w:w="0" w:type="dxa"/>
          <w:left w:w="0" w:type="dxa"/>
          <w:bottom w:w="0" w:type="dxa"/>
          <w:right w:w="0" w:type="dxa"/>
        </w:tblCellMar>
      </w:tblPr>
      <w:tr>
        <w:trPr>
          <w:trHeight w:val="277"/>
        </w:trPr>
        <w:tc>
          <w:tcPr>
            <w:tcW w:w="770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18,169,998</w:t>
            </w:r>
          </w:p>
        </w:tc>
        <w:tc>
          <w:tcPr>
            <w:tcW w:w="220" w:type="dxa"/>
            <w:vAlign w:val="bottom"/>
          </w:tcPr>
          <w:p>
            <w:pPr>
              <w:spacing w:after="0"/>
              <w:rPr>
                <w:sz w:val="23"/>
                <w:szCs w:val="23"/>
                <w:color w:val="auto"/>
              </w:rPr>
            </w:pP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13,867,420</w:t>
            </w: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621,189</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433,180</w:t>
            </w:r>
          </w:p>
        </w:tc>
        <w:tc>
          <w:tcPr>
            <w:tcW w:w="80" w:type="dxa"/>
            <w:vAlign w:val="bottom"/>
          </w:tcPr>
          <w:p>
            <w:pPr>
              <w:spacing w:after="0"/>
              <w:rPr>
                <w:sz w:val="23"/>
                <w:szCs w:val="23"/>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2,818,045</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535,760</w:t>
            </w:r>
          </w:p>
        </w:tc>
        <w:tc>
          <w:tcPr>
            <w:tcW w:w="80" w:type="dxa"/>
            <w:vAlign w:val="bottom"/>
          </w:tcPr>
          <w:p>
            <w:pPr>
              <w:spacing w:after="0"/>
              <w:rPr>
                <w:sz w:val="23"/>
                <w:szCs w:val="23"/>
                <w:color w:val="auto"/>
              </w:rPr>
            </w:pP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Dividend</w:t>
            </w: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1,575,000</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w:t>
            </w:r>
          </w:p>
        </w:tc>
      </w:tr>
      <w:tr>
        <w:trPr>
          <w:trHeight w:val="267"/>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34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23,184,232</w:t>
            </w:r>
          </w:p>
        </w:tc>
        <w:tc>
          <w:tcPr>
            <w:tcW w:w="22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14,836,360</w:t>
            </w:r>
          </w:p>
        </w:tc>
        <w:tc>
          <w:tcPr>
            <w:tcW w:w="80" w:type="dxa"/>
            <w:vAlign w:val="bottom"/>
          </w:tcPr>
          <w:p>
            <w:pPr>
              <w:spacing w:after="0"/>
              <w:rPr>
                <w:sz w:val="23"/>
                <w:szCs w:val="23"/>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2,498,766</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1,822,063</w:t>
            </w: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340" w:type="dxa"/>
            <w:vAlign w:val="bottom"/>
          </w:tcPr>
          <w:p>
            <w:pPr>
              <w:spacing w:after="0"/>
              <w:rPr>
                <w:sz w:val="23"/>
                <w:szCs w:val="2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22"/>
                <w:szCs w:val="22"/>
                <w:color w:val="auto"/>
              </w:rPr>
              <w:t>(1,192,409)</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148,010</w:t>
            </w: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5,305,478</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2,618,308</w:t>
            </w: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500,000</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500,000</w:t>
            </w:r>
          </w:p>
        </w:tc>
        <w:tc>
          <w:tcPr>
            <w:tcW w:w="80" w:type="dxa"/>
            <w:vAlign w:val="bottom"/>
          </w:tcPr>
          <w:p>
            <w:pPr>
              <w:spacing w:after="0"/>
              <w:rPr>
                <w:sz w:val="23"/>
                <w:szCs w:val="23"/>
                <w:color w:val="auto"/>
              </w:rPr>
            </w:pP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3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616,075</w:t>
            </w:r>
          </w:p>
        </w:tc>
        <w:tc>
          <w:tcPr>
            <w:tcW w:w="2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618,751</w:t>
            </w:r>
          </w:p>
        </w:tc>
        <w:tc>
          <w:tcPr>
            <w:tcW w:w="80" w:type="dxa"/>
            <w:vAlign w:val="bottom"/>
          </w:tcPr>
          <w:p>
            <w:pPr>
              <w:spacing w:after="0"/>
              <w:rPr>
                <w:sz w:val="23"/>
                <w:szCs w:val="23"/>
                <w:color w:val="auto"/>
              </w:rPr>
            </w:pPr>
          </w:p>
        </w:tc>
      </w:tr>
      <w:tr>
        <w:trPr>
          <w:trHeight w:val="259"/>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w w:val="88"/>
              </w:rPr>
              <w:t>Expenses before amendment costs, debt issuance costs and provision for taxes</w:t>
            </w:r>
          </w:p>
        </w:tc>
        <w:tc>
          <w:tcPr>
            <w:tcW w:w="3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7,727,910</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5,707,132</w:t>
            </w:r>
          </w:p>
        </w:tc>
        <w:tc>
          <w:tcPr>
            <w:tcW w:w="80" w:type="dxa"/>
            <w:vAlign w:val="bottom"/>
          </w:tcPr>
          <w:p>
            <w:pPr>
              <w:spacing w:after="0"/>
              <w:rPr>
                <w:sz w:val="22"/>
                <w:szCs w:val="22"/>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Credit Facility amendment costs and debt issuance costs</w:t>
            </w: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4,512,279</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10,869,098</w:t>
            </w:r>
          </w:p>
        </w:tc>
        <w:tc>
          <w:tcPr>
            <w:tcW w:w="80" w:type="dxa"/>
            <w:vAlign w:val="bottom"/>
          </w:tcPr>
          <w:p>
            <w:pPr>
              <w:spacing w:after="0"/>
              <w:rPr>
                <w:sz w:val="23"/>
                <w:szCs w:val="23"/>
                <w:color w:val="auto"/>
              </w:rPr>
            </w:pP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340" w:type="dxa"/>
            <w:vAlign w:val="bottom"/>
          </w:tcPr>
          <w:p>
            <w:pPr>
              <w:spacing w:after="0"/>
              <w:rPr>
                <w:sz w:val="23"/>
                <w:szCs w:val="23"/>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200,000</w:t>
            </w:r>
          </w:p>
        </w:tc>
        <w:tc>
          <w:tcPr>
            <w:tcW w:w="80" w:type="dxa"/>
            <w:vAlign w:val="bottom"/>
          </w:tcPr>
          <w:p>
            <w:pPr>
              <w:spacing w:after="0"/>
              <w:rPr>
                <w:sz w:val="23"/>
                <w:szCs w:val="23"/>
                <w:color w:val="auto"/>
              </w:rPr>
            </w:pPr>
          </w:p>
        </w:tc>
      </w:tr>
      <w:tr>
        <w:trPr>
          <w:trHeight w:val="267"/>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Total expenses</w:t>
            </w:r>
          </w:p>
        </w:tc>
        <w:tc>
          <w:tcPr>
            <w:tcW w:w="34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12,240,189</w:t>
            </w:r>
          </w:p>
        </w:tc>
        <w:tc>
          <w:tcPr>
            <w:tcW w:w="22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16,776,230</w:t>
            </w:r>
          </w:p>
        </w:tc>
        <w:tc>
          <w:tcPr>
            <w:tcW w:w="80" w:type="dxa"/>
            <w:vAlign w:val="bottom"/>
          </w:tcPr>
          <w:p>
            <w:pPr>
              <w:spacing w:after="0"/>
              <w:rPr>
                <w:sz w:val="23"/>
                <w:szCs w:val="23"/>
                <w:color w:val="auto"/>
              </w:rPr>
            </w:pPr>
          </w:p>
        </w:tc>
      </w:tr>
      <w:tr>
        <w:trPr>
          <w:trHeight w:val="263"/>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 (loss)</w:t>
            </w: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10,944,043</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(1,939,870)</w:t>
            </w:r>
          </w:p>
        </w:tc>
        <w:tc>
          <w:tcPr>
            <w:tcW w:w="80" w:type="dxa"/>
            <w:vAlign w:val="bottom"/>
          </w:tcPr>
          <w:p>
            <w:pPr>
              <w:spacing w:after="0"/>
              <w:rPr>
                <w:sz w:val="22"/>
                <w:szCs w:val="22"/>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22"/>
                <w:szCs w:val="22"/>
                <w:b w:val="1"/>
                <w:bCs w:val="1"/>
                <w:color w:val="auto"/>
              </w:rPr>
              <w:t>Realized and unrealized (loss) gain on investments and debt:</w:t>
            </w: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Net realized gain (loss) on investments</w:t>
            </w: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923,466</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(2,786,551)</w:t>
            </w: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Net change in unrealized (depreciation) appreciation on:</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340" w:type="dxa"/>
            <w:vAlign w:val="bottom"/>
          </w:tcPr>
          <w:p>
            <w:pPr>
              <w:spacing w:after="0"/>
              <w:rPr>
                <w:sz w:val="23"/>
                <w:szCs w:val="2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22"/>
                <w:szCs w:val="22"/>
                <w:color w:val="auto"/>
              </w:rPr>
              <w:t>(10,041,539)</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3,198,156</w:t>
            </w: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Controlled, affiliated investments</w:t>
            </w:r>
          </w:p>
        </w:tc>
        <w:tc>
          <w:tcPr>
            <w:tcW w:w="340" w:type="dxa"/>
            <w:vAlign w:val="bottom"/>
          </w:tcPr>
          <w:p>
            <w:pPr>
              <w:spacing w:after="0"/>
              <w:rPr>
                <w:sz w:val="23"/>
                <w:szCs w:val="2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22"/>
                <w:szCs w:val="22"/>
                <w:color w:val="auto"/>
              </w:rPr>
              <w:t>(2,364,468)</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318,442</w:t>
            </w:r>
          </w:p>
        </w:tc>
        <w:tc>
          <w:tcPr>
            <w:tcW w:w="80" w:type="dxa"/>
            <w:vAlign w:val="bottom"/>
          </w:tcPr>
          <w:p>
            <w:pPr>
              <w:spacing w:after="0"/>
              <w:rPr>
                <w:sz w:val="23"/>
                <w:szCs w:val="23"/>
                <w:color w:val="auto"/>
              </w:rPr>
            </w:pP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Debt depreciation</w:t>
            </w:r>
          </w:p>
        </w:tc>
        <w:tc>
          <w:tcPr>
            <w:tcW w:w="3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5,533,693</w:t>
            </w:r>
          </w:p>
        </w:tc>
        <w:tc>
          <w:tcPr>
            <w:tcW w:w="2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3,128,605</w:t>
            </w:r>
          </w:p>
        </w:tc>
        <w:tc>
          <w:tcPr>
            <w:tcW w:w="80" w:type="dxa"/>
            <w:vAlign w:val="bottom"/>
          </w:tcPr>
          <w:p>
            <w:pPr>
              <w:spacing w:after="0"/>
              <w:rPr>
                <w:sz w:val="23"/>
                <w:szCs w:val="23"/>
                <w:color w:val="auto"/>
              </w:rPr>
            </w:pPr>
          </w:p>
        </w:tc>
      </w:tr>
      <w:tr>
        <w:trPr>
          <w:trHeight w:val="267"/>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w w:val="91"/>
              </w:rPr>
              <w:t>Net change in unrealized (depreciation) appreciation on investments and debt</w:t>
            </w:r>
          </w:p>
        </w:tc>
        <w:tc>
          <w:tcPr>
            <w:tcW w:w="3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(6,872,314)</w:t>
            </w:r>
          </w:p>
        </w:tc>
        <w:tc>
          <w:tcPr>
            <w:tcW w:w="2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6,645,203</w:t>
            </w:r>
          </w:p>
        </w:tc>
        <w:tc>
          <w:tcPr>
            <w:tcW w:w="80" w:type="dxa"/>
            <w:vAlign w:val="bottom"/>
          </w:tcPr>
          <w:p>
            <w:pPr>
              <w:spacing w:after="0"/>
              <w:rPr>
                <w:sz w:val="23"/>
                <w:szCs w:val="23"/>
                <w:color w:val="auto"/>
              </w:rPr>
            </w:pPr>
          </w:p>
        </w:tc>
      </w:tr>
      <w:tr>
        <w:trPr>
          <w:trHeight w:val="263"/>
        </w:trPr>
        <w:tc>
          <w:tcPr>
            <w:tcW w:w="7700" w:type="dxa"/>
            <w:vAlign w:val="bottom"/>
          </w:tcPr>
          <w:p>
            <w:pPr>
              <w:spacing w:after="0"/>
              <w:rPr>
                <w:sz w:val="20"/>
                <w:szCs w:val="20"/>
                <w:color w:val="auto"/>
              </w:rPr>
            </w:pPr>
            <w:r>
              <w:rPr>
                <w:rFonts w:ascii="Arial" w:cs="Arial" w:eastAsia="Arial" w:hAnsi="Arial"/>
                <w:sz w:val="22"/>
                <w:szCs w:val="22"/>
                <w:b w:val="1"/>
                <w:bCs w:val="1"/>
                <w:color w:val="auto"/>
              </w:rPr>
              <w:t>Net realized and unrealized (loss) gain from investments and debt</w:t>
            </w: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(5,948,848)</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3,858,652</w:t>
            </w:r>
          </w:p>
        </w:tc>
        <w:tc>
          <w:tcPr>
            <w:tcW w:w="80" w:type="dxa"/>
            <w:vAlign w:val="bottom"/>
          </w:tcPr>
          <w:p>
            <w:pPr>
              <w:spacing w:after="0"/>
              <w:rPr>
                <w:sz w:val="22"/>
                <w:szCs w:val="22"/>
                <w:color w:val="auto"/>
              </w:rPr>
            </w:pPr>
          </w:p>
        </w:tc>
      </w:tr>
      <w:tr>
        <w:trPr>
          <w:trHeight w:val="264"/>
        </w:trPr>
        <w:tc>
          <w:tcPr>
            <w:tcW w:w="7700" w:type="dxa"/>
            <w:vAlign w:val="bottom"/>
          </w:tcPr>
          <w:p>
            <w:pPr>
              <w:spacing w:after="0"/>
              <w:rPr>
                <w:sz w:val="20"/>
                <w:szCs w:val="20"/>
                <w:color w:val="auto"/>
              </w:rPr>
            </w:pPr>
            <w:r>
              <w:rPr>
                <w:rFonts w:ascii="Arial" w:cs="Arial" w:eastAsia="Arial" w:hAnsi="Arial"/>
                <w:sz w:val="22"/>
                <w:szCs w:val="22"/>
                <w:b w:val="1"/>
                <w:bCs w:val="1"/>
                <w:color w:val="auto"/>
              </w:rPr>
              <w:t>Net increase in net assets resulting from operations</w:t>
            </w: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4,995,195</w:t>
            </w:r>
          </w:p>
        </w:tc>
        <w:tc>
          <w:tcPr>
            <w:tcW w:w="220" w:type="dxa"/>
            <w:vAlign w:val="bottom"/>
          </w:tcPr>
          <w:p>
            <w:pPr>
              <w:spacing w:after="0"/>
              <w:rPr>
                <w:sz w:val="22"/>
                <w:szCs w:val="22"/>
                <w:color w:val="auto"/>
              </w:rPr>
            </w:pP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1,918,782</w:t>
            </w:r>
          </w:p>
        </w:tc>
        <w:tc>
          <w:tcPr>
            <w:tcW w:w="80" w:type="dxa"/>
            <w:vAlign w:val="bottom"/>
          </w:tcPr>
          <w:p>
            <w:pPr>
              <w:spacing w:after="0"/>
              <w:rPr>
                <w:sz w:val="22"/>
                <w:szCs w:val="22"/>
                <w:color w:val="auto"/>
              </w:rPr>
            </w:pPr>
          </w:p>
        </w:tc>
      </w:tr>
      <w:tr>
        <w:trPr>
          <w:trHeight w:val="20"/>
        </w:trPr>
        <w:tc>
          <w:tcPr>
            <w:tcW w:w="7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7700" w:type="dxa"/>
            <w:vAlign w:val="bottom"/>
          </w:tcPr>
          <w:p>
            <w:pPr>
              <w:spacing w:after="0"/>
              <w:rPr>
                <w:sz w:val="20"/>
                <w:szCs w:val="20"/>
                <w:color w:val="auto"/>
              </w:rPr>
            </w:pPr>
            <w:r>
              <w:rPr>
                <w:rFonts w:ascii="Arial" w:cs="Arial" w:eastAsia="Arial" w:hAnsi="Arial"/>
                <w:sz w:val="22"/>
                <w:szCs w:val="22"/>
                <w:color w:val="auto"/>
              </w:rPr>
              <w:t>Net increase in net assets resulting from operations per common share</w:t>
            </w: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0.13</w:t>
            </w:r>
          </w:p>
        </w:tc>
        <w:tc>
          <w:tcPr>
            <w:tcW w:w="220" w:type="dxa"/>
            <w:vAlign w:val="bottom"/>
          </w:tcPr>
          <w:p>
            <w:pPr>
              <w:spacing w:after="0"/>
              <w:rPr>
                <w:sz w:val="22"/>
                <w:szCs w:val="22"/>
                <w:color w:val="auto"/>
              </w:rPr>
            </w:pP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0.05</w:t>
            </w:r>
          </w:p>
        </w:tc>
        <w:tc>
          <w:tcPr>
            <w:tcW w:w="80" w:type="dxa"/>
            <w:vAlign w:val="bottom"/>
          </w:tcPr>
          <w:p>
            <w:pPr>
              <w:spacing w:after="0"/>
              <w:rPr>
                <w:sz w:val="22"/>
                <w:szCs w:val="22"/>
                <w:color w:val="auto"/>
              </w:rPr>
            </w:pPr>
          </w:p>
        </w:tc>
      </w:tr>
      <w:tr>
        <w:trPr>
          <w:trHeight w:val="21"/>
        </w:trPr>
        <w:tc>
          <w:tcPr>
            <w:tcW w:w="7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263"/>
        </w:trPr>
        <w:tc>
          <w:tcPr>
            <w:tcW w:w="7700" w:type="dxa"/>
            <w:vAlign w:val="bottom"/>
          </w:tcPr>
          <w:p>
            <w:pPr>
              <w:spacing w:after="0"/>
              <w:rPr>
                <w:sz w:val="20"/>
                <w:szCs w:val="20"/>
                <w:color w:val="auto"/>
              </w:rPr>
            </w:pPr>
            <w:r>
              <w:rPr>
                <w:rFonts w:ascii="Arial" w:cs="Arial" w:eastAsia="Arial" w:hAnsi="Arial"/>
                <w:sz w:val="22"/>
                <w:szCs w:val="22"/>
                <w:color w:val="auto"/>
              </w:rPr>
              <w:t>Net investment income (loss) per common share</w:t>
            </w:r>
          </w:p>
        </w:tc>
        <w:tc>
          <w:tcPr>
            <w:tcW w:w="3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0.28</w:t>
            </w:r>
          </w:p>
        </w:tc>
        <w:tc>
          <w:tcPr>
            <w:tcW w:w="2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(0.05</w:t>
            </w:r>
          </w:p>
        </w:tc>
        <w:tc>
          <w:tcPr>
            <w:tcW w:w="80" w:type="dxa"/>
            <w:vAlign w:val="bottom"/>
          </w:tcPr>
          <w:p>
            <w:pPr>
              <w:jc w:val="right"/>
              <w:spacing w:after="0"/>
              <w:rPr>
                <w:sz w:val="20"/>
                <w:szCs w:val="20"/>
                <w:color w:val="auto"/>
              </w:rPr>
            </w:pPr>
            <w:r>
              <w:rPr>
                <w:rFonts w:ascii="Arial" w:cs="Arial" w:eastAsia="Arial" w:hAnsi="Arial"/>
                <w:sz w:val="22"/>
                <w:szCs w:val="22"/>
                <w:color w:val="auto"/>
                <w:w w:val="81"/>
              </w:rPr>
              <w:t>)</w:t>
            </w:r>
          </w:p>
        </w:tc>
      </w:tr>
      <w:tr>
        <w:trPr>
          <w:trHeight w:val="20"/>
        </w:trPr>
        <w:tc>
          <w:tcPr>
            <w:tcW w:w="7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Aviv Efrat</w:t>
      </w:r>
    </w:p>
    <w:p>
      <w:pPr>
        <w:spacing w:after="0" w:line="238" w:lineRule="auto"/>
        <w:rPr>
          <w:sz w:val="20"/>
          <w:szCs w:val="20"/>
          <w:color w:val="auto"/>
        </w:rPr>
      </w:pPr>
      <w:r>
        <w:rPr>
          <w:rFonts w:ascii="Arial" w:cs="Arial" w:eastAsia="Arial" w:hAnsi="Arial"/>
          <w:sz w:val="22"/>
          <w:szCs w:val="22"/>
          <w:color w:val="auto"/>
        </w:rPr>
        <w:t>PennantPark Floating Rate Capital Ltd.</w:t>
      </w:r>
    </w:p>
    <w:p>
      <w:pPr>
        <w:ind w:right="9240" w:firstLine="8"/>
        <w:spacing w:after="0" w:line="308" w:lineRule="auto"/>
        <w:tabs>
          <w:tab w:leader="none" w:pos="522" w:val="left"/>
        </w:tabs>
        <w:numPr>
          <w:ilvl w:val="0"/>
          <w:numId w:val="4"/>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1" w:right="3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2020-05-05T12:05:38Z</dcterms:created>
  <dcterms:modified xsi:type="dcterms:W3CDTF">2020-05-05T12:05:38Z</dcterms:modified>
</cp:coreProperties>
</file>