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43"/>
          <w:szCs w:val="43"/>
          <w:b w:val="1"/>
          <w:bCs w:val="1"/>
          <w:color w:val="auto"/>
        </w:rPr>
        <w:t>PennantPark Floating Rate Capital Ltd.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814-00891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27-3794690</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PFLT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120" w:firstLine="440"/>
        <w:spacing w:after="0" w:line="253" w:lineRule="auto"/>
        <w:rPr>
          <w:sz w:val="20"/>
          <w:szCs w:val="20"/>
          <w:color w:val="auto"/>
        </w:rPr>
      </w:pPr>
      <w:r>
        <w:rPr>
          <w:rFonts w:ascii="Times New Roman" w:cs="Times New Roman" w:eastAsia="Times New Roman" w:hAnsi="Times New Roman"/>
          <w:sz w:val="18"/>
          <w:szCs w:val="18"/>
          <w:color w:val="auto"/>
        </w:rPr>
        <w:t>On May 27, 2026, PennantPark Floating Rate Capital Ltd. (the “Company”) entered into an underwriting agreement (the “Underwriting Agreement”) by and among the Company, PennantPark Investment Advisers, LLC (the “Adviser”) and Morgan Stanley &amp; Co. LLC, Goldman Sachs &amp; Co. LLC, Keefe, Bruyette &amp; Woods, Inc., RBC Capital Markets, LLC, and UBS Securities LLC as representatives of the several underwriters (collectively, the “Underwriters”), in connection with the issuance and sale (the “Offering”) of $100 million aggregate principal amount of the Company’s 7.375% Notes due 2031 (the “2031 Notes”). The closing of the Offering is expected to occur on June 1, 2026, subject to customary closing conditions. Pursuant to the Underwriting Agreement, the Company has also granted the Underwriters an option to purchase up to an additional</w:t>
      </w:r>
    </w:p>
    <w:p>
      <w:pPr>
        <w:spacing w:after="0" w:line="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$15 million aggregate principal amount of the 2031 Notes within 30 days of May 27, 2026. The Company intends to use the net proceeds from the Offering to repay its outstanding obligations under its revolving credit facility, to invest in new or existing portfolio companies and for general corporate or strategic purposes.</w:t>
      </w:r>
    </w:p>
    <w:p>
      <w:pPr>
        <w:spacing w:after="0" w:line="186"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includes customary representations, warranties, and covenants by the Company and the Adviser. It also provides for customary indemnification by each of the Company, the Adviser, and the Underwriters against certain liabilities and customary contribution provisions in respect of those liabilities.</w:t>
      </w:r>
    </w:p>
    <w:p>
      <w:pPr>
        <w:spacing w:after="0" w:line="176"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2031 Notes are expected to be listed on the New York Stock Exchange within 30 days of June 1, 2026 and to trade under the trading symbol “PFLA”.</w:t>
      </w:r>
    </w:p>
    <w:p>
      <w:pPr>
        <w:spacing w:after="0" w:line="162"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The Offering is being made pursuant to the Company’s effective shelf registration statement on Form N-2 (Registration No. 333-279726) previously filed with the Securities and Exchange Commission, as supplemented by a preliminary prospectus supplement dated May 27, 2026 and a final prospectus supplement to be dated May 27, 2026.</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Underwriting Agreement does not purport to be complete and is qualified in its entirety by reference to the full text of the Underwriting Agreement filed with this report as Exhibit 1.1 and which is incorporated herein by reference.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8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22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24"/>
                <w:szCs w:val="24"/>
                <w:color w:val="auto"/>
              </w:rPr>
            </w:pPr>
          </w:p>
        </w:tc>
        <w:tc>
          <w:tcPr>
            <w:tcW w:w="9760" w:type="dxa"/>
            <w:vAlign w:val="bottom"/>
            <w:gridSpan w:val="4"/>
            <w:vMerge w:val="restart"/>
          </w:tcPr>
          <w:p>
            <w:pPr>
              <w:ind w:left="4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97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18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Underwriting Agreement, dated May 27, 2026, by and among PennantPark Floating Rate Capital Ltd., PennantPark Investment</w:t>
            </w:r>
          </w:p>
        </w:tc>
        <w:tc>
          <w:tcPr>
            <w:tcW w:w="580" w:type="dxa"/>
            <w:vAlign w:val="bottom"/>
            <w:tcBorders>
              <w:top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Advisers, LLC and Morgan Stanley &amp; Co. LLC, Goldman Sachs &amp; Co. LLC, Keefe, Bruyette &amp; Woods, Inc., RBC Capital Markets,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6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LLC, and UBS Securities LLC as representatives of the several underwriters.</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560" w:type="dxa"/>
            <w:vAlign w:val="bottom"/>
            <w:shd w:val="clear" w:color="auto" w:fill="0000EE"/>
          </w:tcPr>
          <w:p>
            <w:pPr>
              <w:spacing w:after="0" w:line="20" w:lineRule="exact"/>
              <w:rPr>
                <w:sz w:val="1"/>
                <w:szCs w:val="1"/>
                <w:color w:val="auto"/>
              </w:rPr>
            </w:pPr>
          </w:p>
        </w:tc>
        <w:tc>
          <w:tcPr>
            <w:tcW w:w="4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75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tc>
      </w:tr>
      <w:tr>
        <w:trPr>
          <w:trHeight w:val="432"/>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May 27, 2026</w:t>
            </w: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T. Allorto, Jr.</w:t>
            </w:r>
          </w:p>
        </w:tc>
      </w:tr>
      <w:tr>
        <w:trPr>
          <w:trHeight w:val="205"/>
        </w:trPr>
        <w:tc>
          <w:tcPr>
            <w:tcW w:w="3480" w:type="dxa"/>
            <w:vAlign w:val="bottom"/>
          </w:tcPr>
          <w:p>
            <w:pPr>
              <w:spacing w:after="0"/>
              <w:rPr>
                <w:sz w:val="17"/>
                <w:szCs w:val="17"/>
                <w:color w:val="auto"/>
              </w:rPr>
            </w:pPr>
          </w:p>
        </w:tc>
        <w:tc>
          <w:tcPr>
            <w:tcW w:w="2680" w:type="dxa"/>
            <w:vAlign w:val="bottom"/>
          </w:tcPr>
          <w:p>
            <w:pPr>
              <w:ind w:left="20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Richard T. Allorto, Jr.</w:t>
            </w:r>
          </w:p>
        </w:tc>
      </w:tr>
      <w:tr>
        <w:trPr>
          <w:trHeight w:val="234"/>
        </w:trPr>
        <w:tc>
          <w:tcPr>
            <w:tcW w:w="3480" w:type="dxa"/>
            <w:vAlign w:val="bottom"/>
          </w:tcPr>
          <w:p>
            <w:pPr>
              <w:spacing w:after="0"/>
              <w:rPr>
                <w:sz w:val="20"/>
                <w:szCs w:val="20"/>
                <w:color w:val="auto"/>
              </w:rPr>
            </w:pPr>
          </w:p>
        </w:tc>
        <w:tc>
          <w:tcPr>
            <w:tcW w:w="26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PENNANTPARK FLOATING RATE CAPITAL LTD.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$100,000,000 7.375% Notes due 2031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UNDERWRITING AGREEMENT</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27,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Representatives of the Several Underwriters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196" w:lineRule="auto"/>
        <w:rPr>
          <w:sz w:val="20"/>
          <w:szCs w:val="20"/>
          <w:color w:val="auto"/>
        </w:rPr>
      </w:pPr>
      <w:r>
        <w:rPr>
          <w:rFonts w:ascii="Times New Roman" w:cs="Times New Roman" w:eastAsia="Times New Roman" w:hAnsi="Times New Roman"/>
          <w:sz w:val="18"/>
          <w:szCs w:val="18"/>
          <w:color w:val="auto"/>
        </w:rPr>
        <w:t>1585 Broadway, 34</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West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Seventh Avenue, Fourth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Brookfield Place</w:t>
      </w:r>
    </w:p>
    <w:p>
      <w:pPr>
        <w:spacing w:after="0" w:line="181" w:lineRule="auto"/>
        <w:rPr>
          <w:sz w:val="20"/>
          <w:szCs w:val="20"/>
          <w:color w:val="auto"/>
        </w:rPr>
      </w:pPr>
      <w:r>
        <w:rPr>
          <w:rFonts w:ascii="Times New Roman" w:cs="Times New Roman" w:eastAsia="Times New Roman" w:hAnsi="Times New Roman"/>
          <w:sz w:val="18"/>
          <w:szCs w:val="18"/>
          <w:color w:val="auto"/>
        </w:rPr>
        <w:t>200 Vesey Street,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10281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Madison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PennantPark Floating Rate Capital Ltd., a Maryland corporation (the “Company”), and PennantPark Investment Advisers, LLC, a Delaware limited liability company (the “Adviser”), each confirms its agreement with Morgan Stanley &amp; Co. LLC (“Morgan Stanley”), Goldman Sachs &amp; Co. LLC (“GS”), Keefe, Bruyette &amp; Woods, Inc. (“KBW”), RBC Capital Markets, LLC (“RBC”) and UBS Securities LLC (“UBS”) and each of the other underwriters named in Schedule A hereto (collectively, the “Underwriters,” which term shall also include any underwriter substituted as hereinafter provided in Section 8 hereof), for whom Morgan Stanley, GS, KBW,</w:t>
      </w:r>
    </w:p>
    <w:p>
      <w:pPr>
        <w:sectPr>
          <w:pgSz w:w="11900" w:h="16838" w:orient="portrait"/>
          <w:cols w:equalWidth="0" w:num="1">
            <w:col w:w="11020"/>
          </w:cols>
          <w:pgMar w:left="440" w:top="117" w:right="439" w:bottom="1440" w:gutter="0" w:footer="0" w:header="0"/>
        </w:sectPr>
      </w:pPr>
    </w:p>
    <w:bookmarkStart w:id="4" w:name="page5"/>
    <w:bookmarkEnd w:id="4"/>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RBC and UBS are acting as representatives (each of Morgan Stanley, GS, KBW, RBC and UBS in such capacity, a “Representative” and, collectively, the “Representatives”), with respect to the sale by the Company and the purchase by the Underwriters, acting severally and not jointly, of $100,000,000 aggregate principal amount of 7.375% Notes due 2031 (the “Initial Securities”). In addition, the Company proposes to grant to the Underwriters the option to purchase from the Company up to an additional $15,000,000 aggregate principal amount of 7.375% Notes due 2031 (the “Additional Securities”) to cover overallotments, if any. The Initial Securities and the Additional Securities are hereinafter collectively sometimes referred to as the “Securities.”</w:t>
      </w:r>
    </w:p>
    <w:p>
      <w:pPr>
        <w:spacing w:after="0" w:line="18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Securities will be issued under an indenture, dated as of March 23, 2021 (the “Base Indenture”), as supplemented by the Third Supplemental Indenture, to be dated as of the Closing Time (the “Supplemental Indenture” and, together with the Base Indenture, the “Indenture”), between the Company and Equiniti Trust Company, LLC (f/k/a American Stock Transfer &amp; Trust Company, LLC), as trustee (the “Trustee”). The Securities will be issued to Cede &amp; Co. as nominee of The Depository Trust Company (“DTC”) pursuant to that certain blanket letter of representations (the “DTC Agreement”) between the Company and DTC. The Indenture has been qualified under the Trust Indenture Act of 1939, as amended (the “Trust Indenture Act”).</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understands that the Underwriters propose to make a public offering of the Securities as soon as the Representatives deem advisable after this Underwriting Agreement (this “Agreement”) has been executed and delivered.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filed with the Securities and Exchange Commission (the “Commission”) a shelf registration statement on</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Form N-2 (File No. 333-279726), relating to the registration of the Securities and certain of the Company’s other securities under the Securities Act of 1933, as amended (the “1933 Act”), which registration statement was declared effective by the Commission on July 17, 2024. The Company has also filed with the Commission a preliminary prospectus supplement, dated May 27, 2026, as such prospectus supplement may be amended (the “Preliminary Prospectus Supplement”), which contains a base prospectus, dated July 17, 2024 (the “Base Prospectus” and, together with the Preliminary Prospectus Supplement, the “Preliminary Prospectus”). Promptly after execution and delivery of this Agreement, the Company will prepare and file a prospectus in accordance with the provisions of Rule 430B (“Rule 430B”) of the rules and regulations of the Commission promulgated under the 1933 Act (such provisions, the “1933 Act Regulations”) and Rule 424(b) of the 1933 Act Regulations (“Rule 424(b)”).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and deemed to be part of the registration statement and also including any registration statement filed pursuant to Rule 462(b) of the 1933 Act Regulations, is herein called the “Registration Statement.” The final prospectus in the form filed by the Company with the Commission pursuant to Rule 424(b) on or before the second business day after the date hereof (or such earlier time as may be required under the 1933 Act) is herein called the “Prospectus.” All references in this Agreement to amendments or supplements to the Registration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or the Prospectus, including those made pursuant to Rule 424(b)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187"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The Company has entered into that certain Third Amended and Restated Investment Advisory Management Agreement, dated as of May 20, 2024 (as re-approved by the board of directors of the Company at a meeting on May 5, 2026) (the “Investment Management Agreement”), with the Adviser.</w:t>
      </w:r>
    </w:p>
    <w:p>
      <w:pPr>
        <w:spacing w:after="0" w:line="14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Form N-54A Notification of Election to be Subject to Sections 55 through 65 of the Investment Company Act of 1940 Filed Pursuant to Section 54(a) of the Investment Company Act (File No. 814-00891) (the “Notification of Election”) was filed with the Commission on April 7, 2011 under the Investment Company Act of 1940, as amended (the “1940 Act”), and the rules and regulations and any applicable guidance and/or interpretation of the Commission or its staff thereunder (the “1940 Act Regulations”).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Time” means 2:35 P.M. New York City time, on May 27, 2026.</w:t>
      </w:r>
    </w:p>
    <w:p>
      <w:pPr>
        <w:spacing w:after="0" w:line="225"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xml:space="preserve">“General Disclosure Package” means the Preliminary Prospectus as of the Applicable Time and the information included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all considered together.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the Adviser and the Underwriters agree as follows:</w:t>
      </w:r>
    </w:p>
    <w:p>
      <w:pPr>
        <w:spacing w:after="0" w:line="117" w:lineRule="exact"/>
        <w:rPr>
          <w:sz w:val="20"/>
          <w:szCs w:val="20"/>
          <w:color w:val="auto"/>
        </w:rPr>
      </w:pPr>
    </w:p>
    <w:p>
      <w:pPr>
        <w:ind w:firstLine="987"/>
        <w:spacing w:after="0" w:line="258" w:lineRule="auto"/>
        <w:tabs>
          <w:tab w:leader="none" w:pos="117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 and Purchase</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the Company agrees to sell to each Underwriter, severally and not jointly, and each Underwriter, severally and not jointly, agrees to purchase from the Company, at the price (the “Purchase Price”) set forth in Schedule A, the aggregate principal amount of Initial Securities set forth in Schedule A opposite the name of such Underwriter, plus any additional aggregate principal amount of Initial Securities which such Underwriter may become obligated to purchase pursuant to the provisions of Section 8 hereof.</w:t>
      </w:r>
    </w:p>
    <w:p>
      <w:pPr>
        <w:spacing w:after="0" w:line="183"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Initial Securities to be purchased by each of them, all or a portion of the Additional Securities as may be necessary to cover overallotments made in connection with the offering of the Initial Securities, at the same purchase price to be paid by the Underwriters to the Company for the Initial Securities (without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6" w:name="page7"/>
    <w:bookmarkEnd w:id="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giving effect to any accrued interest from the Closing Time to the Option Closing Time) solely to cover overallotments made in connection with the offering of the Initial Securities. This overallotment option may be exercised by the Representatives on behalf of the several Underwriters in whole or from time to time in part at any time (but not more than twice) on or before the thirtieth day following the date of the Prospectus, by written notice to the Company. Such notice shall set forth the aggregate principal amount of Additional Securities as to which the overallotment option is being exercised, and the date and time when the Additional Securities are to be delivered (such date and time being herein referred to as the “Option Closing Time”); provided, however, that the Option Closing Time shall not be earlier than the Closing Time nor later than three business days after the date of such notice. The aggregate principal amount of Additional Securities to be sold to each Underwriter shall be the aggregate principal amount which bears the same proportion to the aggregate principal amount of Additional Securities being purchased as the number of Initial Securities set forth opposite the name of such Underwriter on Schedule A hereto bears to the total aggregate principal amount of Additional Securities subject to adjustment in accordance with Section 8 hereof.</w:t>
      </w:r>
    </w:p>
    <w:p>
      <w:pPr>
        <w:spacing w:after="0" w:line="194" w:lineRule="exact"/>
        <w:rPr>
          <w:sz w:val="20"/>
          <w:szCs w:val="20"/>
          <w:color w:val="auto"/>
        </w:rPr>
      </w:pPr>
    </w:p>
    <w:p>
      <w:pPr>
        <w:ind w:right="20" w:firstLine="987"/>
        <w:spacing w:after="0" w:line="258" w:lineRule="auto"/>
        <w:tabs>
          <w:tab w:leader="none" w:pos="117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 Payment of the price for the Initial Securities and delivery of the Initial Securities, shall be made at the offices of Kirkland &amp; Ellis LLP, 1301 Pennsylvania Avenue, NW, Washington, DC 20004, or at such other place as shall be agreed upon by the Representatives and the Company, at 10:00 A.M. (New York City time) on the third business day after the date hereof (unless postponed in accordance with the provisions of Section 8), or such other time not later than ten business days after such date as shall be agreed upon by the Representatives and the Company (such time and date of payment and delivery being herein called “Closing Time”).</w:t>
      </w:r>
    </w:p>
    <w:p>
      <w:pPr>
        <w:spacing w:after="0" w:line="183"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Payment of the Purchase Price of the Initial Securities shall be made to the Company by wire transfer of immediately available funds to a bank account designated by the Company against delivery to the Representatives through the facilities of DTC for the respective accounts of the Underwriters of the Initial Securities to be purchased by them. It is understood that each Underwriter has authorized the Representatives, for its account, to accept delivery of, receipt for, and make payment of the purchase price for, the Initial Securities that it has agreed to purchase. The Representatives may (but shall not be obligated to) make payment of the purchase price for the Initial Securities to be purchased by any Underwriter whose funds have not been received by the Closing Time, but such payment shall not relieve such Underwriter from its obligations hereunder.</w:t>
      </w:r>
    </w:p>
    <w:p>
      <w:pPr>
        <w:spacing w:after="0" w:line="187"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Payment of the purchase price for the Additional Securities shall be made at the Option Closing Time, if any, in the same manner and at the same office as the payment for the Initial Securities.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7" w:name="page8"/>
    <w:bookmarkEnd w:id="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each of the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left="440" w:firstLine="948"/>
        <w:spacing w:after="0" w:line="256" w:lineRule="auto"/>
        <w:tabs>
          <w:tab w:leader="none" w:pos="160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Statement and Prospectuses</w:t>
      </w:r>
      <w:r>
        <w:rPr>
          <w:rFonts w:ascii="Times New Roman" w:cs="Times New Roman" w:eastAsia="Times New Roman" w:hAnsi="Times New Roman"/>
          <w:sz w:val="18"/>
          <w:szCs w:val="18"/>
          <w:color w:val="auto"/>
        </w:rPr>
        <w:t>.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the Preliminary Prospectus or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w:t>
      </w:r>
    </w:p>
    <w:p>
      <w:pPr>
        <w:spacing w:after="0" w:line="79" w:lineRule="exact"/>
        <w:rPr>
          <w:sz w:val="20"/>
          <w:szCs w:val="20"/>
          <w:color w:val="auto"/>
        </w:rPr>
      </w:pPr>
    </w:p>
    <w:p>
      <w:pPr>
        <w:ind w:left="440" w:right="180" w:firstLine="423"/>
        <w:spacing w:after="0" w:line="256" w:lineRule="auto"/>
        <w:rPr>
          <w:sz w:val="20"/>
          <w:szCs w:val="20"/>
          <w:color w:val="auto"/>
        </w:rPr>
      </w:pPr>
      <w:r>
        <w:rPr>
          <w:rFonts w:ascii="Times New Roman" w:cs="Times New Roman" w:eastAsia="Times New Roman" w:hAnsi="Times New Roman"/>
          <w:sz w:val="18"/>
          <w:szCs w:val="18"/>
          <w:color w:val="auto"/>
        </w:rPr>
        <w:t>Each of the Registration Statement and any post-effective amendment thereto, at the time it became effective, complied in all material respects with the requirements of the 1933 Act, the 1933 Act Regulations, the 1940 Act and the 1940 Act Regulations. The Preliminary Prospectus, the Prospectus and any amendment or supplement thereto, at the time each was filed with the Commission, complied in all material respects with the requirements of the 1933 Act, the 1933 Act Regulations, the 1940 Act and the 1940 Act Regulations. The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79" w:lineRule="exact"/>
        <w:rPr>
          <w:sz w:val="20"/>
          <w:szCs w:val="20"/>
          <w:color w:val="auto"/>
        </w:rPr>
      </w:pPr>
    </w:p>
    <w:p>
      <w:pPr>
        <w:ind w:left="440" w:right="20" w:firstLine="948"/>
        <w:spacing w:after="0" w:line="252" w:lineRule="auto"/>
        <w:tabs>
          <w:tab w:leader="none" w:pos="1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Materials</w:t>
      </w:r>
      <w:r>
        <w:rPr>
          <w:rFonts w:ascii="Times New Roman" w:cs="Times New Roman" w:eastAsia="Times New Roman" w:hAnsi="Times New Roman"/>
          <w:sz w:val="18"/>
          <w:szCs w:val="18"/>
          <w:color w:val="auto"/>
        </w:rPr>
        <w:t>. The Company (including its agents and representatives, other than the Underwriters in their capacity as such) has not prepared, made, used, authorized, approved or referred to and, without the prior written consent of the Representatives will not prepare, make, use, authorize, approve or refer to any “written communication” (as defined in Rule 405 under the 1933 Act) that constitutes an offer to sell or solicitation of an offer to buy the Securities other than (i) any document not constituting a prospectus pursuant to Section 2(a)(10)(a) of the 1933 Act or Rule 134 under the 1933 Act, (ii) any “advertisement” as defined in Rule 482 under the 1933 Act or (iii) any advertising, sales literature, press releases or other promotional material (including “prospectus wrappers,” “broker kits,” “road show scripts” and “electronic road show presentations”) authorized in writing by or prepared by the Company to be used in connection with the offering of the Securities and approved for use by the Representatives (collectively, the “Offering Materials”). The Offering Materials (as amended or supplemented), at the time first used, at the Applicable Time, the Closing Time and, if applicable, the Option Closing Time, complied and will comply in all material respects with the 1933 Act, have been or will be (within the time period specified in Rule 424, Rule 433 and/or Rule 497) filed in accordance with the 1933 Act (to the extent required thereby) and, when taken together with the General Disclosure Package, at the Applicable Time did not and at the Closing Time and Option Closing Time will not contain any untrue statement of a material fact or omit to state a material fact necessary in order to make the statements therein, in the light of the circumstances under which they were made, not misleading; provided the representations and warranties in this subsection shall not apply to statements in or omissions from the Offering Materials made in reliance upon and in conformity with written information furnished to the Company by any Underwriter through the Representatives expressly for use therein.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ind w:left="4" w:right="100" w:firstLine="948"/>
        <w:spacing w:after="0" w:line="266" w:lineRule="auto"/>
        <w:tabs>
          <w:tab w:leader="none" w:pos="12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Incorporated by Reference</w:t>
      </w:r>
      <w:r>
        <w:rPr>
          <w:rFonts w:ascii="Times New Roman" w:cs="Times New Roman" w:eastAsia="Times New Roman" w:hAnsi="Times New Roman"/>
          <w:sz w:val="18"/>
          <w:szCs w:val="18"/>
          <w:color w:val="auto"/>
        </w:rPr>
        <w:t>. The documents incorporated by reference in each of the Registration Statement, the Preliminary Prospectus and the Prospectus, when they were filed or when they will be filed with the Commission, as the case may be, conformed or will conform in all material respects to the requirements of the 1934 Act.</w:t>
      </w:r>
    </w:p>
    <w:p>
      <w:pPr>
        <w:spacing w:after="0" w:line="67" w:lineRule="exact"/>
        <w:rPr>
          <w:rFonts w:ascii="Times New Roman" w:cs="Times New Roman" w:eastAsia="Times New Roman" w:hAnsi="Times New Roman"/>
          <w:sz w:val="18"/>
          <w:szCs w:val="18"/>
          <w:color w:val="auto"/>
        </w:rPr>
      </w:pPr>
    </w:p>
    <w:p>
      <w:pPr>
        <w:ind w:left="4" w:right="200" w:firstLine="948"/>
        <w:spacing w:after="0" w:line="272" w:lineRule="auto"/>
        <w:tabs>
          <w:tab w:leader="none" w:pos="12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Testing the Waters Communications</w:t>
      </w:r>
      <w:r>
        <w:rPr>
          <w:rFonts w:ascii="Times New Roman" w:cs="Times New Roman" w:eastAsia="Times New Roman" w:hAnsi="Times New Roman"/>
          <w:sz w:val="17"/>
          <w:szCs w:val="17"/>
          <w:color w:val="auto"/>
        </w:rPr>
        <w:t>. The Company (i) has not alone engaged in any Testing-the-Waters Communication other than Testing-the-Waters Communications with the consent of the Representatives with entities that are qualified institutional buyers within the meaning of Rule 144A under the 1933 Act or institutions that are accredited investors within the meaning of Rule 501 under the 1933 Act and</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6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authorized anyone to engage in Testing-the-Waters Communications. The Company has not distributed any Written Testing-the-Waters Communications. “Testing-the-Waters Communication” means any oral or written communication with potential investors undertaken in reliance on Rule 163B under the 1933 Act. “Written Testing-the-Waters Communication” means any Testing-the-Waters Communication that is a written communication within the meaning of Rule 405.</w:t>
      </w:r>
    </w:p>
    <w:p>
      <w:pPr>
        <w:spacing w:after="0" w:line="80" w:lineRule="exact"/>
        <w:rPr>
          <w:rFonts w:ascii="Times New Roman" w:cs="Times New Roman" w:eastAsia="Times New Roman" w:hAnsi="Times New Roman"/>
          <w:sz w:val="18"/>
          <w:szCs w:val="18"/>
          <w:color w:val="auto"/>
        </w:rPr>
      </w:pPr>
    </w:p>
    <w:p>
      <w:pPr>
        <w:ind w:left="4" w:firstLine="948"/>
        <w:spacing w:after="0" w:line="253" w:lineRule="auto"/>
        <w:tabs>
          <w:tab w:leader="none" w:pos="12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Accurate Disclosure</w:t>
      </w:r>
      <w:r>
        <w:rPr>
          <w:rFonts w:ascii="Times New Roman" w:cs="Times New Roman" w:eastAsia="Times New Roman" w:hAnsi="Times New Roman"/>
          <w:sz w:val="18"/>
          <w:szCs w:val="18"/>
          <w:color w:val="auto"/>
        </w:rPr>
        <w:t>. Neither the Registration Statement nor any amendment thereto, at its effective time, at the Applicable Time, at the Closing Time and at each Option Closing Time, contained, contains or will contain an untrue statement of a material fact or omitted, omits or will omit to state a material fact required to be stated therein or necessary to make the statements therein, not misleading. As of the Applicable Time, none of the General Disclosure Package, nor any individual preliminary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their respective date(s), at the time of any filing with the Commission pursuant to Rule 424(b), at the Closing Time and, if applicable, the Option Closing Time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86" w:lineRule="exact"/>
        <w:rPr>
          <w:sz w:val="20"/>
          <w:szCs w:val="20"/>
          <w:color w:val="auto"/>
        </w:rPr>
      </w:pPr>
    </w:p>
    <w:p>
      <w:pPr>
        <w:ind w:left="4" w:right="60" w:firstLine="423"/>
        <w:spacing w:after="0" w:line="261" w:lineRule="auto"/>
        <w:rPr>
          <w:sz w:val="20"/>
          <w:szCs w:val="20"/>
          <w:color w:val="auto"/>
        </w:rPr>
      </w:pPr>
      <w:r>
        <w:rPr>
          <w:rFonts w:ascii="Times New Roman" w:cs="Times New Roman" w:eastAsia="Times New Roman" w:hAnsi="Times New Roman"/>
          <w:sz w:val="18"/>
          <w:szCs w:val="18"/>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it being understood and agreed that the only such information is that set forth in Section 10.</w:t>
      </w:r>
    </w:p>
    <w:p>
      <w:pPr>
        <w:spacing w:after="0" w:line="11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44"/>
          </w:cols>
          <w:pgMar w:left="876" w:top="270" w:right="479" w:bottom="1440" w:gutter="0" w:footer="0" w:header="0"/>
        </w:sectPr>
      </w:pPr>
    </w:p>
    <w:bookmarkStart w:id="9" w:name="page10"/>
    <w:bookmarkEnd w:id="9"/>
    <w:p>
      <w:pPr>
        <w:ind w:right="20" w:firstLine="948"/>
        <w:spacing w:after="0" w:line="258" w:lineRule="auto"/>
        <w:tabs>
          <w:tab w:leader="none" w:pos="12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Not Ineligible Issuer</w:t>
      </w:r>
      <w:r>
        <w:rPr>
          <w:rFonts w:ascii="Times New Roman" w:cs="Times New Roman" w:eastAsia="Times New Roman" w:hAnsi="Times New Roman"/>
          <w:sz w:val="18"/>
          <w:szCs w:val="18"/>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75" w:lineRule="exact"/>
        <w:rPr>
          <w:rFonts w:ascii="Times New Roman" w:cs="Times New Roman" w:eastAsia="Times New Roman" w:hAnsi="Times New Roman"/>
          <w:sz w:val="18"/>
          <w:szCs w:val="18"/>
          <w:color w:val="auto"/>
        </w:rPr>
      </w:pPr>
    </w:p>
    <w:p>
      <w:pPr>
        <w:ind w:firstLine="948"/>
        <w:spacing w:after="0" w:line="261" w:lineRule="auto"/>
        <w:tabs>
          <w:tab w:leader="none" w:pos="130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Accountants of the Company</w:t>
      </w:r>
      <w:r>
        <w:rPr>
          <w:rFonts w:ascii="Times New Roman" w:cs="Times New Roman" w:eastAsia="Times New Roman" w:hAnsi="Times New Roman"/>
          <w:sz w:val="18"/>
          <w:szCs w:val="18"/>
          <w:color w:val="auto"/>
        </w:rPr>
        <w:t>. The accountants who audited or reviewed the financial statements and supporting schedules of the Company included or incorporated by reference in the Registration Statement, the General Disclosure Package and the Prospectus are independent registered public accountants with respect to the Company within the applicable rules and regulations of the Commission and the Public Company Accounting Oversight Board (United States) and as required by the 1933 Act.</w:t>
      </w:r>
    </w:p>
    <w:p>
      <w:pPr>
        <w:spacing w:after="0" w:line="71" w:lineRule="exact"/>
        <w:rPr>
          <w:rFonts w:ascii="Times New Roman" w:cs="Times New Roman" w:eastAsia="Times New Roman" w:hAnsi="Times New Roman"/>
          <w:sz w:val="18"/>
          <w:szCs w:val="18"/>
          <w:color w:val="auto"/>
        </w:rPr>
      </w:pPr>
    </w:p>
    <w:p>
      <w:pPr>
        <w:ind w:right="40" w:firstLine="948"/>
        <w:spacing w:after="0" w:line="255" w:lineRule="auto"/>
        <w:tabs>
          <w:tab w:leader="none" w:pos="13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w:t>
      </w:r>
    </w:p>
    <w:p>
      <w:pPr>
        <w:spacing w:after="0" w:line="2"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the General Disclosure Package and the Prospectus present fairly in all material respects in accordance with GAAP the information required to be stated therein. The financial data and information of the Company and the Subsidiaries included or incorporated by reference in the Registration Statement, the General Disclosure Package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the General Disclosure Package or the Prospectus under the 1933 Act or the 1933 Act Regulations.</w:t>
      </w:r>
    </w:p>
    <w:p>
      <w:pPr>
        <w:spacing w:after="0" w:line="85" w:lineRule="exact"/>
        <w:rPr>
          <w:rFonts w:ascii="Times New Roman" w:cs="Times New Roman" w:eastAsia="Times New Roman" w:hAnsi="Times New Roman"/>
          <w:sz w:val="18"/>
          <w:szCs w:val="18"/>
          <w:color w:val="auto"/>
        </w:rPr>
      </w:pPr>
    </w:p>
    <w:p>
      <w:pPr>
        <w:ind w:right="100" w:firstLine="948"/>
        <w:spacing w:after="0" w:line="255" w:lineRule="auto"/>
        <w:tabs>
          <w:tab w:leader="none" w:pos="12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in the Registration Statement, the General Disclosure Package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70" w:right="459" w:bottom="1440" w:gutter="0" w:footer="0" w:header="0"/>
        </w:sectPr>
      </w:pPr>
    </w:p>
    <w:bookmarkStart w:id="10" w:name="page11"/>
    <w:bookmarkEnd w:id="10"/>
    <w:p>
      <w:pPr>
        <w:ind w:right="80" w:firstLine="948"/>
        <w:spacing w:after="0" w:line="255" w:lineRule="auto"/>
        <w:tabs>
          <w:tab w:leader="none" w:pos="12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Standing of the Company</w:t>
      </w:r>
      <w:r>
        <w:rPr>
          <w:rFonts w:ascii="Times New Roman" w:cs="Times New Roman" w:eastAsia="Times New Roman" w:hAnsi="Times New Roman"/>
          <w:sz w:val="18"/>
          <w:szCs w:val="18"/>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the General Disclosure Package and the Prospectus and to enter into this Agreement and perform its obligations under this Agreement, the Investment Management Agreement, the Indenture, the Securities and the DTC Agreement;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80" w:lineRule="exact"/>
        <w:rPr>
          <w:rFonts w:ascii="Times New Roman" w:cs="Times New Roman" w:eastAsia="Times New Roman" w:hAnsi="Times New Roman"/>
          <w:sz w:val="18"/>
          <w:szCs w:val="18"/>
          <w:color w:val="auto"/>
        </w:rPr>
      </w:pPr>
    </w:p>
    <w:p>
      <w:pPr>
        <w:ind w:firstLine="948"/>
        <w:spacing w:after="0" w:line="252" w:lineRule="auto"/>
        <w:tabs>
          <w:tab w:leader="none" w:pos="12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 of the Company; Portfolio Companies</w:t>
      </w:r>
      <w:r>
        <w:rPr>
          <w:rFonts w:ascii="Times New Roman" w:cs="Times New Roman" w:eastAsia="Times New Roman" w:hAnsi="Times New Roman"/>
          <w:sz w:val="18"/>
          <w:szCs w:val="18"/>
          <w:color w:val="auto"/>
        </w:rPr>
        <w:t xml:space="preserve">. The Company’s only subsidiaries that were consolidated with the Company for financial reporting purposes under GAAP as of March 31, 2026 are those listed on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General Disclosure Package and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General Disclosure Package and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the General Disclosure Package and the Prospectus under the caption “Portfolio Companies” (each a “Portfolio Company” and collectively the “Portfolio Companies”). Except as otherwise disclosed in the General Disclosure Package and the Prospectus, the Company does not control (as such term is defined in Section 2(a)(9) of the 1940 Act), any of the Portfolio Companies or any corporation or other entity in which it invested since the most recent quarter end.</w:t>
      </w:r>
    </w:p>
    <w:p>
      <w:pPr>
        <w:spacing w:after="0" w:line="1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0"/>
          </w:cols>
          <w:pgMar w:left="880" w:top="270" w:right="459" w:bottom="1440" w:gutter="0" w:footer="0" w:header="0"/>
        </w:sectPr>
      </w:pPr>
    </w:p>
    <w:bookmarkStart w:id="11" w:name="page12"/>
    <w:bookmarkEnd w:id="11"/>
    <w:p>
      <w:pPr>
        <w:ind w:firstLine="948"/>
        <w:spacing w:after="0" w:line="255" w:lineRule="auto"/>
        <w:tabs>
          <w:tab w:leader="none" w:pos="130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r>
        <w:rPr>
          <w:rFonts w:ascii="Times New Roman" w:cs="Times New Roman" w:eastAsia="Times New Roman" w:hAnsi="Times New Roman"/>
          <w:sz w:val="18"/>
          <w:szCs w:val="18"/>
          <w:color w:val="auto"/>
        </w:rPr>
        <w:t>. The authorized, issued and outstanding shares of capital stock of the Company are as set forth in the Registration Statement, the General Disclosure Package and the Prospectus in the column entitled “Actual” under the caption “Capitalization.”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the General Disclosure Package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80"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Agreements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20" w:hanging="533"/>
        <w:spacing w:after="0"/>
        <w:tabs>
          <w:tab w:leader="none" w:pos="1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30" w:lineRule="exact"/>
        <w:rPr>
          <w:rFonts w:ascii="Times New Roman" w:cs="Times New Roman" w:eastAsia="Times New Roman" w:hAnsi="Times New Roman"/>
          <w:sz w:val="18"/>
          <w:szCs w:val="18"/>
          <w:color w:val="auto"/>
        </w:rPr>
      </w:pPr>
    </w:p>
    <w:p>
      <w:pPr>
        <w:ind w:left="1520" w:right="40" w:hanging="533"/>
        <w:spacing w:after="0" w:line="258" w:lineRule="auto"/>
        <w:tabs>
          <w:tab w:leader="none" w:pos="1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Indenture has been duly authorized, executed and delivered by the Company and constitutes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or (ii) general principles of equity and the discretion of the court before which any proceeding therefor may be brought.</w:t>
      </w:r>
    </w:p>
    <w:p>
      <w:pPr>
        <w:spacing w:after="0" w:line="88" w:lineRule="exact"/>
        <w:rPr>
          <w:rFonts w:ascii="Times New Roman" w:cs="Times New Roman" w:eastAsia="Times New Roman" w:hAnsi="Times New Roman"/>
          <w:sz w:val="18"/>
          <w:szCs w:val="18"/>
          <w:color w:val="auto"/>
        </w:rPr>
      </w:pPr>
    </w:p>
    <w:p>
      <w:pPr>
        <w:ind w:left="1520" w:right="140" w:hanging="533"/>
        <w:spacing w:after="0" w:line="256" w:lineRule="auto"/>
        <w:tabs>
          <w:tab w:leader="none" w:pos="1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Supplemental Indenture has been duly authorized, and, at the Closing Time, will be duly executed and delivered by the Company and, when duly executed and delivered by the Trustee, will constitute the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or (ii) general principles of equity and the discretion of the court before which any proceeding therefor may be brought.</w:t>
      </w:r>
    </w:p>
    <w:p>
      <w:pPr>
        <w:spacing w:after="0" w:line="92" w:lineRule="exact"/>
        <w:rPr>
          <w:rFonts w:ascii="Times New Roman" w:cs="Times New Roman" w:eastAsia="Times New Roman" w:hAnsi="Times New Roman"/>
          <w:sz w:val="18"/>
          <w:szCs w:val="18"/>
          <w:color w:val="auto"/>
        </w:rPr>
      </w:pPr>
    </w:p>
    <w:p>
      <w:pPr>
        <w:ind w:left="1520" w:hanging="533"/>
        <w:spacing w:after="0" w:line="258" w:lineRule="auto"/>
        <w:tabs>
          <w:tab w:leader="none" w:pos="15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DTC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or (ii) general principles of equity and the discretion of the court before which any proceeding therefor may be brought.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2" w:name="page13"/>
    <w:bookmarkEnd w:id="12"/>
    <w:p>
      <w:pPr>
        <w:ind w:firstLine="948"/>
        <w:spacing w:after="0" w:line="253" w:lineRule="auto"/>
        <w:tabs>
          <w:tab w:leader="none" w:pos="13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Authorization and Description of Securities</w:t>
      </w:r>
      <w:r>
        <w:rPr>
          <w:rFonts w:ascii="Times New Roman" w:cs="Times New Roman" w:eastAsia="Times New Roman" w:hAnsi="Times New Roman"/>
          <w:sz w:val="18"/>
          <w:szCs w:val="18"/>
          <w:color w:val="auto"/>
        </w:rPr>
        <w:t>. The Securities have been duly authorized and, when issued and delivered by the Company and authenticated by the Trustee pursuant to this Agreement and the Indenture relating thereto, against payment of the purchase price set forth herein, will be valid and legally binding obligations of the Company enforceable in accordance with their terms, except as the enforcement thereof may be subject to the effect of (i) bankruptcy, insolvency, reorganization, moratorium or other similar laws now or thereafter in effect relating to creditors’ rights generally and (ii) general principles of equity and the discretion of the court before which any proceeding therefor may be brought, and will be entitled to the benefits of the Indenture relating thereto; and the Securities and the Indenture conform to all statements relating thereto contained in the General Disclosure Package and the Prospectus and such description conforms to the rights set forth in the instruments defining the same. The information under the caption “Description of the Notes” in the General Disclosure Package and the Prospectus, insofar as such statements purport to summarize certain provisions of the Indenture or the Securities, fairly and accurately summarize such provisions in all material respects.</w:t>
      </w:r>
    </w:p>
    <w:p>
      <w:pPr>
        <w:spacing w:after="0" w:line="86" w:lineRule="exact"/>
        <w:rPr>
          <w:rFonts w:ascii="Times New Roman" w:cs="Times New Roman" w:eastAsia="Times New Roman" w:hAnsi="Times New Roman"/>
          <w:sz w:val="18"/>
          <w:szCs w:val="18"/>
          <w:color w:val="auto"/>
        </w:rPr>
      </w:pPr>
    </w:p>
    <w:p>
      <w:pPr>
        <w:ind w:right="80" w:firstLine="948"/>
        <w:spacing w:after="0" w:line="312" w:lineRule="auto"/>
        <w:tabs>
          <w:tab w:leader="none" w:pos="1296"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Registration Rights</w:t>
      </w:r>
      <w:r>
        <w:rPr>
          <w:rFonts w:ascii="Times New Roman" w:cs="Times New Roman" w:eastAsia="Times New Roman" w:hAnsi="Times New Roman"/>
          <w:sz w:val="17"/>
          <w:szCs w:val="17"/>
          <w:color w:val="auto"/>
        </w:rPr>
        <w:t>. There are no persons with registration rights or other similar rights to have any securities registered for sale pursuant to the Registration Statement or otherwise registered for sale or sold by the Company under the 1933 Act pursuant to this Agreement.</w:t>
      </w:r>
    </w:p>
    <w:p>
      <w:pPr>
        <w:spacing w:after="0" w:line="31" w:lineRule="exact"/>
        <w:rPr>
          <w:rFonts w:ascii="Times New Roman" w:cs="Times New Roman" w:eastAsia="Times New Roman" w:hAnsi="Times New Roman"/>
          <w:sz w:val="17"/>
          <w:szCs w:val="17"/>
          <w:color w:val="auto"/>
        </w:rPr>
      </w:pPr>
    </w:p>
    <w:p>
      <w:pPr>
        <w:ind w:right="80" w:firstLine="948"/>
        <w:spacing w:after="0" w:line="253" w:lineRule="auto"/>
        <w:tabs>
          <w:tab w:leader="none" w:pos="13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and Defaults</w:t>
      </w:r>
      <w:r>
        <w:rPr>
          <w:rFonts w:ascii="Times New Roman" w:cs="Times New Roman" w:eastAsia="Times New Roman" w:hAnsi="Times New Roman"/>
          <w:sz w:val="18"/>
          <w:szCs w:val="18"/>
          <w:color w:val="auto"/>
        </w:rPr>
        <w:t>. Neither the Company nor any of the Subsidiaries is (A) in violation of its charter, bylaws or similar organizational document, each as amended or supplemented as of the date of this Agreement, the Closing Time and any Option Closing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w:t>
      </w:r>
    </w:p>
    <w:p>
      <w:pPr>
        <w:spacing w:after="0" w:line="86" w:lineRule="exact"/>
        <w:rPr>
          <w:rFonts w:ascii="Times New Roman" w:cs="Times New Roman" w:eastAsia="Times New Roman" w:hAnsi="Times New Roman"/>
          <w:sz w:val="18"/>
          <w:szCs w:val="18"/>
          <w:color w:val="auto"/>
        </w:rPr>
      </w:pPr>
    </w:p>
    <w:p>
      <w:pPr>
        <w:ind w:right="80" w:firstLine="948"/>
        <w:spacing w:after="0" w:line="258" w:lineRule="auto"/>
        <w:tabs>
          <w:tab w:leader="none" w:pos="139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Conflicts</w:t>
      </w:r>
      <w:r>
        <w:rPr>
          <w:rFonts w:ascii="Times New Roman" w:cs="Times New Roman" w:eastAsia="Times New Roman" w:hAnsi="Times New Roman"/>
          <w:sz w:val="18"/>
          <w:szCs w:val="18"/>
          <w:color w:val="auto"/>
        </w:rPr>
        <w:t>. The execution, delivery and performance of this Agreement, the Supplemental Indenture and the Securities, the performance of the Investment Management Agreement, the Base Indenture and the DTC Agreement and the consummation of the transactions contemplated herein and therein and in the Registration Statement, the General Disclosure Package and the Prospectus (including the issuance and sale of the Securities and the use of the proceeds from the sale of the Securities as described therein under the caption “Use of Proceeds”) and compliance by the Company with its</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880" w:top="270" w:right="439" w:bottom="1440" w:gutter="0" w:footer="0" w:header="0"/>
        </w:sectPr>
      </w:pPr>
    </w:p>
    <w:bookmarkStart w:id="13" w:name="page14"/>
    <w:bookmarkEnd w:id="13"/>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w:t>
      </w:r>
    </w:p>
    <w:p>
      <w:pPr>
        <w:spacing w:after="0" w:line="69" w:lineRule="exact"/>
        <w:rPr>
          <w:sz w:val="20"/>
          <w:szCs w:val="20"/>
          <w:color w:val="auto"/>
        </w:rPr>
      </w:pPr>
    </w:p>
    <w:p>
      <w:pPr>
        <w:ind w:right="220" w:firstLine="948"/>
        <w:spacing w:after="0" w:line="282" w:lineRule="auto"/>
        <w:tabs>
          <w:tab w:leader="none" w:pos="14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As of the date hereof, neither the Company nor any of the Subsidiaries has, and as of the Closing Time and any Option Closing Time, neither the Company nor any of the Subsidiaries will have, any employees.</w:t>
      </w:r>
    </w:p>
    <w:p>
      <w:pPr>
        <w:spacing w:after="0" w:line="53" w:lineRule="exact"/>
        <w:rPr>
          <w:rFonts w:ascii="Times New Roman" w:cs="Times New Roman" w:eastAsia="Times New Roman" w:hAnsi="Times New Roman"/>
          <w:sz w:val="18"/>
          <w:szCs w:val="18"/>
          <w:color w:val="auto"/>
        </w:rPr>
      </w:pPr>
    </w:p>
    <w:p>
      <w:pPr>
        <w:ind w:right="20" w:firstLine="948"/>
        <w:spacing w:after="0" w:line="256" w:lineRule="auto"/>
        <w:tabs>
          <w:tab w:leader="none" w:pos="13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disclosed in the Registration Statement, the General Disclosure Package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Indenture, the Securities or the DTC Agreement or the performance by the Company of its obligations hereunder or thereunder.</w:t>
      </w:r>
    </w:p>
    <w:p>
      <w:pPr>
        <w:spacing w:after="0" w:line="79" w:lineRule="exact"/>
        <w:rPr>
          <w:rFonts w:ascii="Times New Roman" w:cs="Times New Roman" w:eastAsia="Times New Roman" w:hAnsi="Times New Roman"/>
          <w:sz w:val="18"/>
          <w:szCs w:val="18"/>
          <w:color w:val="auto"/>
        </w:rPr>
      </w:pPr>
    </w:p>
    <w:p>
      <w:pPr>
        <w:jc w:val="both"/>
        <w:ind w:firstLine="948"/>
        <w:spacing w:after="0" w:line="266" w:lineRule="auto"/>
        <w:tabs>
          <w:tab w:leader="none" w:pos="129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Exhibits</w:t>
      </w:r>
      <w:r>
        <w:rPr>
          <w:rFonts w:ascii="Times New Roman" w:cs="Times New Roman" w:eastAsia="Times New Roman" w:hAnsi="Times New Roman"/>
          <w:sz w:val="18"/>
          <w:szCs w:val="18"/>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67" w:lineRule="exact"/>
        <w:rPr>
          <w:rFonts w:ascii="Times New Roman" w:cs="Times New Roman" w:eastAsia="Times New Roman" w:hAnsi="Times New Roman"/>
          <w:sz w:val="18"/>
          <w:szCs w:val="18"/>
          <w:color w:val="auto"/>
        </w:rPr>
      </w:pPr>
    </w:p>
    <w:p>
      <w:pPr>
        <w:ind w:right="120" w:firstLine="948"/>
        <w:spacing w:after="0" w:line="258" w:lineRule="auto"/>
        <w:tabs>
          <w:tab w:leader="none" w:pos="13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 Investment Management Agreement, the Indenture, the Securities, the DTC Agreement or the General Disclosure Package and the Prospectus (including the issuance and sale of the Securities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14" w:name="page15"/>
    <w:bookmarkEnd w:id="14"/>
    <w:p>
      <w:pPr>
        <w:jc w:val="both"/>
        <w:ind w:right="2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use of the proceeds from the sale of the Securities as described in the General Disclosure Package and the Prospectus under the caption “Use of Proceeds”), except (A) such as have been already made or obtained, including under the 1933 Act, the 1933 Act Regulations, the 1940 Act, the 1940 Act Regulations, the Trust Indenture Act, state securities laws or the rules of the Financial Industry Regulatory Authority, Inc.</w:t>
      </w:r>
    </w:p>
    <w:p>
      <w:pPr>
        <w:spacing w:after="0" w:line="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w:t>
      </w:r>
    </w:p>
    <w:p>
      <w:pPr>
        <w:spacing w:after="0" w:line="78" w:lineRule="exact"/>
        <w:rPr>
          <w:sz w:val="20"/>
          <w:szCs w:val="20"/>
          <w:color w:val="auto"/>
        </w:rPr>
      </w:pPr>
    </w:p>
    <w:p>
      <w:pPr>
        <w:ind w:firstLine="948"/>
        <w:spacing w:after="0" w:line="253" w:lineRule="auto"/>
        <w:tabs>
          <w:tab w:leader="none" w:pos="139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86" w:lineRule="exact"/>
        <w:rPr>
          <w:rFonts w:ascii="Times New Roman" w:cs="Times New Roman" w:eastAsia="Times New Roman" w:hAnsi="Times New Roman"/>
          <w:sz w:val="18"/>
          <w:szCs w:val="18"/>
          <w:color w:val="auto"/>
        </w:rPr>
      </w:pPr>
    </w:p>
    <w:p>
      <w:pPr>
        <w:ind w:right="20" w:firstLine="948"/>
        <w:spacing w:after="0" w:line="256" w:lineRule="auto"/>
        <w:tabs>
          <w:tab w:leader="none" w:pos="144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color w:val="auto"/>
        </w:rPr>
        <w:t>.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79" w:lineRule="exact"/>
        <w:rPr>
          <w:rFonts w:ascii="Times New Roman" w:cs="Times New Roman" w:eastAsia="Times New Roman" w:hAnsi="Times New Roman"/>
          <w:sz w:val="18"/>
          <w:szCs w:val="18"/>
          <w:color w:val="auto"/>
        </w:rPr>
      </w:pPr>
    </w:p>
    <w:p>
      <w:pPr>
        <w:ind w:right="40" w:firstLine="948"/>
        <w:spacing w:after="0" w:line="258" w:lineRule="auto"/>
        <w:tabs>
          <w:tab w:leader="none" w:pos="14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Intellectual Property</w:t>
      </w:r>
      <w:r>
        <w:rPr>
          <w:rFonts w:ascii="Times New Roman" w:cs="Times New Roman" w:eastAsia="Times New Roman" w:hAnsi="Times New Roman"/>
          <w:sz w:val="18"/>
          <w:szCs w:val="18"/>
          <w:color w:val="auto"/>
        </w:rPr>
        <w:t>.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0"/>
          </w:cols>
          <w:pgMar w:left="880" w:top="270" w:right="459" w:bottom="1440" w:gutter="0" w:footer="0" w:header="0"/>
        </w:sectPr>
      </w:pPr>
    </w:p>
    <w:bookmarkStart w:id="15" w:name="page16"/>
    <w:bookmarkEnd w:id="15"/>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72" w:lineRule="exact"/>
        <w:rPr>
          <w:sz w:val="20"/>
          <w:szCs w:val="20"/>
          <w:color w:val="auto"/>
        </w:rPr>
      </w:pPr>
    </w:p>
    <w:p>
      <w:pPr>
        <w:ind w:left="4" w:firstLine="948"/>
        <w:spacing w:after="0" w:line="268" w:lineRule="auto"/>
        <w:tabs>
          <w:tab w:leader="none" w:pos="139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Accounting Controls</w:t>
      </w:r>
      <w:r>
        <w:rPr>
          <w:rFonts w:ascii="Times New Roman" w:cs="Times New Roman" w:eastAsia="Times New Roman" w:hAnsi="Times New Roman"/>
          <w:sz w:val="17"/>
          <w:szCs w:val="17"/>
          <w:color w:val="auto"/>
        </w:rPr>
        <w:t>.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w:t>
      </w:r>
    </w:p>
    <w:p>
      <w:pPr>
        <w:ind w:left="4" w:hanging="4"/>
        <w:spacing w:after="0" w:line="253" w:lineRule="auto"/>
        <w:tabs>
          <w:tab w:leader="none" w:pos="25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w:t>
      </w:r>
    </w:p>
    <w:p>
      <w:pPr>
        <w:spacing w:after="0" w:line="80" w:lineRule="exact"/>
        <w:rPr>
          <w:rFonts w:ascii="Times New Roman" w:cs="Times New Roman" w:eastAsia="Times New Roman" w:hAnsi="Times New Roman"/>
          <w:sz w:val="18"/>
          <w:szCs w:val="18"/>
          <w:color w:val="auto"/>
        </w:rPr>
      </w:pPr>
    </w:p>
    <w:p>
      <w:pPr>
        <w:ind w:left="4" w:right="20" w:firstLine="948"/>
        <w:spacing w:after="0" w:line="253" w:lineRule="auto"/>
        <w:tabs>
          <w:tab w:leader="none" w:pos="14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2024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w:t>
      </w:r>
    </w:p>
    <w:p>
      <w:pPr>
        <w:spacing w:after="0" w:line="120"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4"/>
          </w:cols>
          <w:pgMar w:left="876" w:top="270" w:right="459" w:bottom="1440" w:gutter="0" w:footer="0" w:header="0"/>
        </w:sectPr>
      </w:pPr>
    </w:p>
    <w:bookmarkStart w:id="16" w:name="page17"/>
    <w:bookmarkEnd w:id="16"/>
    <w:p>
      <w:pPr>
        <w:ind w:right="40" w:firstLine="948"/>
        <w:spacing w:after="0" w:line="258" w:lineRule="auto"/>
        <w:tabs>
          <w:tab w:leader="none" w:pos="14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w:t>
      </w:r>
      <w:r>
        <w:rPr>
          <w:rFonts w:ascii="Times New Roman" w:cs="Times New Roman" w:eastAsia="Times New Roman" w:hAnsi="Times New Roman"/>
          <w:sz w:val="18"/>
          <w:szCs w:val="18"/>
          <w:color w:val="auto"/>
        </w:rPr>
        <w:t>.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w:t>
      </w:r>
    </w:p>
    <w:p>
      <w:pPr>
        <w:spacing w:after="0" w:line="75" w:lineRule="exact"/>
        <w:rPr>
          <w:rFonts w:ascii="Times New Roman" w:cs="Times New Roman" w:eastAsia="Times New Roman" w:hAnsi="Times New Roman"/>
          <w:sz w:val="18"/>
          <w:szCs w:val="18"/>
          <w:color w:val="auto"/>
        </w:rPr>
      </w:pPr>
    </w:p>
    <w:p>
      <w:pPr>
        <w:ind w:right="220" w:firstLine="948"/>
        <w:spacing w:after="0" w:line="266" w:lineRule="auto"/>
        <w:tabs>
          <w:tab w:leader="none" w:pos="15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The Company is not required and, upon the issuance and sale of the Securities as herein contemplated and the application of the net proceeds therefrom as described in the Prospectus, will not be required to register as an “investment company” as such term is used in the 1940 Act.</w:t>
      </w:r>
    </w:p>
    <w:p>
      <w:pPr>
        <w:spacing w:after="0" w:line="67" w:lineRule="exact"/>
        <w:rPr>
          <w:rFonts w:ascii="Times New Roman" w:cs="Times New Roman" w:eastAsia="Times New Roman" w:hAnsi="Times New Roman"/>
          <w:sz w:val="18"/>
          <w:szCs w:val="18"/>
          <w:color w:val="auto"/>
        </w:rPr>
      </w:pPr>
    </w:p>
    <w:p>
      <w:pPr>
        <w:jc w:val="both"/>
        <w:ind w:firstLine="948"/>
        <w:spacing w:after="0" w:line="266" w:lineRule="auto"/>
        <w:tabs>
          <w:tab w:leader="none" w:pos="143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Stabilization and Manipulation</w:t>
      </w:r>
      <w:r>
        <w:rPr>
          <w:rFonts w:ascii="Times New Roman" w:cs="Times New Roman" w:eastAsia="Times New Roman" w:hAnsi="Times New Roman"/>
          <w:sz w:val="18"/>
          <w:szCs w:val="18"/>
          <w:color w:val="auto"/>
        </w:rPr>
        <w:t>. The Company has not taken, nor will it take, directly or indirectly, without giving effect to any activities by the Underwriters, any action designed, or that would reasonably be expected, to cause or result in, or that constitutes, any stabilization or manipulation of the price of the Securities, other than activity permitted pursuant to Rule 10b-18 under the 1934 Act.</w:t>
      </w:r>
    </w:p>
    <w:p>
      <w:pPr>
        <w:spacing w:after="0" w:line="67" w:lineRule="exact"/>
        <w:rPr>
          <w:rFonts w:ascii="Times New Roman" w:cs="Times New Roman" w:eastAsia="Times New Roman" w:hAnsi="Times New Roman"/>
          <w:sz w:val="18"/>
          <w:szCs w:val="18"/>
          <w:color w:val="auto"/>
        </w:rPr>
      </w:pPr>
    </w:p>
    <w:p>
      <w:pPr>
        <w:ind w:firstLine="948"/>
        <w:spacing w:after="0" w:line="253" w:lineRule="auto"/>
        <w:tabs>
          <w:tab w:leader="none" w:pos="13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Anti-Bribery</w:t>
      </w:r>
      <w:r>
        <w:rPr>
          <w:rFonts w:ascii="Times New Roman" w:cs="Times New Roman" w:eastAsia="Times New Roman" w:hAnsi="Times New Roman"/>
          <w:sz w:val="18"/>
          <w:szCs w:val="18"/>
          <w:color w:val="auto"/>
        </w:rPr>
        <w:t>. (i) Neither the Company nor any Subsidiary, or to the Company’s knowledge, any director, officer, employee or any agent or representative of the Company in its capacity as agent or representative of the Company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(“Governmental Official”) in order to influence official action, or to any person in violation of any applicable anti-corruption laws, (ii) the Company and its Subsidiaries have conducted their businesses in material compliance with applicable anti-corruption laws and have instituted and maintained and will continue to maintain policies and procedures designed to promote and achieve compliance with such laws and with the representation and warranty contained herein; and (iii) neither the Company nor any of the Company’s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17" w:name="page18"/>
    <w:bookmarkEnd w:id="17"/>
    <w:p>
      <w:pPr>
        <w:ind w:firstLine="948"/>
        <w:spacing w:after="0" w:line="254" w:lineRule="auto"/>
        <w:tabs>
          <w:tab w:leader="none" w:pos="14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Anti-Money Laundering</w:t>
      </w:r>
      <w:r>
        <w:rPr>
          <w:rFonts w:ascii="Times New Roman" w:cs="Times New Roman" w:eastAsia="Times New Roman" w:hAnsi="Times New Roman"/>
          <w:sz w:val="18"/>
          <w:szCs w:val="18"/>
          <w:color w:val="auto"/>
        </w:rPr>
        <w:t>. 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Currency and Foreign Transactions Reporting Act of 1970, as amended,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83" w:lineRule="exact"/>
        <w:rPr>
          <w:rFonts w:ascii="Times New Roman" w:cs="Times New Roman" w:eastAsia="Times New Roman" w:hAnsi="Times New Roman"/>
          <w:sz w:val="18"/>
          <w:szCs w:val="18"/>
          <w:color w:val="auto"/>
        </w:rPr>
      </w:pPr>
    </w:p>
    <w:p>
      <w:pPr>
        <w:ind w:left="1480" w:hanging="532"/>
        <w:spacing w:after="0"/>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520" w:right="160" w:hanging="533"/>
        <w:spacing w:after="0" w:line="261" w:lineRule="auto"/>
        <w:tabs>
          <w:tab w:leader="none" w:pos="15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the Company’s Subsidiaries (collectively, the “Company Entity”) or, to the Company’s knowledge, any director or officer of the Company Entity or any employee of the Company Entity or any agent or representative of the Company Entity in its capacity as an agent or representative of the Company Entity is an individual or entity (“Person”) that is, or is owned or controlled by a Person that is:</w:t>
      </w:r>
    </w:p>
    <w:p>
      <w:pPr>
        <w:spacing w:after="0" w:line="85" w:lineRule="exact"/>
        <w:rPr>
          <w:rFonts w:ascii="Times New Roman" w:cs="Times New Roman" w:eastAsia="Times New Roman" w:hAnsi="Times New Roman"/>
          <w:sz w:val="18"/>
          <w:szCs w:val="18"/>
          <w:color w:val="auto"/>
        </w:rPr>
      </w:pPr>
    </w:p>
    <w:p>
      <w:pPr>
        <w:ind w:left="1960" w:right="100" w:hanging="433"/>
        <w:spacing w:after="0" w:line="266" w:lineRule="auto"/>
        <w:tabs>
          <w:tab w:leader="none" w:pos="19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(“OFAC”), the United Nations Security Council, the European Union, His Majesty’s Treasury, or other relevant sanctions authority (collectively, “Sanctions”), nor</w:t>
      </w:r>
    </w:p>
    <w:p>
      <w:pPr>
        <w:spacing w:after="0" w:line="81" w:lineRule="exact"/>
        <w:rPr>
          <w:rFonts w:ascii="Times New Roman" w:cs="Times New Roman" w:eastAsia="Times New Roman" w:hAnsi="Times New Roman"/>
          <w:sz w:val="18"/>
          <w:szCs w:val="18"/>
          <w:color w:val="auto"/>
        </w:rPr>
      </w:pPr>
    </w:p>
    <w:p>
      <w:pPr>
        <w:jc w:val="both"/>
        <w:ind w:left="1960" w:right="280" w:hanging="433"/>
        <w:spacing w:after="0" w:line="266" w:lineRule="auto"/>
        <w:tabs>
          <w:tab w:leader="none" w:pos="19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Cuba, Iran, North Korea, Russia, the Crimea, Zaporizhzhia and Kherson Regions of Ukraine, the so-called Donetsk People’s Republic and so-called Luhansk People’s Republic regions of Ukraine).</w:t>
      </w:r>
    </w:p>
    <w:p>
      <w:pPr>
        <w:spacing w:after="0" w:line="81" w:lineRule="exact"/>
        <w:rPr>
          <w:sz w:val="20"/>
          <w:szCs w:val="20"/>
          <w:color w:val="auto"/>
        </w:rPr>
      </w:pPr>
    </w:p>
    <w:p>
      <w:pPr>
        <w:ind w:left="1520" w:right="60" w:hanging="533"/>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Entity represents and covenants that it will not, directly or indirectly, use the proceeds of the offering, or lend, contribute or otherwise make available such proceeds to any subsidiary, joint venture partner or other Person:</w:t>
      </w:r>
    </w:p>
    <w:p>
      <w:pPr>
        <w:spacing w:after="0" w:line="67" w:lineRule="exact"/>
        <w:rPr>
          <w:rFonts w:ascii="Times New Roman" w:cs="Times New Roman" w:eastAsia="Times New Roman" w:hAnsi="Times New Roman"/>
          <w:sz w:val="18"/>
          <w:szCs w:val="18"/>
          <w:color w:val="auto"/>
        </w:rPr>
      </w:pPr>
    </w:p>
    <w:p>
      <w:pPr>
        <w:ind w:left="1960" w:right="300" w:hanging="433"/>
        <w:spacing w:after="0" w:line="282" w:lineRule="auto"/>
        <w:tabs>
          <w:tab w:leader="none" w:pos="19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18" w:name="page19"/>
    <w:bookmarkEnd w:id="18"/>
    <w:p>
      <w:pPr>
        <w:ind w:left="1960" w:right="40" w:hanging="433"/>
        <w:spacing w:after="0" w:line="282" w:lineRule="auto"/>
        <w:tabs>
          <w:tab w:leader="none" w:pos="19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any other manner that will result in a violation of Sanctions by any Person (including any Person participating in the offering, whether as underwriter, advisor, investor or otherwise).</w:t>
      </w:r>
    </w:p>
    <w:p>
      <w:pPr>
        <w:spacing w:after="0" w:line="67" w:lineRule="exact"/>
        <w:rPr>
          <w:rFonts w:ascii="Times New Roman" w:cs="Times New Roman" w:eastAsia="Times New Roman" w:hAnsi="Times New Roman"/>
          <w:sz w:val="18"/>
          <w:szCs w:val="18"/>
          <w:color w:val="auto"/>
        </w:rPr>
      </w:pPr>
    </w:p>
    <w:p>
      <w:pPr>
        <w:jc w:val="both"/>
        <w:ind w:left="1520" w:right="120" w:hanging="533"/>
        <w:spacing w:after="0" w:line="266" w:lineRule="auto"/>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Entity represents and covenants that it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68" w:lineRule="exact"/>
        <w:rPr>
          <w:sz w:val="20"/>
          <w:szCs w:val="20"/>
          <w:color w:val="auto"/>
        </w:rPr>
      </w:pPr>
    </w:p>
    <w:p>
      <w:pPr>
        <w:ind w:right="20" w:firstLine="948"/>
        <w:spacing w:after="0" w:line="289" w:lineRule="auto"/>
        <w:tabs>
          <w:tab w:leader="none" w:pos="15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Lending Relationship</w:t>
      </w:r>
      <w:r>
        <w:rPr>
          <w:rFonts w:ascii="Times New Roman" w:cs="Times New Roman" w:eastAsia="Times New Roman" w:hAnsi="Times New Roman"/>
          <w:sz w:val="17"/>
          <w:szCs w:val="17"/>
          <w:color w:val="auto"/>
        </w:rPr>
        <w:t>. 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49" w:lineRule="exact"/>
        <w:rPr>
          <w:rFonts w:ascii="Times New Roman" w:cs="Times New Roman" w:eastAsia="Times New Roman" w:hAnsi="Times New Roman"/>
          <w:sz w:val="17"/>
          <w:szCs w:val="17"/>
          <w:color w:val="auto"/>
        </w:rPr>
      </w:pPr>
    </w:p>
    <w:p>
      <w:pPr>
        <w:ind w:right="200" w:firstLine="948"/>
        <w:spacing w:after="0" w:line="266" w:lineRule="auto"/>
        <w:tabs>
          <w:tab w:leader="none" w:pos="15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color w:val="auto"/>
        </w:rPr>
        <w:t>. Any statistical and market-related data included or incorporated by reference in the Registration Statement, the General Disclosure Package or the Prospectus are based on or derived from sources that the Company believes to be reliable and accurate and, to the extent required, the Company has obtained the written consent to the use of such data from such sources.</w:t>
      </w:r>
    </w:p>
    <w:p>
      <w:pPr>
        <w:spacing w:after="0" w:line="67" w:lineRule="exact"/>
        <w:rPr>
          <w:rFonts w:ascii="Times New Roman" w:cs="Times New Roman" w:eastAsia="Times New Roman" w:hAnsi="Times New Roman"/>
          <w:sz w:val="18"/>
          <w:szCs w:val="18"/>
          <w:color w:val="auto"/>
        </w:rPr>
      </w:pPr>
    </w:p>
    <w:p>
      <w:pPr>
        <w:ind w:right="220" w:firstLine="948"/>
        <w:spacing w:after="0" w:line="266" w:lineRule="auto"/>
        <w:tabs>
          <w:tab w:leader="none" w:pos="14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Related Party Transactions</w:t>
      </w:r>
      <w:r>
        <w:rPr>
          <w:rFonts w:ascii="Times New Roman" w:cs="Times New Roman" w:eastAsia="Times New Roman" w:hAnsi="Times New Roman"/>
          <w:sz w:val="18"/>
          <w:szCs w:val="18"/>
          <w:color w:val="auto"/>
        </w:rPr>
        <w:t>. There are no business relationships or related party transactions involving the Company, any of the Subsidiaries or any other person required to be described in the Registration Statement, the General Disclosure Package or the Prospectus which have not been described as required.</w:t>
      </w:r>
    </w:p>
    <w:p>
      <w:pPr>
        <w:spacing w:after="0" w:line="67" w:lineRule="exact"/>
        <w:rPr>
          <w:rFonts w:ascii="Times New Roman" w:cs="Times New Roman" w:eastAsia="Times New Roman" w:hAnsi="Times New Roman"/>
          <w:sz w:val="18"/>
          <w:szCs w:val="18"/>
          <w:color w:val="auto"/>
        </w:rPr>
      </w:pPr>
    </w:p>
    <w:p>
      <w:pPr>
        <w:ind w:right="100" w:firstLine="948"/>
        <w:spacing w:after="0" w:line="261" w:lineRule="auto"/>
        <w:tabs>
          <w:tab w:leader="none" w:pos="15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of Election</w:t>
      </w:r>
      <w:r>
        <w:rPr>
          <w:rFonts w:ascii="Times New Roman" w:cs="Times New Roman" w:eastAsia="Times New Roman" w:hAnsi="Times New Roman"/>
          <w:sz w:val="18"/>
          <w:szCs w:val="18"/>
          <w:color w:val="auto"/>
        </w:rPr>
        <w:t>.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firstLine="948"/>
        <w:spacing w:after="0" w:line="256" w:lineRule="auto"/>
        <w:tabs>
          <w:tab w:leader="none" w:pos="157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Management Agreement</w:t>
      </w:r>
      <w:r>
        <w:rPr>
          <w:rFonts w:ascii="Times New Roman" w:cs="Times New Roman" w:eastAsia="Times New Roman" w:hAnsi="Times New Roman"/>
          <w:sz w:val="18"/>
          <w:szCs w:val="18"/>
          <w:color w:val="auto"/>
        </w:rPr>
        <w:t>. (A) The terms of the Investment Management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have been made in accordance with the requirements of Section 15(a) and (c) of the 1940 Act and the 1940 Act Regulations applicable to companies that have elected to be regulated as business development companies under the 1940 Act. The Investment Management Agreement has</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60"/>
          </w:cols>
          <w:pgMar w:left="880" w:top="270" w:right="459" w:bottom="1440" w:gutter="0" w:footer="0" w:header="0"/>
        </w:sectPr>
      </w:pPr>
    </w:p>
    <w:bookmarkStart w:id="19" w:name="page20"/>
    <w:bookmarkEnd w:id="19"/>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72" w:lineRule="exact"/>
        <w:rPr>
          <w:sz w:val="20"/>
          <w:szCs w:val="20"/>
          <w:color w:val="auto"/>
        </w:rPr>
      </w:pPr>
    </w:p>
    <w:p>
      <w:pPr>
        <w:ind w:left="1624" w:hanging="672"/>
        <w:spacing w:after="0"/>
        <w:tabs>
          <w:tab w:leader="none" w:pos="1624"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Interested Persons</w:t>
      </w:r>
      <w:r>
        <w:rPr>
          <w:rFonts w:ascii="Times New Roman" w:cs="Times New Roman" w:eastAsia="Times New Roman" w:hAnsi="Times New Roman"/>
          <w:sz w:val="18"/>
          <w:szCs w:val="18"/>
          <w:color w:val="auto"/>
        </w:rPr>
        <w:t>. Except as disclosed in the Registration Statement, the General Disclosure Package and the Prospectus</w:t>
      </w:r>
    </w:p>
    <w:p>
      <w:pPr>
        <w:spacing w:after="0" w:line="27" w:lineRule="exact"/>
        <w:rPr>
          <w:rFonts w:ascii="Times New Roman" w:cs="Times New Roman" w:eastAsia="Times New Roman" w:hAnsi="Times New Roman"/>
          <w:sz w:val="18"/>
          <w:szCs w:val="18"/>
          <w:color w:val="auto"/>
        </w:rPr>
      </w:pPr>
    </w:p>
    <w:p>
      <w:pPr>
        <w:ind w:left="4" w:right="60" w:hanging="4"/>
        <w:spacing w:after="0" w:line="255" w:lineRule="auto"/>
        <w:tabs>
          <w:tab w:leader="none" w:pos="29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any of the Underwriters.</w:t>
      </w:r>
    </w:p>
    <w:p>
      <w:pPr>
        <w:spacing w:after="0" w:line="77" w:lineRule="exact"/>
        <w:rPr>
          <w:rFonts w:ascii="Times New Roman" w:cs="Times New Roman" w:eastAsia="Times New Roman" w:hAnsi="Times New Roman"/>
          <w:sz w:val="18"/>
          <w:szCs w:val="18"/>
          <w:color w:val="auto"/>
        </w:rPr>
      </w:pPr>
    </w:p>
    <w:p>
      <w:pPr>
        <w:ind w:left="4" w:firstLine="948"/>
        <w:spacing w:after="0" w:line="256" w:lineRule="auto"/>
        <w:tabs>
          <w:tab w:leader="none" w:pos="153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Development Company</w:t>
      </w:r>
      <w:r>
        <w:rPr>
          <w:rFonts w:ascii="Times New Roman" w:cs="Times New Roman" w:eastAsia="Times New Roman" w:hAnsi="Times New Roman"/>
          <w:sz w:val="18"/>
          <w:szCs w:val="18"/>
          <w:color w:val="auto"/>
        </w:rPr>
        <w:t>.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w:t>
      </w:r>
    </w:p>
    <w:p>
      <w:pPr>
        <w:spacing w:after="0" w:line="79" w:lineRule="exact"/>
        <w:rPr>
          <w:sz w:val="20"/>
          <w:szCs w:val="20"/>
          <w:color w:val="auto"/>
        </w:rPr>
      </w:pPr>
    </w:p>
    <w:p>
      <w:pPr>
        <w:ind w:left="4" w:right="40" w:firstLine="952"/>
        <w:spacing w:after="0" w:line="266" w:lineRule="auto"/>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No Extension of Credit</w:t>
      </w:r>
      <w:r>
        <w:rPr>
          <w:rFonts w:ascii="Times New Roman" w:cs="Times New Roman" w:eastAsia="Times New Roman" w:hAnsi="Times New Roman"/>
          <w:sz w:val="18"/>
          <w:szCs w:val="18"/>
          <w:color w:val="auto"/>
        </w:rPr>
        <w:t>.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w:t>
      </w:r>
    </w:p>
    <w:p>
      <w:pPr>
        <w:spacing w:after="0" w:line="68" w:lineRule="exact"/>
        <w:rPr>
          <w:sz w:val="20"/>
          <w:szCs w:val="20"/>
          <w:color w:val="auto"/>
        </w:rPr>
      </w:pPr>
    </w:p>
    <w:p>
      <w:pPr>
        <w:ind w:left="4" w:right="180" w:firstLine="952"/>
        <w:spacing w:after="0" w:line="261"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Regulated Investment Company</w:t>
      </w:r>
      <w:r>
        <w:rPr>
          <w:rFonts w:ascii="Times New Roman" w:cs="Times New Roman" w:eastAsia="Times New Roman" w:hAnsi="Times New Roman"/>
          <w:sz w:val="18"/>
          <w:szCs w:val="18"/>
          <w:color w:val="auto"/>
        </w:rPr>
        <w:t>.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w:t>
      </w:r>
    </w:p>
    <w:p>
      <w:pPr>
        <w:spacing w:after="0" w:line="72" w:lineRule="exact"/>
        <w:rPr>
          <w:sz w:val="20"/>
          <w:szCs w:val="20"/>
          <w:color w:val="auto"/>
        </w:rPr>
      </w:pPr>
    </w:p>
    <w:p>
      <w:pPr>
        <w:ind w:left="4" w:right="80" w:firstLine="952"/>
        <w:spacing w:after="0" w:line="261" w:lineRule="auto"/>
        <w:rPr>
          <w:sz w:val="20"/>
          <w:szCs w:val="20"/>
          <w:color w:val="auto"/>
        </w:rPr>
      </w:pPr>
      <w:r>
        <w:rPr>
          <w:rFonts w:ascii="Times New Roman" w:cs="Times New Roman" w:eastAsia="Times New Roman" w:hAnsi="Times New Roman"/>
          <w:sz w:val="18"/>
          <w:szCs w:val="18"/>
          <w:color w:val="auto"/>
        </w:rPr>
        <w:t xml:space="preserve">(xlii) </w:t>
      </w:r>
      <w:r>
        <w:rPr>
          <w:rFonts w:ascii="Times New Roman" w:cs="Times New Roman" w:eastAsia="Times New Roman" w:hAnsi="Times New Roman"/>
          <w:sz w:val="18"/>
          <w:szCs w:val="18"/>
          <w:u w:val="single" w:color="auto"/>
          <w:color w:val="auto"/>
        </w:rPr>
        <w:t>Sarbanes-Oxley Act</w:t>
      </w:r>
      <w:r>
        <w:rPr>
          <w:rFonts w:ascii="Times New Roman" w:cs="Times New Roman" w:eastAsia="Times New Roman" w:hAnsi="Times New Roman"/>
          <w:sz w:val="18"/>
          <w:szCs w:val="18"/>
          <w:color w:val="auto"/>
        </w:rPr>
        <w:t>.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4"/>
          </w:cols>
          <w:pgMar w:left="876" w:top="270" w:right="459" w:bottom="1440" w:gutter="0" w:footer="0" w:header="0"/>
        </w:sectPr>
      </w:pPr>
    </w:p>
    <w:bookmarkStart w:id="20" w:name="page21"/>
    <w:bookmarkEnd w:id="20"/>
    <w:p>
      <w:pPr>
        <w:jc w:val="both"/>
        <w:ind w:left="440" w:right="620" w:firstLine="952"/>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(xliii) </w:t>
      </w: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forward-looking statement (within the meaning of Section 27A of the 1933 Act and Section 21E of the 1934 Act) contained in the Registration Statement, the General Disclosure Package or the Prospectus has been made or reaffirmed without a reasonable basis or has been disclosed other than in good faith.</w:t>
      </w:r>
    </w:p>
    <w:p>
      <w:pPr>
        <w:spacing w:after="0" w:line="67" w:lineRule="exact"/>
        <w:rPr>
          <w:sz w:val="20"/>
          <w:szCs w:val="20"/>
          <w:color w:val="auto"/>
        </w:rPr>
      </w:pPr>
    </w:p>
    <w:p>
      <w:pPr>
        <w:ind w:left="440" w:firstLine="952"/>
        <w:spacing w:after="0" w:line="252" w:lineRule="auto"/>
        <w:rPr>
          <w:sz w:val="20"/>
          <w:szCs w:val="20"/>
          <w:color w:val="auto"/>
        </w:rPr>
      </w:pPr>
      <w:r>
        <w:rPr>
          <w:rFonts w:ascii="Times New Roman" w:cs="Times New Roman" w:eastAsia="Times New Roman" w:hAnsi="Times New Roman"/>
          <w:sz w:val="18"/>
          <w:szCs w:val="18"/>
          <w:color w:val="auto"/>
        </w:rPr>
        <w:t xml:space="preserve">(xliv)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w:t>
      </w:r>
    </w:p>
    <w:p>
      <w:pPr>
        <w:spacing w:after="0" w:line="89" w:lineRule="exact"/>
        <w:rPr>
          <w:sz w:val="20"/>
          <w:szCs w:val="20"/>
          <w:color w:val="auto"/>
        </w:rPr>
      </w:pPr>
    </w:p>
    <w:p>
      <w:pPr>
        <w:ind w:left="440" w:right="380" w:firstLine="952"/>
        <w:spacing w:after="0" w:line="266" w:lineRule="auto"/>
        <w:rPr>
          <w:sz w:val="20"/>
          <w:szCs w:val="20"/>
          <w:color w:val="auto"/>
        </w:rPr>
      </w:pPr>
      <w:r>
        <w:rPr>
          <w:rFonts w:ascii="Times New Roman" w:cs="Times New Roman" w:eastAsia="Times New Roman" w:hAnsi="Times New Roman"/>
          <w:sz w:val="18"/>
          <w:szCs w:val="18"/>
          <w:color w:val="auto"/>
        </w:rPr>
        <w:t xml:space="preserve">(xlv) </w:t>
      </w: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 Any certificate signed by any officer of the Company or any of the Subsidiaries delivered to the Underwriters or to counsel for the Underwriters shall be deemed a representation and warranty by the Company to each Underwriter as to the matters covered thereby.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u w:val="single" w:color="auto"/>
          <w:color w:val="auto"/>
        </w:rPr>
        <w:t>Representations and Warranties of the Adviser</w:t>
      </w:r>
      <w:r>
        <w:rPr>
          <w:rFonts w:ascii="Times New Roman" w:cs="Times New Roman" w:eastAsia="Times New Roman" w:hAnsi="Times New Roman"/>
          <w:sz w:val="18"/>
          <w:szCs w:val="18"/>
          <w:color w:val="auto"/>
        </w:rPr>
        <w:t>. The Adviser represents to each Underwriter and agrees with each of the Underwriters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left="440" w:right="20" w:firstLine="948"/>
        <w:spacing w:after="0" w:line="258" w:lineRule="auto"/>
        <w:tabs>
          <w:tab w:leader="none" w:pos="160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 in Business</w:t>
      </w:r>
      <w:r>
        <w:rPr>
          <w:rFonts w:ascii="Times New Roman" w:cs="Times New Roman" w:eastAsia="Times New Roman" w:hAnsi="Times New Roman"/>
          <w:sz w:val="18"/>
          <w:szCs w:val="18"/>
          <w:color w:val="auto"/>
        </w:rPr>
        <w:t>. Except as otherwise stated therein, since the respective dates as of which information is given or incorporated by reference in the Registration Statement, the General Disclosure Package or the Prospectus, there has been no material adverse change in the condition, financial or otherwise, or in the business, financial condition, capitalization, prospects or regulatory status of the Adviser, whether or not arising in the ordinary course of business, or on the ability of the Adviser to carry out its obligations under this Agreement or the Investment Management Agreement (collectively, an “Adviser Material Adverse Effect”).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68" w:right="459" w:bottom="1440" w:gutter="0" w:footer="0" w:header="0"/>
        </w:sectPr>
      </w:pPr>
    </w:p>
    <w:bookmarkStart w:id="21" w:name="page22"/>
    <w:bookmarkEnd w:id="21"/>
    <w:p>
      <w:pPr>
        <w:ind w:right="160" w:firstLine="948"/>
        <w:spacing w:after="0" w:line="255" w:lineRule="auto"/>
        <w:tabs>
          <w:tab w:leader="none" w:pos="121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Standing</w:t>
      </w:r>
      <w:r>
        <w:rPr>
          <w:rFonts w:ascii="Times New Roman" w:cs="Times New Roman" w:eastAsia="Times New Roman" w:hAnsi="Times New Roman"/>
          <w:sz w:val="18"/>
          <w:szCs w:val="18"/>
          <w:color w:val="auto"/>
        </w:rPr>
        <w:t>. The Adviser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the General Disclosure Package and the Prospectus and to enter into this Agreement and perform its obligations under this Agreement and the Investment Management Agreement; and the Adviser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 Material Adverse Effect.</w:t>
      </w:r>
    </w:p>
    <w:p>
      <w:pPr>
        <w:spacing w:after="0" w:line="80" w:lineRule="exact"/>
        <w:rPr>
          <w:rFonts w:ascii="Times New Roman" w:cs="Times New Roman" w:eastAsia="Times New Roman" w:hAnsi="Times New Roman"/>
          <w:sz w:val="18"/>
          <w:szCs w:val="18"/>
          <w:color w:val="auto"/>
        </w:rPr>
      </w:pPr>
    </w:p>
    <w:p>
      <w:pPr>
        <w:ind w:firstLine="948"/>
        <w:spacing w:after="0" w:line="258" w:lineRule="auto"/>
        <w:tabs>
          <w:tab w:leader="none" w:pos="126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Under Advisers Act</w:t>
      </w:r>
      <w:r>
        <w:rPr>
          <w:rFonts w:ascii="Times New Roman" w:cs="Times New Roman" w:eastAsia="Times New Roman" w:hAnsi="Times New Roman"/>
          <w:sz w:val="18"/>
          <w:szCs w:val="18"/>
          <w:color w:val="auto"/>
        </w:rPr>
        <w:t>. The Adviser is duly registered with the Commission as an investment adviser under the Advisers Act and is not prohibited by the Advisers Act or the 1940 Act from acting under the Investment Management Agreement for the Company as contemplated by the Registration Statement, the General Disclosure Package and the Prospectus. There does not exist any proceeding or, to the Adviser’s knowledge, any facts or circumstances the existence of which could lead to any proceeding which might adversely affect the registration of the Adviser with the Commission.</w:t>
      </w:r>
    </w:p>
    <w:p>
      <w:pPr>
        <w:spacing w:after="0" w:line="75" w:lineRule="exact"/>
        <w:rPr>
          <w:rFonts w:ascii="Times New Roman" w:cs="Times New Roman" w:eastAsia="Times New Roman" w:hAnsi="Times New Roman"/>
          <w:sz w:val="18"/>
          <w:szCs w:val="18"/>
          <w:color w:val="auto"/>
        </w:rPr>
      </w:pPr>
    </w:p>
    <w:p>
      <w:pPr>
        <w:ind w:firstLine="948"/>
        <w:spacing w:after="0" w:line="254" w:lineRule="auto"/>
        <w:tabs>
          <w:tab w:leader="none" w:pos="125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Proceedings</w:t>
      </w:r>
      <w:r>
        <w:rPr>
          <w:rFonts w:ascii="Times New Roman" w:cs="Times New Roman" w:eastAsia="Times New Roman" w:hAnsi="Times New Roman"/>
          <w:sz w:val="18"/>
          <w:szCs w:val="18"/>
          <w:color w:val="auto"/>
        </w:rPr>
        <w:t>. Except as disclosed in the Registration Statement, the General Disclosure Package and the Prospectus, there is no action, suit, proceeding or, to the knowledge of the Adviser, inquiry or investigation before or brought by any arbitrator, court, governmental body, regulatory body, administrative agency or other authority, body or agency having jurisdiction over the Adviser or any of its properties, assets or operations now pending or, to the knowledge of the Adviser, threatened, against or affecting the Adviser, which is required to be disclosed in the Registration Statement (other than as disclosed therein) or which would reasonably be expected to result in an Adviser Material Adverse Effect, or which would reasonably be expected to materially and adversely affect the consummation of the transactions contemplated in this Agreement, the Indenture, the Securities, the Investment Management Agreement or the performance by the Adviser of its obligations hereunder or thereunder.</w:t>
      </w:r>
    </w:p>
    <w:p>
      <w:pPr>
        <w:spacing w:after="0" w:line="83" w:lineRule="exact"/>
        <w:rPr>
          <w:rFonts w:ascii="Times New Roman" w:cs="Times New Roman" w:eastAsia="Times New Roman" w:hAnsi="Times New Roman"/>
          <w:sz w:val="18"/>
          <w:szCs w:val="18"/>
          <w:color w:val="auto"/>
        </w:rPr>
      </w:pPr>
    </w:p>
    <w:p>
      <w:pPr>
        <w:ind w:right="40" w:firstLine="948"/>
        <w:spacing w:after="0" w:line="258" w:lineRule="auto"/>
        <w:tabs>
          <w:tab w:leader="none" w:pos="120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Violations and Defaults</w:t>
      </w:r>
      <w:r>
        <w:rPr>
          <w:rFonts w:ascii="Times New Roman" w:cs="Times New Roman" w:eastAsia="Times New Roman" w:hAnsi="Times New Roman"/>
          <w:sz w:val="18"/>
          <w:szCs w:val="18"/>
          <w:color w:val="auto"/>
        </w:rPr>
        <w:t>. The Adviser is not (A) in violation of its limited liability company agreement, (B) in default under any contract, indenture, mortgage, deed of trust, loan or credit agreement, note, lease or other agreement or instrument to which the Adviser is a party or by which it may be bound or to which any of its properties or assets is subject (collectively, the “Adviser Agreements and Instruments”), except for such defaults that would not reasonably be expected, singly or in the aggregate, to result in an Adviser Material Adverse Effect, or (C) in violation of any applicable law, statute, rule, regulation, judgment, order, writ or decree of any arbitrator,</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0"/>
          </w:cols>
          <w:pgMar w:left="880" w:top="270" w:right="459" w:bottom="1440" w:gutter="0" w:footer="0" w:header="0"/>
        </w:sectPr>
      </w:pPr>
    </w:p>
    <w:bookmarkStart w:id="22" w:name="page23"/>
    <w:bookmarkEnd w:id="2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court, governmental body, regulatory body, administrative agency or other authority, body or agency having jurisdiction over the Adviser or any of its properties, assets or operations, except for such violations that would not reasonably be expected, singly or in the aggregate, to result in an Adviser Material Adverse Effect.</w:t>
      </w:r>
    </w:p>
    <w:p>
      <w:pPr>
        <w:spacing w:after="0" w:line="68" w:lineRule="exact"/>
        <w:rPr>
          <w:sz w:val="20"/>
          <w:szCs w:val="20"/>
          <w:color w:val="auto"/>
        </w:rPr>
      </w:pPr>
    </w:p>
    <w:p>
      <w:pPr>
        <w:ind w:firstLine="948"/>
        <w:spacing w:after="0" w:line="252" w:lineRule="auto"/>
        <w:tabs>
          <w:tab w:leader="none" w:pos="12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Conflicts</w:t>
      </w:r>
      <w:r>
        <w:rPr>
          <w:rFonts w:ascii="Times New Roman" w:cs="Times New Roman" w:eastAsia="Times New Roman" w:hAnsi="Times New Roman"/>
          <w:sz w:val="18"/>
          <w:szCs w:val="18"/>
          <w:color w:val="auto"/>
        </w:rPr>
        <w:t>. The execution, delivery and performance of this Agreement, the performance of the Investment Management Agreement and the consummation of the transactions contemplated herein and therein and in the Registration Statement, the General Disclosure Package and the Prospectus (including the issuance and sale of the Securities and the use of the proceeds from the sale of the Securities as described therein under the caption “Use of Proceeds”) and compliance by the Adviser with its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pursuant to, the Adviser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liens, charges or encumbrances that would not reasonably be expected, singly or in the aggregate, to result in an Adviser Material Adverse Effect), nor will such action result in any violation of the provisions of (a) the limited liability company agreement of the Adviser, or (b) any applicable law, statute, rule, regulation, judgment, order, writ or decree of any arbitrator, court, governmental body, regulatory body, administrative agency or other authority, body or agency having jurisdiction over the Adviser or any of its properties, assets or operations except, in the case of (b) above, for any violation that would not reasonably be expected, singly or in the aggregate, to result in an Adviser Material Adverse Effect.</w:t>
      </w:r>
    </w:p>
    <w:p>
      <w:pPr>
        <w:spacing w:after="0" w:line="89"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this Agreement</w:t>
      </w:r>
      <w:r>
        <w:rPr>
          <w:rFonts w:ascii="Times New Roman" w:cs="Times New Roman" w:eastAsia="Times New Roman" w:hAnsi="Times New Roman"/>
          <w:sz w:val="18"/>
          <w:szCs w:val="18"/>
          <w:color w:val="auto"/>
        </w:rPr>
        <w:t>. This Agreement has been duly authorized, executed and delivered by the Adviser.</w:t>
      </w:r>
    </w:p>
    <w:p>
      <w:pPr>
        <w:spacing w:after="0" w:line="117" w:lineRule="exact"/>
        <w:rPr>
          <w:rFonts w:ascii="Times New Roman" w:cs="Times New Roman" w:eastAsia="Times New Roman" w:hAnsi="Times New Roman"/>
          <w:sz w:val="18"/>
          <w:szCs w:val="18"/>
          <w:color w:val="auto"/>
        </w:rPr>
      </w:pPr>
    </w:p>
    <w:p>
      <w:pPr>
        <w:ind w:right="40" w:firstLine="948"/>
        <w:spacing w:after="0" w:line="258" w:lineRule="auto"/>
        <w:tabs>
          <w:tab w:leader="none" w:pos="13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Management Agreement</w:t>
      </w:r>
      <w:r>
        <w:rPr>
          <w:rFonts w:ascii="Times New Roman" w:cs="Times New Roman" w:eastAsia="Times New Roman" w:hAnsi="Times New Roman"/>
          <w:sz w:val="18"/>
          <w:szCs w:val="18"/>
          <w:color w:val="auto"/>
        </w:rPr>
        <w:t>. The Investment Management Agreement has been duly authorized, executed and delivered by the Adviser and is a valid and binding obligation of the Adviser,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75" w:lineRule="exact"/>
        <w:rPr>
          <w:rFonts w:ascii="Times New Roman" w:cs="Times New Roman" w:eastAsia="Times New Roman" w:hAnsi="Times New Roman"/>
          <w:sz w:val="18"/>
          <w:szCs w:val="18"/>
          <w:color w:val="auto"/>
        </w:rPr>
      </w:pPr>
    </w:p>
    <w:p>
      <w:pPr>
        <w:ind w:right="20" w:firstLine="948"/>
        <w:spacing w:after="0" w:line="261" w:lineRule="auto"/>
        <w:tabs>
          <w:tab w:leader="none" w:pos="125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filing with, or authorization, approval, consent, license, order, registration, qualification or decree of, any court or governmental authority or agency is necessary or required for the performance by the Adviser of its obligations hereunder or, in connection with the offering, the issuance or sale of the Securities hereunder or the consummation of the transactions contemplated by this Agreement, the Indenture, the DTC Agreement, the Investment Management Agreement,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70" w:right="459" w:bottom="1440" w:gutter="0" w:footer="0" w:header="0"/>
        </w:sectPr>
      </w:pPr>
    </w:p>
    <w:bookmarkStart w:id="23" w:name="page24"/>
    <w:bookmarkEnd w:id="23"/>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General Disclosure Package or the Prospectus (including the issuance and sale of the Securities and the use of the proceeds from the sale of the Securities as described in the General Disclosure Package and the Prospectus under the caption “Use of Proceeds”), except (A) such as have been already made or obtained, including under the 1933 Act, the 1933 Act Regulations, the Trust Indenture Act, state securities laws or the rules of FINRA and (B) where the failure to obtain any such filing, authorization, approval, consent, license, order, registration, qualification or decree would not reasonably be expected, singly or in the aggregate, to result in an Adviser Material Adverse Effect.</w:t>
      </w:r>
    </w:p>
    <w:p>
      <w:pPr>
        <w:spacing w:after="0" w:line="75" w:lineRule="exact"/>
        <w:rPr>
          <w:sz w:val="20"/>
          <w:szCs w:val="20"/>
          <w:color w:val="auto"/>
        </w:rPr>
      </w:pPr>
    </w:p>
    <w:p>
      <w:pPr>
        <w:ind w:right="20" w:firstLine="948"/>
        <w:spacing w:after="0" w:line="266" w:lineRule="auto"/>
        <w:tabs>
          <w:tab w:leader="none" w:pos="12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Descriptions of Adviser</w:t>
      </w:r>
      <w:r>
        <w:rPr>
          <w:rFonts w:ascii="Times New Roman" w:cs="Times New Roman" w:eastAsia="Times New Roman" w:hAnsi="Times New Roman"/>
          <w:sz w:val="18"/>
          <w:szCs w:val="18"/>
          <w:color w:val="auto"/>
        </w:rPr>
        <w:t>. The descriptions of the Adviser contained in the Registration Statement, the General Disclosure Package and the Prospectus do not contain any untrue statement of a material fact or omit to state a material fact required to be stated therein or necessary to make the statements therein, in the light of the circumstances under which they were made, not misleading.</w:t>
      </w:r>
    </w:p>
    <w:p>
      <w:pPr>
        <w:spacing w:after="0" w:line="67" w:lineRule="exact"/>
        <w:rPr>
          <w:rFonts w:ascii="Times New Roman" w:cs="Times New Roman" w:eastAsia="Times New Roman" w:hAnsi="Times New Roman"/>
          <w:sz w:val="18"/>
          <w:szCs w:val="18"/>
          <w:color w:val="auto"/>
        </w:rPr>
      </w:pPr>
    </w:p>
    <w:p>
      <w:pPr>
        <w:ind w:right="60" w:firstLine="948"/>
        <w:spacing w:after="0" w:line="254" w:lineRule="auto"/>
        <w:tabs>
          <w:tab w:leader="none" w:pos="12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Possession of Licenses and Permits</w:t>
      </w:r>
      <w:r>
        <w:rPr>
          <w:rFonts w:ascii="Times New Roman" w:cs="Times New Roman" w:eastAsia="Times New Roman" w:hAnsi="Times New Roman"/>
          <w:sz w:val="18"/>
          <w:szCs w:val="18"/>
          <w:color w:val="auto"/>
        </w:rPr>
        <w:t>. The Adviser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 Material Adverse Effect. The Adviser is in compliance with the terms and conditions of all such Governmental Licenses, except where the failure so to comply would not reasonably be expected, singly or in the aggregate, to result in an Adviser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 Material Adverse Effect. The Adviser has not received any notice of proceedings relating to the revocation or modification of any such Governmental Licenses which, singly or in the aggregate, if the subject of an unfavorable decision, ruling or finding, would reasonably be expected to result in an Adviser Material Adverse Effect.</w:t>
      </w:r>
    </w:p>
    <w:p>
      <w:pPr>
        <w:spacing w:after="0" w:line="80" w:lineRule="exact"/>
        <w:rPr>
          <w:rFonts w:ascii="Times New Roman" w:cs="Times New Roman" w:eastAsia="Times New Roman" w:hAnsi="Times New Roman"/>
          <w:sz w:val="18"/>
          <w:szCs w:val="18"/>
          <w:color w:val="auto"/>
        </w:rPr>
      </w:pPr>
    </w:p>
    <w:p>
      <w:pPr>
        <w:ind w:right="160" w:firstLine="948"/>
        <w:spacing w:after="0" w:line="266" w:lineRule="auto"/>
        <w:tabs>
          <w:tab w:leader="none" w:pos="130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Stabilization and Manipulation</w:t>
      </w:r>
      <w:r>
        <w:rPr>
          <w:rFonts w:ascii="Times New Roman" w:cs="Times New Roman" w:eastAsia="Times New Roman" w:hAnsi="Times New Roman"/>
          <w:sz w:val="18"/>
          <w:szCs w:val="18"/>
          <w:color w:val="auto"/>
        </w:rPr>
        <w:t>. The Adviser has not taken and will not take, directly or indirectly, without giving effect to any activities by the Underwriters, any action designed, or that would reasonably be expected, to cause or result in, or which constitutes, the stabilization or manipulation of the price of the Securities, other than activity permitted pursuant to Rule 10b-18 under the 1934 Act.</w:t>
      </w:r>
    </w:p>
    <w:p>
      <w:pPr>
        <w:spacing w:after="0" w:line="67" w:lineRule="exact"/>
        <w:rPr>
          <w:rFonts w:ascii="Times New Roman" w:cs="Times New Roman" w:eastAsia="Times New Roman" w:hAnsi="Times New Roman"/>
          <w:sz w:val="18"/>
          <w:szCs w:val="18"/>
          <w:color w:val="auto"/>
        </w:rPr>
      </w:pPr>
    </w:p>
    <w:p>
      <w:pPr>
        <w:ind w:firstLine="948"/>
        <w:spacing w:after="0" w:line="258" w:lineRule="auto"/>
        <w:tabs>
          <w:tab w:leader="none" w:pos="135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Anti-Bribery</w:t>
      </w:r>
      <w:r>
        <w:rPr>
          <w:rFonts w:ascii="Times New Roman" w:cs="Times New Roman" w:eastAsia="Times New Roman" w:hAnsi="Times New Roman"/>
          <w:sz w:val="18"/>
          <w:szCs w:val="18"/>
          <w:color w:val="auto"/>
        </w:rPr>
        <w:t>. None of the Adviser, any of its Subsidiaries, nor, to the knowledge of the Adviser, any director or officer or any employee of the Adviser, or any agent or representative of the Adviser in its capacity as agent or representative of the Adviser or of any of its Subsidiaries, has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60"/>
          </w:cols>
          <w:pgMar w:left="880" w:top="270" w:right="459" w:bottom="1440" w:gutter="0" w:footer="0" w:header="0"/>
        </w:sectPr>
      </w:pPr>
    </w:p>
    <w:bookmarkStart w:id="24" w:name="page25"/>
    <w:bookmarkEnd w:id="24"/>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capacity for or on behalf of any of the foregoing, or any political party or party official or candidate for political office) in order to influence official action, or to any person in violation of any applicable anti-corruption laws; and the Adviser and its Subsidiaries have conducted their businesses in material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72" w:lineRule="exact"/>
        <w:rPr>
          <w:sz w:val="20"/>
          <w:szCs w:val="20"/>
          <w:color w:val="auto"/>
        </w:rPr>
      </w:pPr>
    </w:p>
    <w:p>
      <w:pPr>
        <w:ind w:left="1340" w:hanging="392"/>
        <w:spacing w:after="0"/>
        <w:tabs>
          <w:tab w:leader="none" w:pos="1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p>
    <w:p>
      <w:pPr>
        <w:spacing w:after="0" w:line="131" w:lineRule="exact"/>
        <w:rPr>
          <w:sz w:val="20"/>
          <w:szCs w:val="20"/>
          <w:color w:val="auto"/>
        </w:rPr>
      </w:pPr>
    </w:p>
    <w:p>
      <w:pPr>
        <w:jc w:val="both"/>
        <w:ind w:left="1520" w:right="80" w:hanging="533"/>
        <w:spacing w:after="0" w:line="266" w:lineRule="auto"/>
        <w:tabs>
          <w:tab w:leader="none" w:pos="1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Adviser, nor any of its Subsidiaries (collectively, the “Adviser Entity”), nor to the knowledge of the Adviser, any director or officer of the Adviser Entity, or any employee, or any agent or representative of the Adviser Entity in its capacity as agent or representative of the Adviser Entity, is a Person that is, or is owned or controlled by a Person that is:</w:t>
      </w:r>
    </w:p>
    <w:p>
      <w:pPr>
        <w:spacing w:after="0" w:line="81" w:lineRule="exact"/>
        <w:rPr>
          <w:rFonts w:ascii="Times New Roman" w:cs="Times New Roman" w:eastAsia="Times New Roman" w:hAnsi="Times New Roman"/>
          <w:sz w:val="18"/>
          <w:szCs w:val="18"/>
          <w:color w:val="auto"/>
        </w:rPr>
      </w:pPr>
    </w:p>
    <w:p>
      <w:pPr>
        <w:ind w:left="1960" w:hanging="433"/>
        <w:spacing w:after="0"/>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or</w:t>
      </w:r>
    </w:p>
    <w:p>
      <w:pPr>
        <w:spacing w:after="0" w:line="130" w:lineRule="exact"/>
        <w:rPr>
          <w:rFonts w:ascii="Times New Roman" w:cs="Times New Roman" w:eastAsia="Times New Roman" w:hAnsi="Times New Roman"/>
          <w:sz w:val="18"/>
          <w:szCs w:val="18"/>
          <w:color w:val="auto"/>
        </w:rPr>
      </w:pPr>
    </w:p>
    <w:p>
      <w:pPr>
        <w:jc w:val="both"/>
        <w:ind w:left="1960" w:right="300" w:hanging="433"/>
        <w:spacing w:after="0" w:line="266" w:lineRule="auto"/>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organized or resident in a country or territory that is the subject of Sanctions (including, without limitation, Cuba, Iran, North Korea, Russia, the Crimea, Zaporizhzhia and Kherson Regions of Ukraine, the so-called Donetsk People’s Republic and so-called Luhansk People’s Republic regions of Ukraine).</w:t>
      </w:r>
    </w:p>
    <w:p>
      <w:pPr>
        <w:spacing w:after="0" w:line="81" w:lineRule="exact"/>
        <w:rPr>
          <w:sz w:val="20"/>
          <w:szCs w:val="20"/>
          <w:color w:val="auto"/>
        </w:rPr>
      </w:pPr>
    </w:p>
    <w:p>
      <w:pPr>
        <w:ind w:left="1520" w:right="220" w:hanging="533"/>
        <w:spacing w:after="0" w:line="282" w:lineRule="auto"/>
        <w:tabs>
          <w:tab w:leader="none" w:pos="1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Entity represents and covenants that it will not, directly or indirectly, use the proceeds of the offering, or lend, contribute or otherwise make available such proceeds to any subsidiary, joint venture partner or other Person:</w:t>
      </w:r>
    </w:p>
    <w:p>
      <w:pPr>
        <w:spacing w:after="0" w:line="67" w:lineRule="exact"/>
        <w:rPr>
          <w:rFonts w:ascii="Times New Roman" w:cs="Times New Roman" w:eastAsia="Times New Roman" w:hAnsi="Times New Roman"/>
          <w:sz w:val="18"/>
          <w:szCs w:val="18"/>
          <w:color w:val="auto"/>
        </w:rPr>
      </w:pPr>
    </w:p>
    <w:p>
      <w:pPr>
        <w:ind w:left="1960" w:right="320" w:hanging="433"/>
        <w:spacing w:after="0" w:line="282"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fund or facilitate any activities or business of or with any Person or in any country or territory that, at the time of such funding or facilitation, is the subject of Sanctions; or</w:t>
      </w:r>
    </w:p>
    <w:p>
      <w:pPr>
        <w:spacing w:after="0" w:line="67" w:lineRule="exact"/>
        <w:rPr>
          <w:rFonts w:ascii="Times New Roman" w:cs="Times New Roman" w:eastAsia="Times New Roman" w:hAnsi="Times New Roman"/>
          <w:sz w:val="18"/>
          <w:szCs w:val="18"/>
          <w:color w:val="auto"/>
        </w:rPr>
      </w:pPr>
    </w:p>
    <w:p>
      <w:pPr>
        <w:ind w:left="1960" w:right="60" w:hanging="433"/>
        <w:spacing w:after="0" w:line="282" w:lineRule="auto"/>
        <w:tabs>
          <w:tab w:leader="none" w:pos="19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manner that will result in a violation of Sanctions by any Person (including any Person participating in the offering, whether as underwriter, advisor, investor or otherwise).</w:t>
      </w:r>
    </w:p>
    <w:p>
      <w:pPr>
        <w:spacing w:after="0" w:line="67" w:lineRule="exact"/>
        <w:rPr>
          <w:sz w:val="20"/>
          <w:szCs w:val="20"/>
          <w:color w:val="auto"/>
        </w:rPr>
      </w:pPr>
    </w:p>
    <w:p>
      <w:pPr>
        <w:ind w:left="1520" w:hanging="533"/>
        <w:spacing w:after="0" w:line="266" w:lineRule="auto"/>
        <w:tabs>
          <w:tab w:leader="none" w:pos="1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Entity represents and covenants that it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80"/>
          </w:cols>
          <w:pgMar w:left="880" w:top="270" w:right="439" w:bottom="1440" w:gutter="0" w:footer="0" w:header="0"/>
        </w:sectPr>
      </w:pPr>
    </w:p>
    <w:bookmarkStart w:id="25" w:name="page26"/>
    <w:bookmarkEnd w:id="25"/>
    <w:p>
      <w:pPr>
        <w:ind w:right="120" w:firstLine="948"/>
        <w:spacing w:after="0" w:line="261" w:lineRule="auto"/>
        <w:tabs>
          <w:tab w:leader="none" w:pos="12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Anti-Money Laundering</w:t>
      </w:r>
      <w:r>
        <w:rPr>
          <w:rFonts w:ascii="Times New Roman" w:cs="Times New Roman" w:eastAsia="Times New Roman" w:hAnsi="Times New Roman"/>
          <w:sz w:val="18"/>
          <w:szCs w:val="18"/>
          <w:color w:val="auto"/>
        </w:rPr>
        <w:t>. The operations of the Adviser Entity are and have been conducted at all times in material compliance with all applicable financial recordkeeping and reporting requirements, including the Anti-Money Laundering Laws, and no action, suit or proceeding by or before any court or governmental agency, authority or body or any arbitrator involving the Adviser Entity with respect to the Anti-Money Laundering Laws is pending or, to the best knowledge of the Adviser Entity, threatened.</w:t>
      </w:r>
    </w:p>
    <w:p>
      <w:pPr>
        <w:spacing w:after="0" w:line="71" w:lineRule="exact"/>
        <w:rPr>
          <w:rFonts w:ascii="Times New Roman" w:cs="Times New Roman" w:eastAsia="Times New Roman" w:hAnsi="Times New Roman"/>
          <w:sz w:val="18"/>
          <w:szCs w:val="18"/>
          <w:color w:val="auto"/>
        </w:rPr>
      </w:pPr>
    </w:p>
    <w:p>
      <w:pPr>
        <w:ind w:firstLine="948"/>
        <w:spacing w:after="0" w:line="261" w:lineRule="auto"/>
        <w:tabs>
          <w:tab w:leader="none" w:pos="13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Key Employees</w:t>
      </w:r>
      <w:r>
        <w:rPr>
          <w:rFonts w:ascii="Times New Roman" w:cs="Times New Roman" w:eastAsia="Times New Roman" w:hAnsi="Times New Roman"/>
          <w:sz w:val="18"/>
          <w:szCs w:val="18"/>
          <w:color w:val="auto"/>
        </w:rPr>
        <w:t>. The Adviser is not aware that (i) any of its executives, key employees or significant group of employees plans to terminate employment with the Adviser or (ii) any such executive or key employee is subject to any noncompete, nondisclosure, confidentiality, employment, consulting or similar agreement that would be violated by the Adviser’s present or proposed business activities, except, in each case, as would not reasonably be expected, singly or in the aggregate, to result in an Adviser Material Adverse Effect.</w:t>
      </w:r>
    </w:p>
    <w:p>
      <w:pPr>
        <w:spacing w:after="0" w:line="71" w:lineRule="exact"/>
        <w:rPr>
          <w:rFonts w:ascii="Times New Roman" w:cs="Times New Roman" w:eastAsia="Times New Roman" w:hAnsi="Times New Roman"/>
          <w:sz w:val="18"/>
          <w:szCs w:val="18"/>
          <w:color w:val="auto"/>
        </w:rPr>
      </w:pPr>
    </w:p>
    <w:p>
      <w:pPr>
        <w:jc w:val="both"/>
        <w:ind w:firstLine="948"/>
        <w:spacing w:after="0" w:line="261" w:lineRule="auto"/>
        <w:tabs>
          <w:tab w:leader="none" w:pos="13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Labor Disputes</w:t>
      </w:r>
      <w:r>
        <w:rPr>
          <w:rFonts w:ascii="Times New Roman" w:cs="Times New Roman" w:eastAsia="Times New Roman" w:hAnsi="Times New Roman"/>
          <w:sz w:val="18"/>
          <w:szCs w:val="18"/>
          <w:color w:val="auto"/>
        </w:rPr>
        <w:t>. No labor disturbance by or dispute with employees of the Adviser or any of its subsidiaries exists or, to the knowledge of the Adviser, is contemplated or threatened, and the Adviser is not aware of any existing or imminent labor disturbance by, or dispute with, the employees or any of its or its subsidiaries’ principal suppliers, contractors or customers, except in each case as would not reasonably be expected to result in an Adviser Material Adverse Effect.</w:t>
      </w:r>
    </w:p>
    <w:p>
      <w:pPr>
        <w:spacing w:after="0" w:line="71" w:lineRule="exact"/>
        <w:rPr>
          <w:rFonts w:ascii="Times New Roman" w:cs="Times New Roman" w:eastAsia="Times New Roman" w:hAnsi="Times New Roman"/>
          <w:sz w:val="18"/>
          <w:szCs w:val="18"/>
          <w:color w:val="auto"/>
        </w:rPr>
      </w:pPr>
    </w:p>
    <w:p>
      <w:pPr>
        <w:ind w:right="100" w:firstLine="948"/>
        <w:spacing w:after="0" w:line="254" w:lineRule="auto"/>
        <w:tabs>
          <w:tab w:leader="none" w:pos="14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Controls</w:t>
      </w:r>
      <w:r>
        <w:rPr>
          <w:rFonts w:ascii="Times New Roman" w:cs="Times New Roman" w:eastAsia="Times New Roman" w:hAnsi="Times New Roman"/>
          <w:sz w:val="18"/>
          <w:szCs w:val="18"/>
          <w:color w:val="auto"/>
        </w:rPr>
        <w:t>. The Adviser maintains systems of internal accounting controls sufficient to provide reasonable assurance that (A) transactions effectuated by it under the Investment Management Agreement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w:t>
      </w:r>
    </w:p>
    <w:p>
      <w:pPr>
        <w:spacing w:after="0" w:line="83" w:lineRule="exact"/>
        <w:rPr>
          <w:rFonts w:ascii="Times New Roman" w:cs="Times New Roman" w:eastAsia="Times New Roman" w:hAnsi="Times New Roman"/>
          <w:sz w:val="18"/>
          <w:szCs w:val="18"/>
          <w:color w:val="auto"/>
        </w:rPr>
      </w:pPr>
    </w:p>
    <w:p>
      <w:pPr>
        <w:ind w:right="240" w:firstLine="948"/>
        <w:spacing w:after="0" w:line="266" w:lineRule="auto"/>
        <w:tabs>
          <w:tab w:leader="none" w:pos="13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Resources</w:t>
      </w:r>
      <w:r>
        <w:rPr>
          <w:rFonts w:ascii="Times New Roman" w:cs="Times New Roman" w:eastAsia="Times New Roman" w:hAnsi="Times New Roman"/>
          <w:sz w:val="18"/>
          <w:szCs w:val="18"/>
          <w:color w:val="auto"/>
        </w:rPr>
        <w:t>. The Adviser has the financial resources available to it necessary for the performance of its services and obligations as contemplated by the Registration Statement, the General Disclosure Package, the Prospectus and the Investment Management Agreement.</w:t>
      </w:r>
    </w:p>
    <w:p>
      <w:pPr>
        <w:spacing w:after="0" w:line="67" w:lineRule="exact"/>
        <w:rPr>
          <w:rFonts w:ascii="Times New Roman" w:cs="Times New Roman" w:eastAsia="Times New Roman" w:hAnsi="Times New Roman"/>
          <w:sz w:val="18"/>
          <w:szCs w:val="18"/>
          <w:color w:val="auto"/>
        </w:rPr>
      </w:pPr>
    </w:p>
    <w:p>
      <w:pPr>
        <w:ind w:right="300" w:firstLine="948"/>
        <w:spacing w:after="0" w:line="282" w:lineRule="auto"/>
        <w:tabs>
          <w:tab w:leader="none" w:pos="12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 Any certificate signed by any officer of the Adviser delivered to the Underwriters or to counsel for the Underwriters shall be deemed a representation and warranty by the Adviser to each Underwriter as to the matters covered thereby.</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26" w:name="page27"/>
    <w:bookmarkEnd w:id="26"/>
    <w:p>
      <w:pPr>
        <w:ind w:left="620" w:hanging="184"/>
        <w:spacing w:after="0"/>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Covenants of the Company and the Adviser</w:t>
      </w:r>
      <w:r>
        <w:rPr>
          <w:rFonts w:ascii="Times New Roman" w:cs="Times New Roman" w:eastAsia="Times New Roman" w:hAnsi="Times New Roman"/>
          <w:sz w:val="18"/>
          <w:szCs w:val="18"/>
          <w:color w:val="auto"/>
        </w:rPr>
        <w:t>. Each of the Company and the Adviser agrees:</w:t>
      </w:r>
    </w:p>
    <w:p>
      <w:pPr>
        <w:spacing w:after="0" w:line="117"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such information as may be required and otherwise to cooperate in qualifying the Securities for offering and sale under the securities or blue sky laws of such states or other jurisdictions as you may designate and to use its commercially reasonable efforts to maintain such qualifications in effect so long as you may reasonably request for the distribution of the Securities; provided that, in connection therewith, the Company shall not be required to qualify as a foreign corporation or to file a consent to the service of process under the laws of any such jurisdiction (except a limited consent to service of process with respect to the offering and sale of the Securities); and to advise you promptly of the receipt by the Company of any notification with respect to the suspension of the qualification of the Securities for sale in any jurisdiction or the initiation or threatening of any proceeding for such purpose;</w:t>
      </w:r>
    </w:p>
    <w:p>
      <w:pPr>
        <w:spacing w:after="0" w:line="188"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Underwriters as many copies of the Preliminary Prospectus and the Prospectus (or of the Preliminary Prospectus and the Prospectus as amended or supplemented if the Company shall have made any amendments or supplements thereto) as the Underwriters may reasonably request for the purposes contemplated by the 1933 Act; in case any Underwriter is required to deliver a prospectus after the nine-month period referred to in Section 10(a)(3) of the 1933 Act in connection with the sale of the Securities, the Company will prepare, at the requesting Underwriter’s expense, promptly upon request such amendment or amendments to the Registration Statement and the Prospectus as may be necessary to permit compliance with the requirements of Section 10(a)(3) of the 1933 Act;</w:t>
      </w:r>
    </w:p>
    <w:p>
      <w:pPr>
        <w:spacing w:after="0" w:line="187" w:lineRule="exact"/>
        <w:rPr>
          <w:rFonts w:ascii="Times New Roman" w:cs="Times New Roman" w:eastAsia="Times New Roman" w:hAnsi="Times New Roman"/>
          <w:sz w:val="18"/>
          <w:szCs w:val="18"/>
          <w:color w:val="auto"/>
        </w:rPr>
      </w:pPr>
    </w:p>
    <w:p>
      <w:pPr>
        <w:jc w:val="both"/>
        <w:ind w:right="100" w:firstLine="987"/>
        <w:spacing w:after="0" w:line="261" w:lineRule="auto"/>
        <w:tabs>
          <w:tab w:leader="none" w:pos="12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at the time of this Agreement is executed and delivered, it is necessary for any post-effective amendment to the Registration Statement to be declared effective before the Securities may be sold, the Company will endeavor to cause such post-effective amendment to become effective as soon as possible, and the Company will advise you promptly and, if requested by you, will confirm such advice in writing, when such post-effective amendment has become effective;</w:t>
      </w:r>
    </w:p>
    <w:p>
      <w:pPr>
        <w:spacing w:after="0" w:line="179" w:lineRule="exact"/>
        <w:rPr>
          <w:rFonts w:ascii="Times New Roman" w:cs="Times New Roman" w:eastAsia="Times New Roman" w:hAnsi="Times New Roman"/>
          <w:sz w:val="18"/>
          <w:szCs w:val="18"/>
          <w:color w:val="auto"/>
        </w:rPr>
      </w:pPr>
    </w:p>
    <w:p>
      <w:pPr>
        <w:ind w:right="100" w:firstLine="987"/>
        <w:spacing w:after="0" w:line="254" w:lineRule="auto"/>
        <w:tabs>
          <w:tab w:leader="none" w:pos="124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advise you promptly, and, if requested, confirm such advice in writing,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commercially reasonable efforts to obtain the lifting or removal of such order as soon as possible; to advise you promptly of any proposal to amend or supplement the Registration Statement, the Preliminary Prospectus or the Prospectus, and to provide you and Underwriters’ counsel copies of any such documents for review and comment a reasonable amount of time prior to any proposed filing and to file no such amendment or supplement to which you shall reasonably object in writing (unless such filing is required to maintain compliance with the 1933 Act or the 1940 Act), and to file with the Commission within the applicable period specified in Rule 424 under the 1933 Act any prospectus required to be filed pursuant to such Rule;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27" w:name="page28"/>
    <w:bookmarkEnd w:id="27"/>
    <w:p>
      <w:pPr>
        <w:ind w:firstLine="987"/>
        <w:spacing w:after="0" w:line="255"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the prior consent of the Representatives, (i) to not distribute any offering material related to the offering of the Securities other than the Registration Statement, the General Disclosure Package, the Prospectus or the information set forth on Schedule B hereto, and (ii) to not make any offer relating to the Securities that would constitute a “free writing prospectus” as defined in Rule 405 under the 1933 Act (other than for the information set forth on Schedule B hereto),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88" w:lineRule="exact"/>
        <w:rPr>
          <w:rFonts w:ascii="Times New Roman" w:cs="Times New Roman" w:eastAsia="Times New Roman" w:hAnsi="Times New Roman"/>
          <w:sz w:val="18"/>
          <w:szCs w:val="18"/>
          <w:color w:val="auto"/>
        </w:rPr>
      </w:pPr>
    </w:p>
    <w:p>
      <w:pPr>
        <w:ind w:right="120" w:firstLine="987"/>
        <w:spacing w:after="0" w:line="256" w:lineRule="auto"/>
        <w:tabs>
          <w:tab w:leader="none" w:pos="12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you and to each of the other Underwriters, only to the extent not otherwise available on the Commission’s EDGAR system, for a period of one year from the date of this Agreement (i) copies of any reports, proxy statements, or other communications which the Company shall send to its stockholders or shall from time to time publish or publicly disseminate, (ii) copies of all annual, quarterly and current reports filed with the Commission on Forms 10-K, 10-Q and 8-K, or such other similar forms as may be designated by the Commission, (iii) copies of documents or reports filed with any national securities exchange on which any class of securities of the Company is listed or quoted and (iv) such other information as you may reasonably request regarding the Company;</w:t>
      </w:r>
    </w:p>
    <w:p>
      <w:pPr>
        <w:spacing w:after="0" w:line="187"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you as early as practicable prior to the Closing Time or, if applicable, the Option Closing Time, as the case may be, but not later than two business days prior thereto, a copy of the latest available unaudited interim and monthly consolidated financial statements, if any, of the Company which have been read by the Company’s independent certified public accountants, as stated in their letter to be furnished pursuant to Section 6(c) hereof; provided, however, that this requirement to furnish any such information shall be subject to compliance with applicable law;</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necessary or appropriate, to file a registration statement pursuant to Rule 462(b) under the 1933 Act;</w:t>
      </w:r>
    </w:p>
    <w:p>
      <w:pPr>
        <w:spacing w:after="0" w:line="225" w:lineRule="exact"/>
        <w:rPr>
          <w:rFonts w:ascii="Times New Roman" w:cs="Times New Roman" w:eastAsia="Times New Roman" w:hAnsi="Times New Roman"/>
          <w:sz w:val="18"/>
          <w:szCs w:val="18"/>
          <w:color w:val="auto"/>
        </w:rPr>
      </w:pPr>
    </w:p>
    <w:p>
      <w:pPr>
        <w:ind w:right="140" w:firstLine="987"/>
        <w:spacing w:after="0" w:line="282" w:lineRule="auto"/>
        <w:tabs>
          <w:tab w:leader="none" w:pos="12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will use reasonable best efforts to effect the listing of the Securities on New York Stock Exchange within 30 days of the Closing Time;</w:t>
      </w:r>
    </w:p>
    <w:p>
      <w:pPr>
        <w:spacing w:after="0" w:line="161" w:lineRule="exact"/>
        <w:rPr>
          <w:rFonts w:ascii="Times New Roman" w:cs="Times New Roman" w:eastAsia="Times New Roman" w:hAnsi="Times New Roman"/>
          <w:sz w:val="18"/>
          <w:szCs w:val="18"/>
          <w:color w:val="auto"/>
        </w:rPr>
      </w:pPr>
    </w:p>
    <w:p>
      <w:pPr>
        <w:ind w:right="140" w:firstLine="987"/>
        <w:spacing w:after="0" w:line="255" w:lineRule="auto"/>
        <w:tabs>
          <w:tab w:leader="none" w:pos="12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advise the Underwriters promptly of the happening of any event within the time during which a prospectus relating to the Securities is required to be delivered under the 1933 Act which could require the making of any change in the Preliminary Prospectus (prior to availability of the Prospectus) or the Prospectus then being used so that the General Disclosure Package or the Prospectus would not include an untrue statement of material fact or omit to state a material fact necessary to make the statements therein, in the light of the circumstances under which they are made, not misleading, and, during such time, subject to Section 5(d) hereof, to prepare, at the Company’s expense, and thereafter, at the Underwriters’ expense, and furnish to the Underwriters promptly such amendments or supplements to such preliminary prospectus (prior to availability of the Prospectus) or Prospectus as may be necessary to reflect any such change;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28" w:name="page29"/>
    <w:bookmarkEnd w:id="28"/>
    <w:p>
      <w:pPr>
        <w:ind w:left="-40" w:right="200" w:firstLine="987"/>
        <w:spacing w:after="0" w:line="282" w:lineRule="auto"/>
        <w:tabs>
          <w:tab w:leader="none" w:pos="12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as soon as practicable, the Company will make generally available to its security holders an earnings statement or statements of the Company which will satisfy the provisions of Section 11(a) of the 1933 Act and Rule 158 under the 1933 Act;</w:t>
      </w:r>
    </w:p>
    <w:p>
      <w:pPr>
        <w:spacing w:after="0" w:line="161" w:lineRule="exact"/>
        <w:rPr>
          <w:rFonts w:ascii="Times New Roman" w:cs="Times New Roman" w:eastAsia="Times New Roman" w:hAnsi="Times New Roman"/>
          <w:sz w:val="18"/>
          <w:szCs w:val="18"/>
          <w:color w:val="auto"/>
        </w:rPr>
      </w:pPr>
    </w:p>
    <w:p>
      <w:pPr>
        <w:ind w:left="-40" w:firstLine="987"/>
        <w:spacing w:after="0" w:line="282" w:lineRule="auto"/>
        <w:tabs>
          <w:tab w:leader="none" w:pos="116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the Company will promptly deliver to each Underwriter and Kirkland &amp; Ellis LLP, counsel for the Underwriters, a signed copy of the Registration Statement, as initially filed and all amendments thereto, including all consents and exhibits filed therewith;</w:t>
      </w:r>
    </w:p>
    <w:p>
      <w:pPr>
        <w:spacing w:after="0" w:line="161" w:lineRule="exact"/>
        <w:rPr>
          <w:rFonts w:ascii="Times New Roman" w:cs="Times New Roman" w:eastAsia="Times New Roman" w:hAnsi="Times New Roman"/>
          <w:sz w:val="18"/>
          <w:szCs w:val="18"/>
          <w:color w:val="auto"/>
        </w:rPr>
      </w:pPr>
    </w:p>
    <w:p>
      <w:pPr>
        <w:ind w:left="-40" w:firstLine="987"/>
        <w:spacing w:after="0" w:line="282" w:lineRule="auto"/>
        <w:tabs>
          <w:tab w:leader="none" w:pos="125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apply the net proceeds from the sale of the Securities in the manner set forth under the caption “Use of Proceeds” in the Preliminary Prospectus and the Prospectus;</w:t>
      </w:r>
    </w:p>
    <w:p>
      <w:pPr>
        <w:spacing w:after="0" w:line="161" w:lineRule="exact"/>
        <w:rPr>
          <w:rFonts w:ascii="Times New Roman" w:cs="Times New Roman" w:eastAsia="Times New Roman" w:hAnsi="Times New Roman"/>
          <w:sz w:val="18"/>
          <w:szCs w:val="18"/>
          <w:color w:val="auto"/>
        </w:rPr>
      </w:pPr>
    </w:p>
    <w:p>
      <w:pPr>
        <w:ind w:left="-40" w:right="80" w:firstLine="987"/>
        <w:spacing w:after="0" w:line="266" w:lineRule="auto"/>
        <w:tabs>
          <w:tab w:leader="none" w:pos="12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its commercially reasonable efforts to maintain its status as a business development company; provided, however, the Company may change the nature of its business so as to cease to be, or to withdraw its election as, a business development company, with the approval of the board of directors and a vote of stockholders as required by Section 58 of the 1940 Act or any successor provision;</w:t>
      </w:r>
    </w:p>
    <w:p>
      <w:pPr>
        <w:spacing w:after="0" w:line="175" w:lineRule="exact"/>
        <w:rPr>
          <w:rFonts w:ascii="Times New Roman" w:cs="Times New Roman" w:eastAsia="Times New Roman" w:hAnsi="Times New Roman"/>
          <w:sz w:val="18"/>
          <w:szCs w:val="18"/>
          <w:color w:val="auto"/>
        </w:rPr>
      </w:pPr>
    </w:p>
    <w:p>
      <w:pPr>
        <w:ind w:left="-40" w:right="280" w:firstLine="987"/>
        <w:spacing w:after="0" w:line="266" w:lineRule="auto"/>
        <w:tabs>
          <w:tab w:leader="none" w:pos="12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will use its commercially reasonably efforts to maintain its qualification and election as a regulated investment company under Subchapter M of the Code for each full fiscal year during which it is a business development company under the 1940 Act; provided that, at the discretion of the Company’s board of directors, the Company may elect not to be so treated;</w:t>
      </w:r>
    </w:p>
    <w:p>
      <w:pPr>
        <w:spacing w:after="0" w:line="175" w:lineRule="exact"/>
        <w:rPr>
          <w:rFonts w:ascii="Times New Roman" w:cs="Times New Roman" w:eastAsia="Times New Roman" w:hAnsi="Times New Roman"/>
          <w:sz w:val="18"/>
          <w:szCs w:val="18"/>
          <w:color w:val="auto"/>
        </w:rPr>
      </w:pPr>
    </w:p>
    <w:p>
      <w:pPr>
        <w:ind w:left="-40" w:right="20" w:firstLine="987"/>
        <w:spacing w:after="0" w:line="253" w:lineRule="auto"/>
        <w:tabs>
          <w:tab w:leader="none" w:pos="120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all costs, expenses, fees and taxes incident to the performance of its obligations hereunder, including (i) the preparation and filing of the Registration Statement, the Preliminary Prospectus, the Prospectus, and any amendments or supplements thereto, and the printing and furnishing of copies of the Preliminary Prospectus and Prospectus to the Underwriters and to dealers (including costs of mailing and shipment), (ii) the registration, issue, sale and delivery of the Securities, including the fees, disbursements and expenses of the Company’s counsel and accountants incurred in connection therewith, and any stock or transfer taxes and stamp or similar duties payable upon the sale, issuance or delivery of the Securities to the Underwriters, (iii) the qualification of the Securities for offering and sale under state or foreign laws and the determination of their eligibility for investment under state or foreign law as aforesaid (including the reasonable and documented out-of-pocket legal fees and filing fees and other disbursements of counsel for the Underwriters) and the furnishing of copies of any blue sky surveys or legal investment surveys to the Underwriters and to dealers, (iv) the fees and expenses of the Trustee for the Securities, (v) any filing for review of the public offering of the Securities by FINRA, including the reasonable and documented out-of-pocket legal fees and filing fees and other disbursements of counsel to the Underwriters, (vi) the fees and expenses of listing of the Securities on New York Stock Exchange; (vii) attending or hosting meetings with prospective purchasers of the Securities, including all travel expenses of the Company’s officers, directors, employees and affiliates and any other expense of the Company incurred in connection therewith;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480" w:top="270" w:right="479" w:bottom="1440" w:gutter="0" w:footer="0" w:header="0"/>
        </w:sectPr>
      </w:pPr>
    </w:p>
    <w:bookmarkStart w:id="29" w:name="page30"/>
    <w:bookmarkEnd w:id="29"/>
    <w:p>
      <w:pPr>
        <w:ind w:left="4" w:right="220" w:hanging="4"/>
        <w:spacing w:after="0" w:line="256" w:lineRule="auto"/>
        <w:tabs>
          <w:tab w:leader="none" w:pos="40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fees and disbursements of any transfer agent or registrar for the Securities, and (viv) the performance of the Company’s other obligations hereunder which are not specifically provided for in this Section 5(p). It is understood, however, that except as provided in this Section, Section 8 and Section 9, the Underwriters will pay all of their costs and expenses, including fees and disbursements of their counsel, stock transfer taxes payable in respect of any of the Securities and any advertising expenses connected with any offers they may make. It is further understood that, in the event that this agreement is terminated prior to payment for and delivery of the Securities, the Underwriters will be reimbursed, subject to Section 8, only for actual, accountable out-of-pocket expenses which they have incurred in connection with the transactions contemplated by this Agreement;</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30 days after the date of the Prospectus, the Company will not, without the prior written consent of the Representatives,</w:t>
      </w:r>
    </w:p>
    <w:p>
      <w:pPr>
        <w:spacing w:after="0" w:line="27" w:lineRule="exact"/>
        <w:rPr>
          <w:rFonts w:ascii="Times New Roman" w:cs="Times New Roman" w:eastAsia="Times New Roman" w:hAnsi="Times New Roman"/>
          <w:sz w:val="18"/>
          <w:szCs w:val="18"/>
          <w:color w:val="auto"/>
        </w:rPr>
      </w:pPr>
    </w:p>
    <w:p>
      <w:pPr>
        <w:ind w:left="4" w:hanging="4"/>
        <w:spacing w:after="0" w:line="252" w:lineRule="auto"/>
        <w:tabs>
          <w:tab w:leader="none" w:pos="21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offer, pledge, sell, contract to sell, sell any option or contract to purchase, purchase any option or contract to sell, grant any option, right or warrant to purchase or otherwise transfer or dispose of any debt securities issued or guaranteed by the Company or any securities convertible into or exercisable or exchangeable for debt securities issued or guaranteed by the Company or file any registration statement under the 1933 Act with respect to any of the foregoing or (ii) enter into any swap or any other agreement or any transaction that transfers, in whole or in part, directly or indirectly, the economic consequence of ownership of debt securities issued or guaranteed by the Company or any such other securities, without the prior written consent of the Representatives on behalf of the Underwriters, other than the Securities to be sold hereunder; and</w:t>
      </w:r>
    </w:p>
    <w:p>
      <w:pPr>
        <w:spacing w:after="0" w:line="189" w:lineRule="exact"/>
        <w:rPr>
          <w:rFonts w:ascii="Times New Roman" w:cs="Times New Roman" w:eastAsia="Times New Roman" w:hAnsi="Times New Roman"/>
          <w:sz w:val="18"/>
          <w:szCs w:val="18"/>
          <w:color w:val="auto"/>
        </w:rPr>
      </w:pPr>
    </w:p>
    <w:p>
      <w:pPr>
        <w:ind w:left="4" w:right="100" w:firstLine="987"/>
        <w:spacing w:after="0" w:line="261" w:lineRule="auto"/>
        <w:tabs>
          <w:tab w:leader="none" w:pos="122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use commercially reasonable efforts to maintain a credit rating on the Notes by a rating organization designated as a “nationally recognized statistical rating organization” within the meaning of Section 3(a)(62) of the 1934 Act (a “NRSRO”), whose status has been confirmed by the Securities Valuation Office of the National Association of Insurance Commissioners, provided that no minimum rating will be required.</w:t>
      </w:r>
    </w:p>
    <w:p>
      <w:pPr>
        <w:spacing w:after="0" w:line="179" w:lineRule="exact"/>
        <w:rPr>
          <w:rFonts w:ascii="Times New Roman" w:cs="Times New Roman" w:eastAsia="Times New Roman" w:hAnsi="Times New Roman"/>
          <w:sz w:val="18"/>
          <w:szCs w:val="18"/>
          <w:color w:val="auto"/>
        </w:rPr>
      </w:pPr>
    </w:p>
    <w:p>
      <w:pPr>
        <w:ind w:left="4" w:right="320" w:firstLine="436"/>
        <w:spacing w:after="0" w:line="266" w:lineRule="auto"/>
        <w:tabs>
          <w:tab w:leader="none" w:pos="62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the Underwriters’ Obligations</w:t>
      </w:r>
      <w:r>
        <w:rPr>
          <w:rFonts w:ascii="Times New Roman" w:cs="Times New Roman" w:eastAsia="Times New Roman" w:hAnsi="Times New Roman"/>
          <w:sz w:val="18"/>
          <w:szCs w:val="18"/>
          <w:color w:val="auto"/>
        </w:rPr>
        <w:t>. The several obligations of the Underwriters hereunder are subject to the accuracy of the representations and warranties on the part of the Company and the Adviser on the date hereof and at the Closing Time and Option Closing Time, the performance by the Company and the Adviser of each of its obligations hereunder and to the following additional conditions precedent:</w:t>
      </w:r>
    </w:p>
    <w:p>
      <w:pPr>
        <w:spacing w:after="0" w:line="67" w:lineRule="exact"/>
        <w:rPr>
          <w:rFonts w:ascii="Times New Roman" w:cs="Times New Roman" w:eastAsia="Times New Roman" w:hAnsi="Times New Roman"/>
          <w:sz w:val="18"/>
          <w:szCs w:val="18"/>
          <w:color w:val="auto"/>
        </w:rPr>
      </w:pPr>
    </w:p>
    <w:p>
      <w:pPr>
        <w:ind w:left="4" w:right="80" w:firstLine="987"/>
        <w:spacing w:after="0" w:line="261" w:lineRule="auto"/>
        <w:tabs>
          <w:tab w:leader="none" w:pos="1240"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at the Closing Time and any Option Closing Time, an opinion and negative assurance letter of Dechert LLP, outside counsel for the Company and the Adviser addressed to the Underwriters, and dated the Closing Time and any Option Closing Time, as applicable, in form and substance reasonably satisfactory to counsel for the Underwriters. The opinion of Dechert LLP described in this Section 6(a) shall be rendered to the Underwriters at the request of the Company and shall so state therein.</w:t>
      </w:r>
    </w:p>
    <w:p>
      <w:pPr>
        <w:spacing w:after="0" w:line="179" w:lineRule="exact"/>
        <w:rPr>
          <w:rFonts w:ascii="Times New Roman" w:cs="Times New Roman" w:eastAsia="Times New Roman" w:hAnsi="Times New Roman"/>
          <w:sz w:val="18"/>
          <w:szCs w:val="18"/>
          <w:color w:val="auto"/>
        </w:rPr>
      </w:pPr>
    </w:p>
    <w:p>
      <w:pPr>
        <w:jc w:val="both"/>
        <w:ind w:left="4" w:firstLine="987"/>
        <w:spacing w:after="0" w:line="289" w:lineRule="auto"/>
        <w:tabs>
          <w:tab w:leader="none" w:pos="1250"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Representatives shall have received an opinion of Venable LLP, special counsel for the Company, addressed to the Underwriters, and dated the Closing Time and any Option Closing Time, as applicable, in form and substance reasonably satisfactory to counsel for the Underwriters. The opinion of Venable LLP described in this Section 6(b) shall be rendered to the Underwriters at the request of the Company and shall so state therein.</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0" w:name="page31"/>
    <w:bookmarkEnd w:id="30"/>
    <w:p>
      <w:pPr>
        <w:jc w:val="both"/>
        <w:ind w:right="40" w:firstLine="987"/>
        <w:spacing w:after="0" w:line="261"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Representatives shall have received from RSM US LLP letters dated, respectively, the Applicable Time, the Closing Time and any Option Closing Time, and addressed to the Underwriters in the forms heretofore approved by the Representatives containing statements and information of the type ordinarily included in accountants’ “comfort letters” to underwriters with respect to the financial statements and certain financial information contained in the Registration Statement, the Preliminary Prospectus and the Prospectus.</w:t>
      </w:r>
    </w:p>
    <w:p>
      <w:pPr>
        <w:spacing w:after="0" w:line="179"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Representatives shall have received at the Closing Time and any Option Closing Time the favorable opinion and negative assurance letter of Kirkland &amp; Ellis LLP, counsel for the Underwriters, dated as of the Closing Time and any Option Closing Time, as applicable, with respect to the sale of the Securities and other related matters as the Underwriters may require.</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Time, the Company and the Trustee shall have executed and delivered the Supplemental Indenture and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6"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21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Time, the Securities will be registered pursuant to Section 12(b) of the 1934 Act, and the Company shall have taken no action designed to, or likely to have the effect of, terminating the registration of the Securities under the 1934 Act, nor shall have the Company received any notification that the Commission is contemplating terminating such registration.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or prior to the Closing Time, the application for listing of the Securities shall have been submitted to the New York Stock Exchange.</w:t>
      </w:r>
    </w:p>
    <w:p>
      <w:pPr>
        <w:spacing w:after="0" w:line="236" w:lineRule="exact"/>
        <w:rPr>
          <w:rFonts w:ascii="Times New Roman" w:cs="Times New Roman" w:eastAsia="Times New Roman" w:hAnsi="Times New Roman"/>
          <w:sz w:val="17"/>
          <w:szCs w:val="17"/>
          <w:color w:val="auto"/>
        </w:rPr>
      </w:pPr>
    </w:p>
    <w:p>
      <w:pPr>
        <w:ind w:firstLine="987"/>
        <w:spacing w:after="0" w:line="256"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Time and any Option Closing Time, (i) no stop order with respect to the effectiveness of the Registration Statement shall have been issued under the 1933 Act or, to the Company’s knowledge, proceedings initiated under Section 8(d) or 8(e) of the 1933 Act; (ii) the Registration Statement and all amendments thereto shall not contain an untrue statement of a material fact or omit to state a material fact required to be stated therein or necessary to make the statements therein not misleading; and (iii) the Prospectus, as then amended or supplemented, shall not contain an untrue statement of a material fact or omit to state a material fact required to be stated therein or necessary to make the statements therein, in the light of the circumstances under which they are made, not misleading.</w:t>
      </w:r>
    </w:p>
    <w:p>
      <w:pPr>
        <w:spacing w:after="0" w:line="187" w:lineRule="exact"/>
        <w:rPr>
          <w:rFonts w:ascii="Times New Roman" w:cs="Times New Roman" w:eastAsia="Times New Roman" w:hAnsi="Times New Roman"/>
          <w:sz w:val="18"/>
          <w:szCs w:val="18"/>
          <w:color w:val="auto"/>
        </w:rPr>
      </w:pPr>
    </w:p>
    <w:p>
      <w:pPr>
        <w:ind w:firstLine="987"/>
        <w:spacing w:after="0" w:line="266" w:lineRule="auto"/>
        <w:tabs>
          <w:tab w:leader="none" w:pos="12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time of execution of this Agreement and the Closing Time and any Option Closing Time, no material adverse change or any development involving a prospective material adverse change in the business, properties, management, financial condition or results of operations of the Company, the Subsidiary or the Adviser, taken as a whole, shall occur or become known.</w:t>
      </w:r>
    </w:p>
    <w:p>
      <w:pPr>
        <w:spacing w:after="0" w:line="175" w:lineRule="exact"/>
        <w:rPr>
          <w:rFonts w:ascii="Times New Roman" w:cs="Times New Roman" w:eastAsia="Times New Roman" w:hAnsi="Times New Roman"/>
          <w:sz w:val="18"/>
          <w:szCs w:val="18"/>
          <w:color w:val="auto"/>
        </w:rPr>
      </w:pPr>
    </w:p>
    <w:p>
      <w:pPr>
        <w:ind w:firstLine="987"/>
        <w:spacing w:after="0" w:line="261" w:lineRule="auto"/>
        <w:tabs>
          <w:tab w:leader="none" w:pos="120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time of execution of this Agreement and the Closing Time and any Option Closing Time, there shall not have been any decrease in or withdrawal of the rating of any securities of the Company or any of its Subsidiaries by any NRSRO or any notice given of any intended or potential decrease in or withdrawal of any such rating or of a possible change in any such rating that does not indicate the direction of the possible change.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1" w:name="page32"/>
    <w:bookmarkEnd w:id="31"/>
    <w:p>
      <w:pPr>
        <w:ind w:right="160" w:firstLine="987"/>
        <w:spacing w:after="0" w:line="282" w:lineRule="auto"/>
        <w:tabs>
          <w:tab w:leader="none" w:pos="124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of the Company and the Adviser will, at the Closing Time and any Option Closing Time, deliver to you a certificate of its Chief Executive Officer and Chief Financial Officer in the form attached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right="140" w:firstLine="987"/>
        <w:spacing w:after="0" w:line="266" w:lineRule="auto"/>
        <w:tabs>
          <w:tab w:leader="none" w:pos="120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furnished to you such other documents and certificates as to the accuracy and completeness of any statement in the Registration Statement, the General Disclosure Package and the Prospectus as of the Closing Time and any Option Closing Time, as the Representatives may reasonably request.</w:t>
      </w:r>
    </w:p>
    <w:p>
      <w:pPr>
        <w:spacing w:after="0" w:line="175" w:lineRule="exact"/>
        <w:rPr>
          <w:rFonts w:ascii="Times New Roman" w:cs="Times New Roman" w:eastAsia="Times New Roman" w:hAnsi="Times New Roman"/>
          <w:sz w:val="18"/>
          <w:szCs w:val="18"/>
          <w:color w:val="auto"/>
        </w:rPr>
      </w:pPr>
    </w:p>
    <w:p>
      <w:pPr>
        <w:ind w:firstLine="436"/>
        <w:spacing w:after="0" w:line="252"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obligations of the several Underwriters hereunder shall be subject to termination in the absolute discretion of any of the Representatives, if (x) since the time of execution of this Agreement or the earlier respective dates as of which information is given in the Registration Statement, the Preliminary Prospectus and the Prospectus, there has been any material adverse change or any development involving a prospective material adverse change in the business, properties, management, financial condition, prospects or results of operations of the Company or the Adviser, taken as a whole, which would, in any of the Representatives’ judgment or in the judgment of such group of Underwriters, make it impracticable or inadvisable to proceed with the public offering or the delivery of the Securities on the terms and in the manner contemplated in the Registration Statement, the Preliminary Prospectus and the Prospectus, or (y) since execution of this Agreement, there shall have occurred: (i) a suspension or material limitation in trading in securities generally on the New York Stock Exchange or the Nasdaq Global Select Market; (ii) a suspension or material limitation in trading in the Company’s securities on the New York Stock Exchange; (iii) a general moratorium on commercial banking activities declared by either federal or New York State authorities or a material disruption in commercial banking or securities settlement, payment or clearance services in the United States; (iv) an outbreak or escalation of hostilities or acts of terrorism involving the United States or a declaration by the United States of a national emergency or war; or (v) any other calamity or crisis or any change in financial, political or economic conditions in the United States or elsewhere, if the effect of any such event specified in clause (iv) or (v) in any of the Representatives’ judgment or in the judgment of such group of Underwriters makes it impracticable or inadvisable to proceed with the public offering or the delivery of the Securities on the terms and in the manner contemplated in the Registration Statement, the Preliminary Prospectus and the Prospectus.</w:t>
      </w:r>
    </w:p>
    <w:p>
      <w:pPr>
        <w:spacing w:after="0" w:line="19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If the sale to the Underwriters of the Securities,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 5(p) and Section 9 hereof), and the Underwriters shall be under no obligation or liability to the Company under this Agreement (except to the extent provided in Section 9 hereof) or to one another hereunder.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2" w:name="page33"/>
    <w:bookmarkEnd w:id="32"/>
    <w:p>
      <w:pPr>
        <w:ind w:right="20" w:firstLine="436"/>
        <w:spacing w:after="0" w:line="253" w:lineRule="auto"/>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 in Underwriters’ Commitments</w:t>
      </w:r>
      <w:r>
        <w:rPr>
          <w:rFonts w:ascii="Times New Roman" w:cs="Times New Roman" w:eastAsia="Times New Roman" w:hAnsi="Times New Roman"/>
          <w:sz w:val="18"/>
          <w:szCs w:val="18"/>
          <w:color w:val="auto"/>
        </w:rPr>
        <w:t>. Subject to Sections 6 and 7 hereof, if any Underwriter shall default in its obligation to take up and pay for the Securities to be purchased by it hereunder (otherwise than for a failure of a condition set forth in Section 6 hereof or a reason sufficient to justify the termination of this Agreement under the provisions of Section 7 hereof) and if the aggregate principal amount of Securities which all Underwriters so defaulting shall have agreed but failed to take up and pay for does not exceed 10% of the aggregate principal amount of Securities to be purchased, the non-defaulting Underwriters shall take up and pay for (in addition to the aggregate principal amount of Securities they are obligated to purchase pursuant to Section 1 hereof) the aggregate principal amount of Securities agreed to be purchased by all such defaulting Underwriters, as hereinafter provided. Such aggregate principal amount of Securities shall be taken up and paid for by such non-defaulting Underwriters in such amount or amounts as the Representatives may designate with the consent of each Underwriter so designated or, in the event no such designation is made, such aggregate principal amount of Securities shall be taken up and paid for by all non-defaulting Underwriters pro rata in proportion to the aggregate principal amount of Securities set opposite the names of such non-defaulting Underwriters in Schedule A.</w:t>
      </w:r>
    </w:p>
    <w:p>
      <w:pPr>
        <w:spacing w:after="0" w:line="19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Without relieving any defaulting Underwriter from its obligations hereunder, the Company agrees with the non-defaulting Underwriters that it will not sell any Securities hereunder unless all of the Securities are purchased by the Underwriters (or by substituted Underwriters selected by you with the approval of the Company or selected by the Company with your approval).</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If a new Underwriter or Underwriters are substituted by the Underwriters or by the Company for a defaulting Underwriter or Underwriters in accordance with the foregoing provision, the Company or you shall have the right to postpone the Closing Time or the relevant Option Closing Time for a period not exceeding five business days in order that any necessary changes in the Registration Statement and the Prospectus and other documents may be effected.</w:t>
      </w:r>
    </w:p>
    <w:p>
      <w:pPr>
        <w:spacing w:after="0" w:line="180"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term Underwriter as used in this Agreement shall refer to and include any Underwriter substituted under this Section 8 with like effect as if such substituted Underwriter had originally been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0" w:firstLine="440"/>
        <w:spacing w:after="0" w:line="254" w:lineRule="auto"/>
        <w:rPr>
          <w:sz w:val="20"/>
          <w:szCs w:val="20"/>
          <w:color w:val="auto"/>
        </w:rPr>
      </w:pPr>
      <w:r>
        <w:rPr>
          <w:rFonts w:ascii="Times New Roman" w:cs="Times New Roman" w:eastAsia="Times New Roman" w:hAnsi="Times New Roman"/>
          <w:sz w:val="18"/>
          <w:szCs w:val="18"/>
          <w:color w:val="auto"/>
        </w:rPr>
        <w:t>If the aggregate principal amount of Securities which the defaulting Underwriter or Underwriters agreed to purchase exceeds 10% of the total aggregate principal amount of Securities which all Underwriters agreed to purchase hereunder, and if neither the non-defaulting Underwriters nor the Company shall make arrangements within the five business day-period stated above for the purchase of all the Securities which the defaulting Underwriter or Underwriters agreed to purchase hereunder, this Agreement shall terminate without further act or deed and without any liability on the part of the Company to any non-defaulting Underwriter (except as provided in Section 9) and without any liability on the part of</w:t>
      </w:r>
    </w:p>
    <w:p>
      <w:pPr>
        <w:spacing w:after="0" w:line="3"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any non-defaulting Underwriter to the Company. Nothing in this paragraph, and no action taken hereunder, shall relieve any defaulting Underwriter from liability in respect of any default of such Underwriter under this Agreement.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33" w:name="page34"/>
    <w:bookmarkEnd w:id="33"/>
    <w:p>
      <w:pPr>
        <w:ind w:left="620" w:hanging="184"/>
        <w:spacing w:after="0"/>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Indemnity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indemnify, defend and hold harmless each Underwriter, its partners, directors and officers, and any person who controls any Underwriter within the meaning of Section 15 of the 1933 Act or Section 20 of the 1934 Act, each affiliate of any Underwriter within the meaning of Rule 405 under the 1933 Act that is involved in the offering of the Securities, and the successors and assigns of all of the foregoing persons, from and against any loss, damage, expense, liability or claim (including the reasonable cost of any investigation incurred in connection therewith) which, jointly or severally, any such Underwriter or any such person may incur under the 1933 Act, the 1934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the General Disclosure Package, any Offering Materials or the Prospectus (as amended or supplemented by the Company), or arising out of or based upon any omission or alleged omission to state a material fact required to be stated in either the Registration Statement, the General Disclosure Package, any Offering Materials or the Prospectus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the Representatives to the Company expressly for use in the Registration Statement, the General Disclosure Package, any Offering Materials or the Prospectus, it being understood and agreed that the only such information is that set forth in Section 10, or arising out of or based upon any omission or alleged omission to state a material fact in connection with such information required to be stated in the Registration Statement, the General Disclosure Package, any Offering Materials or the Prospectus or necessary to make such information not misleading or (ii) any untrue statement or alleged untrue statement made by the Company in Section 3 hereof or the failure by the Company to perform when and as required any agreement or covenant contained herein.</w:t>
      </w:r>
    </w:p>
    <w:p>
      <w:pPr>
        <w:spacing w:after="0" w:line="19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 agrees to indemnify, defend and hold harmless each Underwriter and each other person specified in subsection (a) of this</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Section 9 from and against any loss, damage, expense, liability or claim (including the reasonable cost of any investigation incurred in connection therewith) any such Underwriter or any such other person may incur as specified in such subsection, insofar as such loss, damage, expense, liability or claim arises out of or is based upon (x) any untrue statement or alleged untrue statement of a material fact contained in the Registration Statement (or in the Registration Statement as amended by any post-effective amendment thereof by the Company), the General Disclosure Package, any Offering Materials or the Prospectus (as amended or supplemented by the Company) or arising out of or is based upon any omission or alleged omission to state a material fact required to be stated in either the Registration Statement, the General Disclosure Package, any Offering Materials or the Prospectus or necessary to make the statements made therein not misleading or (y) any untrue statement or alleged untrue statement made by the Adviser in Section 4 hereof.</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34" w:name="page35"/>
    <w:bookmarkEnd w:id="34"/>
    <w:p>
      <w:pPr>
        <w:ind w:left="-20" w:firstLine="436"/>
        <w:spacing w:after="0" w:line="253" w:lineRule="auto"/>
        <w:tabs>
          <w:tab w:leader="none" w:pos="6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Underwriter severally and not jointly agrees to indemnify, defend and hold harmless the Company and the Adviser, their directors, partners and officers, and any person who controls the Company or the Adviser within the meaning of Section 15 of the 1933 Act or Section 20 of the 1934 Act, and the successors and assigns of all of the foregoing persons, from and against any loss, damage, expense, liability or claim (including the reasonable cost of any investigation incurred in connection therewith) which, jointly or severally, the Company or the Adviser, or any such person may incur under the 1933 Act, the 1934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the Representatives to the Company expressly for use in the Registration Statement (or in the Registration Statement as amended by any post-effective amendment thereof by the Company), the General Disclosure Package or the Prospectus, or arises out of or is based upon any omission or alleged omission to state a material fact in connection with such information required to be stated in the Registration Statement, the General Disclosure Package or the Prospectus or necessary to make such information not misleading, it being understood and agreed that the only such information is that set forth in Section 10.</w:t>
      </w:r>
    </w:p>
    <w:p>
      <w:pPr>
        <w:spacing w:after="0" w:line="191" w:lineRule="exact"/>
        <w:rPr>
          <w:rFonts w:ascii="Times New Roman" w:cs="Times New Roman" w:eastAsia="Times New Roman" w:hAnsi="Times New Roman"/>
          <w:sz w:val="18"/>
          <w:szCs w:val="18"/>
          <w:color w:val="auto"/>
        </w:rPr>
      </w:pPr>
    </w:p>
    <w:p>
      <w:pPr>
        <w:ind w:left="-20" w:right="40" w:firstLine="436"/>
        <w:spacing w:after="0" w:line="252" w:lineRule="auto"/>
        <w:tabs>
          <w:tab w:leader="none" w:pos="6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proceeding (including any governmental investigation) shall be instituted involving any person in respect of which indemnity may be sought pursuant to Section 9(a), 9(b) or 9(c), such person (the “indemnified party”) shall promptly notify the person against whom such indemnity may be sought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 in the case of parties indemnified pursuant to Section 9(a) or 9(b), and by the Company, in the case of parties indemnified pursuant to Section 9(c).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60" w:top="270" w:right="479" w:bottom="1440" w:gutter="0" w:footer="0" w:header="0"/>
        </w:sectPr>
      </w:pPr>
    </w:p>
    <w:bookmarkStart w:id="35" w:name="page36"/>
    <w:bookmarkEnd w:id="35"/>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(i) such settlement includes an unconditional release of such indemnified party from all liability on claims that are the subject matter of such proceeding and (ii) does not include a statement as to or an admission of fault, culpability or a failure to act by or on behalf of any indemnified party.</w:t>
      </w:r>
    </w:p>
    <w:p>
      <w:pPr>
        <w:spacing w:after="0" w:line="183" w:lineRule="exact"/>
        <w:rPr>
          <w:sz w:val="20"/>
          <w:szCs w:val="20"/>
          <w:color w:val="auto"/>
        </w:rPr>
      </w:pPr>
    </w:p>
    <w:p>
      <w:pPr>
        <w:ind w:firstLine="436"/>
        <w:spacing w:after="0" w:line="252" w:lineRule="auto"/>
        <w:tabs>
          <w:tab w:leader="none" w:pos="68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indemnification provided for in this Section 9 is unavailable to an indemnified party under subsections (a), (b) and (c)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and the Adviser on the one hand and the Underwriters on the other hand from the offering of the Securities or (ii) if the allocation provided by clause (i) above is not permitted by applicable law, in such proportion as is appropriate to reflect not only the relative benefits referred to in clause (i) above but also the relative fault of the Company and the Adviser on the one hand and of the Underwriters on the other in connection with the statements or omissions which resulted in such losses, damages, expenses, liabilities or claims, as well as any other relevant equitable considerations. The relative benefits received by the Company and the Adviser on the one hand and the Underwriters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Underwriters, bear to the aggregate public offering price of the Securities. The relative fault of the Company and the Adviser on the one hand and of the Underwriters on the other shall be determined by reference to, among other things, whether the untrue statement or alleged untrue statement of a material fact or omission or alleged omission to state a material fact relates to information supplied by such party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194" w:lineRule="exact"/>
        <w:rPr>
          <w:rFonts w:ascii="Times New Roman" w:cs="Times New Roman" w:eastAsia="Times New Roman" w:hAnsi="Times New Roman"/>
          <w:sz w:val="18"/>
          <w:szCs w:val="18"/>
          <w:color w:val="auto"/>
        </w:rPr>
      </w:pPr>
    </w:p>
    <w:p>
      <w:pPr>
        <w:ind w:firstLine="436"/>
        <w:spacing w:after="0" w:line="254" w:lineRule="auto"/>
        <w:tabs>
          <w:tab w:leader="none" w:pos="6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Adviser and the Underwriters agree that it would not be just and equitable if contribution pursuant to this Section 9 were determined by pro rata allocation (even if the Underwriters were treated as one entity for such purpose) or by any other method of allocation that does not take account of the equitable considerations referred to in subsection (d) above. Notwithstanding the provisions of this Section 9, no Underwriter shall be required to contribute any amount in excess of the amount by which the total price at which the Securities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1933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36" w:name="page37"/>
    <w:bookmarkEnd w:id="36"/>
    <w:p>
      <w:pPr>
        <w:ind w:firstLine="436"/>
        <w:spacing w:after="0" w:line="253"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indemnity and contribution agreements contained in this Section 9 and the covenants, warranties and representations of the Company and the Adviser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1933 Act or Section 20 of the 1934 Act, or any affiliate of any Underwriter within the meaning of Rule 405 under the 1933 Act that is involved in the Offering, or any successors or assigns of all of the foregoing persons, or by or on behalf of the Company, its directors or officers or any person who controls the Company within the meaning of Section 15 of the 1933 Act or Section 20 of the 1934 Act, and shall survive any termination of this Agreement or the issuance and delivery of the Securities. The Company and the Adviser agree promptly to notify each Underwriter of the commencement of any proceeding against it and, in the case of the Company or the Adviser, against any of the Company’s officers or directors or the Adviser or its partners or officers in connection with the issuance and sale of the Securities or in connection with the Registration Statement, the Preliminary Prospectus or the Prospectus; provided, however, that the omission to so notify such Underwriter shall not relieve such Underwriter from any liability which such Underwriter may have to the Company or the Adviser, or any such person or otherwise.</w:t>
      </w:r>
    </w:p>
    <w:p>
      <w:pPr>
        <w:spacing w:after="0" w:line="191" w:lineRule="exact"/>
        <w:rPr>
          <w:rFonts w:ascii="Times New Roman" w:cs="Times New Roman" w:eastAsia="Times New Roman" w:hAnsi="Times New Roman"/>
          <w:sz w:val="18"/>
          <w:szCs w:val="18"/>
          <w:color w:val="auto"/>
        </w:rPr>
      </w:pPr>
    </w:p>
    <w:p>
      <w:pPr>
        <w:ind w:right="400" w:firstLine="436"/>
        <w:spacing w:after="0" w:line="282"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any indemnification and contribution by the Company shall be subject to the requirements and limitations of Section 17(i) of the 1940 Act and any applicable guidance from the Commission or its staff thereunder.</w:t>
      </w:r>
    </w:p>
    <w:p>
      <w:pPr>
        <w:spacing w:after="0" w:line="162" w:lineRule="exact"/>
        <w:rPr>
          <w:sz w:val="20"/>
          <w:szCs w:val="20"/>
          <w:color w:val="auto"/>
        </w:rPr>
      </w:pPr>
    </w:p>
    <w:p>
      <w:pPr>
        <w:ind w:right="60" w:firstLine="436"/>
        <w:spacing w:after="0" w:line="258" w:lineRule="auto"/>
        <w:tabs>
          <w:tab w:leader="none" w:pos="71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Furnished by the Underwriters</w:t>
      </w:r>
      <w:r>
        <w:rPr>
          <w:rFonts w:ascii="Times New Roman" w:cs="Times New Roman" w:eastAsia="Times New Roman" w:hAnsi="Times New Roman"/>
          <w:sz w:val="18"/>
          <w:szCs w:val="18"/>
          <w:color w:val="auto"/>
        </w:rPr>
        <w:t>. The Company acknowledges that, for purposes of this Agreement, (i) the names of the underwriters set forth in the table following the first paragraph under the heading “Underwriting”, (ii) the sentences relating to concessions, and (iii) the first, second, fifth and seventh sentences under the heading “Underwriting—Price Stabilization, Short Positions” in the Preliminary Prospectus and the Prospectus, constitute the only information furnished by or on behalf of the several Underwriters for inclusion in the Preliminary Prospectus and the Prospectus.</w:t>
      </w:r>
    </w:p>
    <w:p>
      <w:pPr>
        <w:spacing w:after="0" w:line="183" w:lineRule="exact"/>
        <w:rPr>
          <w:rFonts w:ascii="Times New Roman" w:cs="Times New Roman" w:eastAsia="Times New Roman" w:hAnsi="Times New Roman"/>
          <w:sz w:val="18"/>
          <w:szCs w:val="18"/>
          <w:color w:val="auto"/>
        </w:rPr>
      </w:pPr>
    </w:p>
    <w:p>
      <w:pPr>
        <w:ind w:right="100" w:firstLine="436"/>
        <w:spacing w:after="0" w:line="235" w:lineRule="auto"/>
        <w:tabs>
          <w:tab w:leader="none" w:pos="703"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Except as otherwise herein provided, all statements, requests, notices and agreements shall be in writing or by telegram and, if to the Underwriters, shall be sufficient in all respects if delivered or sent to Morgan Stanley &amp; Co. LLC at 1585 Broadway, 34</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Floor, New York, New York 10036, Attention: Investment Grade Syndicate Desk; Goldman Sachs &amp; Co. LLC, 200 West Street, New York, New York 10282-2198, Attention:</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Registration Department; Keefe, Bruyette &amp; Woods, Inc., 787 Seventh Avenue, New York, New York 10019, Attention: Capital Markets; RBC Capital</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Markets, LLC, Brookfield Place, 200 Vesey Street, 8th Floor, New York, New York 10281, Tel: (212) 618-7706, TMGUS@rbccm.com, Attention:</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DCM Transaction Management/Scott Primrose; and UBS Securities LLC, 11 Madison Avenue, New York, New York 10010, Tel: (203) 719-1088,</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dl-synd-stamford@ubs.com, Attention: Fixed Income Syndicate, and a copy, which shall not constitute notice, to Kirkland &amp; Ellis LLP, 1301</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40" w:top="270" w:right="479" w:bottom="1440" w:gutter="0" w:footer="0" w:header="0"/>
        </w:sectPr>
      </w:pPr>
    </w:p>
    <w:bookmarkStart w:id="37" w:name="page38"/>
    <w:bookmarkEnd w:id="3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Pennsylvania Avenue NW, Washington, DC 20004, attention of William J. Tuttle, P.C. and Erin M. Lett; and, if to the Company or the Adviser shall be sufficient in all respects if delivered or sent to the Company at the offices of the Company at 1691 Michigan Avenue, Suite 500, Miami Beach, Florida 33139, facsimile no. (212) 905-1075, Attention: Arthur Penn, Chief Executive Officer, and a copy, which shall not constitute notice to Dechert LLP, One International Place, 40th Floor, 100 Oliver Street, Boston, MA 02110-2605, attention of Thomas J. Friedmann and Ross MacConnell.</w:t>
      </w:r>
    </w:p>
    <w:p>
      <w:pPr>
        <w:spacing w:after="0" w:line="180" w:lineRule="exact"/>
        <w:rPr>
          <w:sz w:val="20"/>
          <w:szCs w:val="20"/>
          <w:color w:val="auto"/>
        </w:rPr>
      </w:pPr>
    </w:p>
    <w:p>
      <w:pPr>
        <w:ind w:right="240" w:firstLine="436"/>
        <w:spacing w:after="0" w:line="258"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Construction</w:t>
      </w:r>
      <w:r>
        <w:rPr>
          <w:rFonts w:ascii="Times New Roman" w:cs="Times New Roman" w:eastAsia="Times New Roman" w:hAnsi="Times New Roman"/>
          <w:sz w:val="18"/>
          <w:szCs w:val="18"/>
          <w:color w:val="auto"/>
        </w:rPr>
        <w:t>. This Agreement and any claim, counterclaim or dispute of any kind or nature whatsoever arising out of or in any way relating to this Agreement (“Claim”), directly or indirectly, shall be governed by, and construed in accordance with, the laws of the State of New York applicable to contracts formed and to be performed entirely within the State of New York, without regard to the applicability or effect of conflict of law principles or rules thereof, to the extent such principles would require or permit the application of the laws of another jurisdiction. The section headings in this Agreement have been inserted as a matter of convenience of reference and are not a part of this Agreement.</w:t>
      </w:r>
    </w:p>
    <w:p>
      <w:pPr>
        <w:spacing w:after="0" w:line="183" w:lineRule="exact"/>
        <w:rPr>
          <w:rFonts w:ascii="Times New Roman" w:cs="Times New Roman" w:eastAsia="Times New Roman" w:hAnsi="Times New Roman"/>
          <w:sz w:val="18"/>
          <w:szCs w:val="18"/>
          <w:color w:val="auto"/>
        </w:rPr>
      </w:pPr>
    </w:p>
    <w:p>
      <w:pPr>
        <w:ind w:firstLine="436"/>
        <w:spacing w:after="0" w:line="270" w:lineRule="auto"/>
        <w:tabs>
          <w:tab w:leader="none" w:pos="71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Submission to Jurisdiction</w:t>
      </w:r>
      <w:r>
        <w:rPr>
          <w:rFonts w:ascii="Times New Roman" w:cs="Times New Roman" w:eastAsia="Times New Roman" w:hAnsi="Times New Roman"/>
          <w:sz w:val="17"/>
          <w:szCs w:val="17"/>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Company and the Adviser consents to the jurisdiction of such courts and personal service with respect thereto. Each of the Company and the Adviser hereby consents to personal jurisdiction, service and venue in any court in which any Claim arising out of or in any way relating to this Agreement is brought by any third party against the Representatives or any indemnified party. Each of the Representatives, the Company (on its behalf and, to the extent permitted by applicable law, on behalf of its stockholders and affiliates) and the Adviser waives all right to trial by jury in any action, proceeding or counterclaim (whether based upon contract, tort or otherwise) in any way arising out of or relating to this Agreement. Each of the Company and the Adviser agrees that a final judgment in any such action, proceeding or counterclaim brought in any such court shall be conclusive and binding upon the Company and the Adviser, as appropriate, and may be enforced in any other courts to the jurisdiction of which the Company and the Adviser, as appropriate, is or may be subject, by suit upon such judgment.</w:t>
      </w:r>
    </w:p>
    <w:p>
      <w:pPr>
        <w:spacing w:after="0" w:line="176" w:lineRule="exact"/>
        <w:rPr>
          <w:rFonts w:ascii="Times New Roman" w:cs="Times New Roman" w:eastAsia="Times New Roman" w:hAnsi="Times New Roman"/>
          <w:sz w:val="17"/>
          <w:szCs w:val="17"/>
          <w:color w:val="auto"/>
        </w:rPr>
      </w:pPr>
    </w:p>
    <w:p>
      <w:pPr>
        <w:ind w:right="60" w:firstLine="436"/>
        <w:spacing w:after="0" w:line="261"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Parties at Interes</w:t>
      </w:r>
      <w:r>
        <w:rPr>
          <w:rFonts w:ascii="Times New Roman" w:cs="Times New Roman" w:eastAsia="Times New Roman" w:hAnsi="Times New Roman"/>
          <w:sz w:val="18"/>
          <w:szCs w:val="18"/>
          <w:color w:val="auto"/>
        </w:rPr>
        <w:t>t. The Agreement herein set forth has been and is made solely for the benefit of the Underwriters and the Company and to the extent provided in Section 9 hereof the controlling persons, partners, directors, officers and affiliates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spacing w:after="0" w:line="179" w:lineRule="exact"/>
        <w:rPr>
          <w:rFonts w:ascii="Times New Roman" w:cs="Times New Roman" w:eastAsia="Times New Roman" w:hAnsi="Times New Roman"/>
          <w:sz w:val="18"/>
          <w:szCs w:val="18"/>
          <w:color w:val="auto"/>
        </w:rPr>
      </w:pPr>
    </w:p>
    <w:p>
      <w:pPr>
        <w:ind w:right="360" w:firstLine="436"/>
        <w:spacing w:after="0" w:line="258" w:lineRule="auto"/>
        <w:tabs>
          <w:tab w:leader="none" w:pos="71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by the parties in one or more counterparts which together shall constitute one and the same agreement among the parties.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38" w:name="page39"/>
    <w:bookmarkEnd w:id="38"/>
    <w:p>
      <w:pPr>
        <w:ind w:right="260" w:firstLine="436"/>
        <w:spacing w:after="0" w:line="266" w:lineRule="auto"/>
        <w:tabs>
          <w:tab w:leader="none" w:pos="7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Successors and Assigns</w:t>
      </w:r>
      <w:r>
        <w:rPr>
          <w:rFonts w:ascii="Times New Roman" w:cs="Times New Roman" w:eastAsia="Times New Roman" w:hAnsi="Times New Roman"/>
          <w:sz w:val="18"/>
          <w:szCs w:val="18"/>
          <w:color w:val="auto"/>
        </w:rPr>
        <w:t>. This Agreement shall be binding upon the Underwriters, the Company and the Adviser and their successors and assigns and any successor or assign of any substantial portion of the Company’s and the Adviser’s and any of the Underwriters’ respective businesses and/or assets.</w:t>
      </w:r>
    </w:p>
    <w:p>
      <w:pPr>
        <w:spacing w:after="0" w:line="175" w:lineRule="exact"/>
        <w:rPr>
          <w:rFonts w:ascii="Times New Roman" w:cs="Times New Roman" w:eastAsia="Times New Roman" w:hAnsi="Times New Roman"/>
          <w:sz w:val="18"/>
          <w:szCs w:val="18"/>
          <w:color w:val="auto"/>
        </w:rPr>
      </w:pPr>
    </w:p>
    <w:p>
      <w:pPr>
        <w:ind w:right="40" w:firstLine="436"/>
        <w:spacing w:after="0" w:line="252" w:lineRule="auto"/>
        <w:tabs>
          <w:tab w:leader="none" w:pos="71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w:t>
      </w:r>
      <w:r>
        <w:rPr>
          <w:rFonts w:ascii="Times New Roman" w:cs="Times New Roman" w:eastAsia="Times New Roman" w:hAnsi="Times New Roman"/>
          <w:sz w:val="18"/>
          <w:szCs w:val="18"/>
          <w:color w:val="auto"/>
        </w:rPr>
        <w:t>. Each of the Company and the Adviser acknowledges and agrees that (i) the sale through the Underwriters of the Securities pursuant to this Agreement, including the determination of the public offering price of the Securities and any related compensation, discounts or commissions, is an arm’s-length commercial transaction between the Company and the Adviser, on the one hand, and the Underwriters, on the other hand, (ii) in connection with the offering of the Securities and the process leading to such transactions each Underwriter will act solely as an agent and not as a fiduciary of the Company or the Adviser, or any of their respective stockholders, members, creditors or employees, or any other party, (iii) no Underwriter will assume an advisory or fiduciary responsibility in favor of the Company or the Adviser with respect to the offering of Securities contemplated hereby or the process leading thereto (irrespective of whether such Underwriter has advised or is currently advising the Company or the Adviser on other matters) and no Underwriter will have any obligation to the Company or the Adviser with respect to the offering of Securities except the obligations expressly set forth herein, (iv) each Underwriter and its respective affiliates may be engaged in a broad range of transactions that involve interests that differ from those of the Company and the Adviser, (v) no Underwriter has provided and will provide any legal, accounting, regulatory or tax advice with respect to the offering of the Securities and each of the Company and the Adviser has consulted and will consult its own legal, accounting, regulatory and tax advisors to the extent it deems appropriate and (vi)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19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Recognition of the U.S. Special Resolution Regimes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61" w:lineRule="auto"/>
        <w:tabs>
          <w:tab w:leader="none" w:pos="123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79" w:lineRule="exact"/>
        <w:rPr>
          <w:rFonts w:ascii="Times New Roman" w:cs="Times New Roman" w:eastAsia="Times New Roman" w:hAnsi="Times New Roman"/>
          <w:sz w:val="18"/>
          <w:szCs w:val="18"/>
          <w:color w:val="auto"/>
        </w:rPr>
      </w:pPr>
    </w:p>
    <w:p>
      <w:pPr>
        <w:ind w:right="80" w:firstLine="987"/>
        <w:spacing w:after="0" w:line="261" w:lineRule="auto"/>
        <w:tabs>
          <w:tab w:leader="none" w:pos="1246"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39" w:name="page40"/>
    <w:bookmarkEnd w:id="39"/>
    <w:p>
      <w:pPr>
        <w:ind w:left="4" w:firstLine="987"/>
        <w:spacing w:after="0" w:line="254" w:lineRule="auto"/>
        <w:tabs>
          <w:tab w:leader="none" w:pos="12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18,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w:t>
      </w:r>
    </w:p>
    <w:p>
      <w:pPr>
        <w:spacing w:after="0" w:line="3" w:lineRule="exact"/>
        <w:rPr>
          <w:rFonts w:ascii="Times New Roman" w:cs="Times New Roman" w:eastAsia="Times New Roman" w:hAnsi="Times New Roman"/>
          <w:sz w:val="18"/>
          <w:szCs w:val="18"/>
          <w:color w:val="auto"/>
        </w:rPr>
      </w:pPr>
    </w:p>
    <w:p>
      <w:pPr>
        <w:ind w:left="4" w:right="120" w:hanging="4"/>
        <w:spacing w:after="0" w:line="260" w:lineRule="auto"/>
        <w:tabs>
          <w:tab w:leader="none" w:pos="21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4"/>
          </w:cols>
          <w:pgMar w:left="436" w:top="270" w:right="459" w:bottom="1440" w:gutter="0" w:footer="0" w:header="0"/>
        </w:sectPr>
      </w:pPr>
    </w:p>
    <w:bookmarkStart w:id="40" w:name="page41"/>
    <w:bookmarkEnd w:id="40"/>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correctly sets forth the understanding between the Company, the Adviser and the several Underwriters, please so indicate in the space provided below for that purpose, whereupon this agreement and your acceptance shall constitute a binding agreement between the Company, the Adviser and the Underwriters, severally.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FLOATING RATE CAPITAL LTD.</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 Arthur Penn</w:t>
      </w:r>
    </w:p>
    <w:p>
      <w:pPr>
        <w:spacing w:after="0" w:line="2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PENNANTPARK INVESTMENT ADVISERS, LLC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Name: Arthur Penn</w:t>
      </w:r>
    </w:p>
    <w:p>
      <w:pPr>
        <w:spacing w:after="0" w:line="23"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3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780"/>
          </w:cols>
          <w:pgMar w:left="440" w:top="270" w:right="6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Accepted and agreed to as of the date first above written:</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Hector Vazquez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Hector Vazquez</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Alison Flood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Alison Flood</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Al Laufenberg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Al Laufenberg</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Saurabh Monga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Saurabh Monga</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Todd Mahoney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Todd Mahoney</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Igor Grinberg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Igor Grinberg</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ectPr>
          <w:pgSz w:w="11900" w:h="16838" w:orient="portrait"/>
          <w:cols w:equalWidth="0" w:num="1">
            <w:col w:w="10019"/>
          </w:cols>
          <w:pgMar w:left="440" w:top="270" w:right="1440"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Purchase Price for the Securities to be paid by the several Underwriters shall be 96.85% of the aggregate principal amount thereof.</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3"/>
                <w:szCs w:val="13"/>
                <w:color w:val="auto"/>
              </w:rPr>
            </w:pPr>
          </w:p>
        </w:tc>
        <w:tc>
          <w:tcPr>
            <w:tcW w:w="8880" w:type="dxa"/>
            <w:vAlign w:val="bottom"/>
          </w:tcPr>
          <w:p>
            <w:pPr>
              <w:spacing w:after="0"/>
              <w:rPr>
                <w:sz w:val="13"/>
                <w:szCs w:val="13"/>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Aggregate Principal</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8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Underwriters</w:t>
            </w:r>
          </w:p>
        </w:tc>
        <w:tc>
          <w:tcPr>
            <w:tcW w:w="888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0" w:type="dxa"/>
            <w:vAlign w:val="bottom"/>
          </w:tcPr>
          <w:p>
            <w:pPr>
              <w:spacing w:after="0"/>
              <w:rPr>
                <w:sz w:val="1"/>
                <w:szCs w:val="1"/>
                <w:color w:val="auto"/>
              </w:rPr>
            </w:pPr>
          </w:p>
        </w:tc>
      </w:tr>
      <w:tr>
        <w:trPr>
          <w:trHeight w:val="173"/>
        </w:trPr>
        <w:tc>
          <w:tcPr>
            <w:tcW w:w="840" w:type="dxa"/>
            <w:vAlign w:val="bottom"/>
            <w:tcBorders>
              <w:bottom w:val="single" w:sz="8" w:color="auto"/>
            </w:tcBorders>
            <w:vMerge w:val="continue"/>
          </w:tcPr>
          <w:p>
            <w:pPr>
              <w:spacing w:after="0"/>
              <w:rPr>
                <w:sz w:val="15"/>
                <w:szCs w:val="15"/>
                <w:color w:val="auto"/>
              </w:rPr>
            </w:pPr>
          </w:p>
        </w:tc>
        <w:tc>
          <w:tcPr>
            <w:tcW w:w="88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LLC</w:t>
            </w:r>
          </w:p>
        </w:tc>
        <w:tc>
          <w:tcPr>
            <w:tcW w:w="140" w:type="dxa"/>
            <w:vAlign w:val="bottom"/>
            <w:shd w:val="clear" w:color="auto" w:fill="CCEEFF"/>
          </w:tcPr>
          <w:p>
            <w:pPr>
              <w:spacing w:after="0" w:line="223" w:lineRule="exact"/>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shd w:val="clear" w:color="auto" w:fill="CCEEFF"/>
          </w:tcPr>
          <w:p>
            <w:pPr>
              <w:jc w:val="right"/>
              <w:ind w:right="60"/>
              <w:spacing w:after="0" w:line="223" w:lineRule="exact"/>
              <w:rPr>
                <w:sz w:val="20"/>
                <w:szCs w:val="20"/>
                <w:color w:val="auto"/>
              </w:rPr>
            </w:pPr>
            <w:r>
              <w:rPr>
                <w:rFonts w:ascii="Times New Roman" w:cs="Times New Roman" w:eastAsia="Times New Roman" w:hAnsi="Times New Roman"/>
                <w:sz w:val="20"/>
                <w:szCs w:val="20"/>
                <w:color w:val="auto"/>
              </w:rPr>
              <w:t>19,000,000</w:t>
            </w:r>
          </w:p>
        </w:tc>
        <w:tc>
          <w:tcPr>
            <w:tcW w:w="0" w:type="dxa"/>
            <w:vAlign w:val="bottom"/>
          </w:tcPr>
          <w:p>
            <w:pPr>
              <w:spacing w:after="0"/>
              <w:rPr>
                <w:sz w:val="1"/>
                <w:szCs w:val="1"/>
                <w:color w:val="auto"/>
              </w:rPr>
            </w:pPr>
          </w:p>
        </w:tc>
      </w:tr>
      <w:tr>
        <w:trPr>
          <w:trHeight w:val="229"/>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19,000,000</w:t>
            </w:r>
          </w:p>
        </w:tc>
        <w:tc>
          <w:tcPr>
            <w:tcW w:w="0" w:type="dxa"/>
            <w:vAlign w:val="bottom"/>
          </w:tcPr>
          <w:p>
            <w:pPr>
              <w:spacing w:after="0"/>
              <w:rPr>
                <w:sz w:val="1"/>
                <w:szCs w:val="1"/>
                <w:color w:val="auto"/>
              </w:rPr>
            </w:pPr>
          </w:p>
        </w:tc>
      </w:tr>
      <w:tr>
        <w:trPr>
          <w:trHeight w:val="230"/>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Keefe, Bruyette &amp; Woods, Inc.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19,000,000</w:t>
            </w:r>
          </w:p>
        </w:tc>
        <w:tc>
          <w:tcPr>
            <w:tcW w:w="0" w:type="dxa"/>
            <w:vAlign w:val="bottom"/>
          </w:tcPr>
          <w:p>
            <w:pPr>
              <w:spacing w:after="0"/>
              <w:rPr>
                <w:sz w:val="1"/>
                <w:szCs w:val="1"/>
                <w:color w:val="auto"/>
              </w:rPr>
            </w:pPr>
          </w:p>
        </w:tc>
      </w:tr>
      <w:tr>
        <w:trPr>
          <w:trHeight w:val="229"/>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RBC Capital Markets, LLC</w:t>
            </w: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19,000,000</w:t>
            </w:r>
          </w:p>
        </w:tc>
        <w:tc>
          <w:tcPr>
            <w:tcW w:w="0" w:type="dxa"/>
            <w:vAlign w:val="bottom"/>
          </w:tcPr>
          <w:p>
            <w:pPr>
              <w:spacing w:after="0"/>
              <w:rPr>
                <w:sz w:val="1"/>
                <w:szCs w:val="1"/>
                <w:color w:val="auto"/>
              </w:rPr>
            </w:pPr>
          </w:p>
        </w:tc>
      </w:tr>
      <w:tr>
        <w:trPr>
          <w:trHeight w:val="230"/>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UBS Securities LLC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19,000,000</w:t>
            </w:r>
          </w:p>
        </w:tc>
        <w:tc>
          <w:tcPr>
            <w:tcW w:w="0" w:type="dxa"/>
            <w:vAlign w:val="bottom"/>
          </w:tcPr>
          <w:p>
            <w:pPr>
              <w:spacing w:after="0"/>
              <w:rPr>
                <w:sz w:val="1"/>
                <w:szCs w:val="1"/>
                <w:color w:val="auto"/>
              </w:rPr>
            </w:pPr>
          </w:p>
        </w:tc>
      </w:tr>
      <w:tr>
        <w:trPr>
          <w:trHeight w:val="229"/>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Oppenheimer &amp; Co. Inc.</w:t>
            </w:r>
          </w:p>
        </w:tc>
        <w:tc>
          <w:tcPr>
            <w:tcW w:w="14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rPr>
              <w:t>3,000,000</w:t>
            </w:r>
          </w:p>
        </w:tc>
        <w:tc>
          <w:tcPr>
            <w:tcW w:w="0" w:type="dxa"/>
            <w:vAlign w:val="bottom"/>
          </w:tcPr>
          <w:p>
            <w:pPr>
              <w:spacing w:after="0"/>
              <w:rPr>
                <w:sz w:val="1"/>
                <w:szCs w:val="1"/>
                <w:color w:val="auto"/>
              </w:rPr>
            </w:pPr>
          </w:p>
        </w:tc>
      </w:tr>
      <w:tr>
        <w:trPr>
          <w:trHeight w:val="229"/>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Ladenburg Thalmann &amp; Co. Inc.</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1,000,000</w:t>
            </w:r>
          </w:p>
        </w:tc>
        <w:tc>
          <w:tcPr>
            <w:tcW w:w="0" w:type="dxa"/>
            <w:vAlign w:val="bottom"/>
          </w:tcPr>
          <w:p>
            <w:pPr>
              <w:spacing w:after="0"/>
              <w:rPr>
                <w:sz w:val="1"/>
                <w:szCs w:val="1"/>
                <w:color w:val="auto"/>
              </w:rPr>
            </w:pPr>
          </w:p>
        </w:tc>
      </w:tr>
      <w:tr>
        <w:trPr>
          <w:trHeight w:val="237"/>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Maxim Group LLC</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20"/>
                <w:szCs w:val="20"/>
                <w:color w:val="auto"/>
              </w:rPr>
              <w:t>100,000,000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43" w:name="page44"/>
    <w:bookmarkEnd w:id="43"/>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 sheet containing the terms of the Securities, substantially in the form of Annex A hereto.</w:t>
      </w:r>
    </w:p>
    <w:p>
      <w:pPr>
        <w:sectPr>
          <w:pgSz w:w="11900" w:h="16838" w:orient="portrait"/>
          <w:cols w:equalWidth="0" w:num="1">
            <w:col w:w="10019"/>
          </w:cols>
          <w:pgMar w:left="440" w:top="266" w:right="1440" w:bottom="1440" w:gutter="0" w:footer="0" w:header="0"/>
        </w:sectPr>
      </w:pPr>
    </w:p>
    <w:bookmarkStart w:id="44" w:name="page45"/>
    <w:bookmarkEnd w:id="44"/>
    <w:p>
      <w:pPr>
        <w:jc w:val="right"/>
        <w:ind w:right="39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subsidiaries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Funding I,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Floating Rate Funding 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I Depositor,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VIII,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 CLO 11,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PennantPark-TSO Senior Loan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PFLT Investment Holdings,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PFLT Investment Holdings II, LLC</w:t>
      </w:r>
    </w:p>
    <w:p>
      <w:pPr>
        <w:sectPr>
          <w:pgSz w:w="11900" w:h="16838" w:orient="portrait"/>
          <w:cols w:equalWidth="0" w:num="1">
            <w:col w:w="10019"/>
          </w:cols>
          <w:pgMar w:left="440" w:top="266" w:right="1440"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ectPr>
          <w:pgSz w:w="11900" w:h="16838" w:orient="portrait"/>
          <w:cols w:equalWidth="0" w:num="1">
            <w:col w:w="9019"/>
          </w:cols>
          <w:pgMar w:left="1440" w:top="266" w:right="1440" w:bottom="1440" w:gutter="0" w:footer="0" w:header="0"/>
        </w:sectPr>
      </w:pPr>
    </w:p>
    <w:bookmarkStart w:id="46" w:name="page47"/>
    <w:bookmarkEnd w:id="46"/>
    <w:p>
      <w:pPr>
        <w:jc w:val="center"/>
        <w:ind w:right="-14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9"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u w:val="single" w:color="auto"/>
          <w:color w:val="auto"/>
        </w:rPr>
        <w:t>Form of Certificate Required by Section 6(k)</w:t>
      </w:r>
    </w:p>
    <w:p>
      <w:pPr>
        <w:spacing w:after="0" w:line="252" w:lineRule="exact"/>
        <w:rPr>
          <w:sz w:val="20"/>
          <w:szCs w:val="20"/>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the Registration Statement, the General Disclosure Package and the Prospectus.</w:t>
      </w:r>
    </w:p>
    <w:p>
      <w:pPr>
        <w:spacing w:after="0" w:line="130"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each of the Company and the Adviser as set forth in the Underwriting Agreement are true and correct as of the time of purchase.</w:t>
      </w:r>
    </w:p>
    <w:p>
      <w:pPr>
        <w:spacing w:after="0" w:line="67"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and the Adviser has performed all of its obligations under the Underwriting Agreement as are to be performed at or before the Closing Time or any Option Closing Time, as applicable.</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set forth in paragraphs (h) and (i) of Section 6 of the Underwriting Agreement have been met.</w:t>
      </w:r>
    </w:p>
    <w:sectPr>
      <w:pgSz w:w="11900" w:h="16838" w:orient="portrait"/>
      <w:cols w:equalWidth="0" w:num="1">
        <w:col w:w="10864"/>
      </w:cols>
      <w:pgMar w:left="436" w:top="266"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1."/>
      <w:numFmt w:val="decimal"/>
      <w:start w:val="1"/>
    </w:lvl>
  </w:abstractNum>
  <w:abstractNum w:abstractNumId="2">
    <w:nsid w:val="2CA88611"/>
    <w:multiLevelType w:val="hybridMultilevel"/>
    <w:lvl w:ilvl="0">
      <w:lvlJc w:val="left"/>
      <w:lvlText w:val="%1."/>
      <w:numFmt w:val="decimal"/>
      <w:start w:val="2"/>
    </w:lvl>
  </w:abstractNum>
  <w:abstractNum w:abstractNumId="3">
    <w:nsid w:val="836C40E"/>
    <w:multiLevelType w:val="hybridMultilevel"/>
    <w:lvl w:ilvl="0">
      <w:lvlJc w:val="left"/>
      <w:lvlText w:val="(%1)"/>
      <w:numFmt w:val="lowerRoman"/>
      <w:start w:val="1"/>
    </w:lvl>
  </w:abstractNum>
  <w:abstractNum w:abstractNumId="4">
    <w:nsid w:val="2901D82"/>
    <w:multiLevelType w:val="hybridMultilevel"/>
    <w:lvl w:ilvl="0">
      <w:lvlJc w:val="left"/>
      <w:lvlText w:val="(%1)"/>
      <w:numFmt w:val="lowerRoman"/>
      <w:start w:val="2"/>
    </w:lvl>
  </w:abstractNum>
  <w:abstractNum w:abstractNumId="5">
    <w:nsid w:val="3A95F874"/>
    <w:multiLevelType w:val="hybridMultilevel"/>
    <w:lvl w:ilvl="0">
      <w:lvlJc w:val="left"/>
      <w:lvlText w:val="%1"/>
      <w:numFmt w:val="lowerRoman"/>
      <w:start w:val="1"/>
    </w:lvl>
    <w:lvl w:ilvl="1">
      <w:lvlJc w:val="left"/>
      <w:lvlText w:val="(%2)"/>
      <w:numFmt w:val="lowerRoman"/>
      <w:start w:val="3"/>
    </w:lvl>
  </w:abstractNum>
  <w:abstractNum w:abstractNumId="6">
    <w:nsid w:val="8138641"/>
    <w:multiLevelType w:val="hybridMultilevel"/>
    <w:lvl w:ilvl="0">
      <w:lvlJc w:val="left"/>
      <w:lvlText w:val="(%1)"/>
      <w:numFmt w:val="lowerRoman"/>
      <w:start w:val="2"/>
    </w:lvl>
    <w:lvl w:ilvl="1">
      <w:lvlJc w:val="left"/>
      <w:lvlText w:val="(%2)"/>
      <w:numFmt w:val="lowerRoman"/>
      <w:start w:val="5"/>
    </w:lvl>
  </w:abstractNum>
  <w:abstractNum w:abstractNumId="7">
    <w:nsid w:val="1E7FF521"/>
    <w:multiLevelType w:val="hybridMultilevel"/>
    <w:lvl w:ilvl="0">
      <w:lvlJc w:val="left"/>
      <w:lvlText w:val="(%1)"/>
      <w:numFmt w:val="lowerRoman"/>
      <w:start w:val="6"/>
    </w:lvl>
  </w:abstractNum>
  <w:abstractNum w:abstractNumId="8">
    <w:nsid w:val="7C3DBD3D"/>
    <w:multiLevelType w:val="hybridMultilevel"/>
    <w:lvl w:ilvl="0">
      <w:lvlJc w:val="left"/>
      <w:lvlText w:val="(%1)"/>
      <w:numFmt w:val="lowerRoman"/>
      <w:start w:val="10"/>
    </w:lvl>
  </w:abstractNum>
  <w:abstractNum w:abstractNumId="9">
    <w:nsid w:val="737B8DDC"/>
    <w:multiLevelType w:val="hybridMultilevel"/>
    <w:lvl w:ilvl="0">
      <w:lvlJc w:val="left"/>
      <w:lvlText w:val="(%1)"/>
      <w:numFmt w:val="lowerRoman"/>
      <w:start w:val="12"/>
    </w:lvl>
    <w:lvl w:ilvl="1">
      <w:lvlJc w:val="left"/>
      <w:lvlText w:val="(%2)"/>
      <w:numFmt w:val="upperLetter"/>
      <w:start w:val="1"/>
    </w:lvl>
  </w:abstractNum>
  <w:abstractNum w:abstractNumId="10">
    <w:nsid w:val="6CEAF087"/>
    <w:multiLevelType w:val="hybridMultilevel"/>
    <w:lvl w:ilvl="0">
      <w:lvlJc w:val="left"/>
      <w:lvlText w:val="(%1)"/>
      <w:numFmt w:val="lowerRoman"/>
      <w:start w:val="14"/>
    </w:lvl>
  </w:abstractNum>
  <w:abstractNum w:abstractNumId="11">
    <w:nsid w:val="22221A70"/>
    <w:multiLevelType w:val="hybridMultilevel"/>
    <w:lvl w:ilvl="0">
      <w:lvlJc w:val="left"/>
      <w:lvlText w:val="(%1)"/>
      <w:numFmt w:val="lowerRoman"/>
      <w:start w:val="18"/>
    </w:lvl>
  </w:abstractNum>
  <w:abstractNum w:abstractNumId="12">
    <w:nsid w:val="4516DDE9"/>
    <w:multiLevelType w:val="hybridMultilevel"/>
    <w:lvl w:ilvl="0">
      <w:lvlJc w:val="left"/>
      <w:lvlText w:val="(%1)"/>
      <w:numFmt w:val="lowerRoman"/>
      <w:start w:val="22"/>
    </w:lvl>
  </w:abstractNum>
  <w:abstractNum w:abstractNumId="13">
    <w:nsid w:val="3006C83E"/>
    <w:multiLevelType w:val="hybridMultilevel"/>
    <w:lvl w:ilvl="0">
      <w:lvlJc w:val="left"/>
      <w:lvlText w:val="%1"/>
      <w:numFmt w:val="decimal"/>
      <w:start w:val="1"/>
    </w:lvl>
    <w:lvl w:ilvl="1">
      <w:lvlJc w:val="left"/>
      <w:lvlText w:val="(%2)"/>
      <w:numFmt w:val="lowerRoman"/>
      <w:start w:val="25"/>
    </w:lvl>
  </w:abstractNum>
  <w:abstractNum w:abstractNumId="14">
    <w:nsid w:val="614FD4A1"/>
    <w:multiLevelType w:val="hybridMultilevel"/>
    <w:lvl w:ilvl="0">
      <w:lvlJc w:val="left"/>
      <w:lvlText w:val="(%1)"/>
      <w:numFmt w:val="decimal"/>
      <w:start w:val="1"/>
    </w:lvl>
    <w:lvl w:ilvl="1">
      <w:lvlJc w:val="left"/>
      <w:lvlText w:val="(%2)"/>
      <w:numFmt w:val="lowerRoman"/>
      <w:start w:val="26"/>
    </w:lvl>
  </w:abstractNum>
  <w:abstractNum w:abstractNumId="15">
    <w:nsid w:val="419AC241"/>
    <w:multiLevelType w:val="hybridMultilevel"/>
    <w:lvl w:ilvl="0">
      <w:lvlJc w:val="left"/>
      <w:lvlText w:val="(%1)"/>
      <w:numFmt w:val="lowerRoman"/>
      <w:start w:val="27"/>
    </w:lvl>
  </w:abstractNum>
  <w:abstractNum w:abstractNumId="16">
    <w:nsid w:val="5577F8E1"/>
    <w:multiLevelType w:val="hybridMultilevel"/>
    <w:lvl w:ilvl="0">
      <w:lvlJc w:val="left"/>
      <w:lvlText w:val="(%1)"/>
      <w:numFmt w:val="lowerRoman"/>
      <w:start w:val="31"/>
    </w:lvl>
    <w:lvl w:ilvl="1">
      <w:lvlJc w:val="left"/>
      <w:lvlText w:val="%2."/>
      <w:numFmt w:val="lowerLetter"/>
      <w:start w:val="9"/>
    </w:lvl>
    <w:lvl w:ilvl="2">
      <w:lvlJc w:val="left"/>
      <w:lvlText w:val="%3."/>
      <w:numFmt w:val="lowerLetter"/>
      <w:start w:val="1"/>
    </w:lvl>
  </w:abstractNum>
  <w:abstractNum w:abstractNumId="17">
    <w:nsid w:val="440BADFC"/>
    <w:multiLevelType w:val="hybridMultilevel"/>
    <w:lvl w:ilvl="0">
      <w:lvlJc w:val="left"/>
      <w:lvlText w:val="%1."/>
      <w:numFmt w:val="lowerLetter"/>
      <w:start w:val="35"/>
    </w:lvl>
    <w:lvl w:ilvl="1">
      <w:lvlJc w:val="left"/>
      <w:lvlText w:val="%2."/>
      <w:numFmt w:val="lowerLetter"/>
      <w:start w:val="1"/>
    </w:lvl>
  </w:abstractNum>
  <w:abstractNum w:abstractNumId="18">
    <w:nsid w:val="5072367"/>
    <w:multiLevelType w:val="hybridMultilevel"/>
    <w:lvl w:ilvl="0">
      <w:lvlJc w:val="left"/>
      <w:lvlText w:val="%1"/>
      <w:numFmt w:val="lowerLetter"/>
      <w:start w:val="1"/>
    </w:lvl>
    <w:lvl w:ilvl="1">
      <w:lvlJc w:val="left"/>
      <w:lvlText w:val="%2."/>
      <w:numFmt w:val="lowerLetter"/>
      <w:start w:val="2"/>
    </w:lvl>
  </w:abstractNum>
  <w:abstractNum w:abstractNumId="19">
    <w:nsid w:val="3804823E"/>
    <w:multiLevelType w:val="hybridMultilevel"/>
    <w:lvl w:ilvl="0">
      <w:lvlJc w:val="left"/>
      <w:lvlText w:val="%1."/>
      <w:numFmt w:val="lowerLetter"/>
      <w:start w:val="61"/>
    </w:lvl>
    <w:lvl w:ilvl="1">
      <w:lvlJc w:val="left"/>
      <w:lvlText w:val="%2"/>
      <w:numFmt w:val="lowerLetter"/>
      <w:start w:val="1"/>
    </w:lvl>
  </w:abstractNum>
  <w:abstractNum w:abstractNumId="20">
    <w:nsid w:val="77465F01"/>
    <w:multiLevelType w:val="hybridMultilevel"/>
    <w:lvl w:ilvl="0">
      <w:lvlJc w:val="left"/>
      <w:lvlText w:val="(%1)"/>
      <w:numFmt w:val="lowerRoman"/>
      <w:start w:val="33"/>
    </w:lvl>
  </w:abstractNum>
  <w:abstractNum w:abstractNumId="21">
    <w:nsid w:val="7724C67E"/>
    <w:multiLevelType w:val="hybridMultilevel"/>
    <w:lvl w:ilvl="0">
      <w:lvlJc w:val="left"/>
      <w:lvlText w:val="%1"/>
      <w:numFmt w:val="upperLetter"/>
      <w:start w:val="1"/>
    </w:lvl>
    <w:lvl w:ilvl="1">
      <w:lvlJc w:val="left"/>
      <w:lvlText w:val="(%2)"/>
      <w:numFmt w:val="lowerRoman"/>
      <w:start w:val="38"/>
    </w:lvl>
  </w:abstractNum>
  <w:abstractNum w:abstractNumId="22">
    <w:nsid w:val="5C482A97"/>
    <w:multiLevelType w:val="hybridMultilevel"/>
    <w:lvl w:ilvl="0">
      <w:lvlJc w:val="left"/>
      <w:lvlText w:val="(%1)"/>
      <w:numFmt w:val="upperLetter"/>
      <w:start w:val="1"/>
    </w:lvl>
    <w:lvl w:ilvl="1">
      <w:lvlJc w:val="left"/>
      <w:lvlText w:val="(%2)"/>
      <w:numFmt w:val="lowerRoman"/>
      <w:start w:val="39"/>
    </w:lvl>
  </w:abstractNum>
  <w:abstractNum w:abstractNumId="23">
    <w:nsid w:val="2463B9EA"/>
    <w:multiLevelType w:val="hybridMultilevel"/>
    <w:lvl w:ilvl="0">
      <w:lvlJc w:val="left"/>
      <w:lvlText w:val="(%1)"/>
      <w:numFmt w:val="lowerRoman"/>
      <w:start w:val="1"/>
    </w:lvl>
  </w:abstractNum>
  <w:abstractNum w:abstractNumId="24">
    <w:nsid w:val="5E884ADC"/>
    <w:multiLevelType w:val="hybridMultilevel"/>
    <w:lvl w:ilvl="0">
      <w:lvlJc w:val="left"/>
      <w:lvlText w:val="(%1)"/>
      <w:numFmt w:val="lowerRoman"/>
      <w:start w:val="2"/>
    </w:lvl>
  </w:abstractNum>
  <w:abstractNum w:abstractNumId="25">
    <w:nsid w:val="51EAD36B"/>
    <w:multiLevelType w:val="hybridMultilevel"/>
    <w:lvl w:ilvl="0">
      <w:lvlJc w:val="left"/>
      <w:lvlText w:val="(%1)"/>
      <w:numFmt w:val="lowerRoman"/>
      <w:start w:val="6"/>
    </w:lvl>
  </w:abstractNum>
  <w:abstractNum w:abstractNumId="26">
    <w:nsid w:val="2D517796"/>
    <w:multiLevelType w:val="hybridMultilevel"/>
    <w:lvl w:ilvl="0">
      <w:lvlJc w:val="left"/>
      <w:lvlText w:val="(%1)"/>
      <w:numFmt w:val="lowerRoman"/>
      <w:start w:val="10"/>
    </w:lvl>
  </w:abstractNum>
  <w:abstractNum w:abstractNumId="27">
    <w:nsid w:val="580BD78F"/>
    <w:multiLevelType w:val="hybridMultilevel"/>
    <w:lvl w:ilvl="0">
      <w:lvlJc w:val="left"/>
      <w:lvlText w:val="(%1)"/>
      <w:numFmt w:val="lowerRoman"/>
      <w:start w:val="14"/>
    </w:lvl>
  </w:abstractNum>
  <w:abstractNum w:abstractNumId="28">
    <w:nsid w:val="153EA438"/>
    <w:multiLevelType w:val="hybridMultilevel"/>
    <w:lvl w:ilvl="0">
      <w:lvlJc w:val="left"/>
      <w:lvlText w:val="%1."/>
      <w:numFmt w:val="lowerLetter"/>
      <w:start w:val="9"/>
    </w:lvl>
    <w:lvl w:ilvl="1">
      <w:lvlJc w:val="left"/>
      <w:lvlText w:val="%2."/>
      <w:numFmt w:val="lowerLetter"/>
      <w:start w:val="1"/>
    </w:lvl>
  </w:abstractNum>
  <w:abstractNum w:abstractNumId="29">
    <w:nsid w:val="3855585C"/>
    <w:multiLevelType w:val="hybridMultilevel"/>
    <w:lvl w:ilvl="0">
      <w:lvlJc w:val="left"/>
      <w:lvlText w:val="%1."/>
      <w:numFmt w:val="lowerLetter"/>
      <w:start w:val="35"/>
    </w:lvl>
    <w:lvl w:ilvl="1">
      <w:lvlJc w:val="left"/>
      <w:lvlText w:val="%2."/>
      <w:numFmt w:val="lowerLetter"/>
      <w:start w:val="1"/>
    </w:lvl>
  </w:abstractNum>
  <w:abstractNum w:abstractNumId="30">
    <w:nsid w:val="70A64E2A"/>
    <w:multiLevelType w:val="hybridMultilevel"/>
    <w:lvl w:ilvl="0">
      <w:lvlJc w:val="left"/>
      <w:lvlText w:val="%1."/>
      <w:numFmt w:val="lowerRoman"/>
      <w:start w:val="3"/>
    </w:lvl>
  </w:abstractNum>
  <w:abstractNum w:abstractNumId="31">
    <w:nsid w:val="6A2342EC"/>
    <w:multiLevelType w:val="hybridMultilevel"/>
    <w:lvl w:ilvl="0">
      <w:lvlJc w:val="left"/>
      <w:lvlText w:val="(%1)"/>
      <w:numFmt w:val="lowerRoman"/>
      <w:start w:val="15"/>
    </w:lvl>
  </w:abstractNum>
  <w:abstractNum w:abstractNumId="32">
    <w:nsid w:val="2A487CB0"/>
    <w:multiLevelType w:val="hybridMultilevel"/>
    <w:lvl w:ilvl="0">
      <w:lvlJc w:val="left"/>
      <w:lvlText w:val="%1."/>
      <w:numFmt w:val="decimal"/>
      <w:start w:val="5"/>
    </w:lvl>
    <w:lvl w:ilvl="1">
      <w:lvlJc w:val="left"/>
      <w:lvlText w:val="(%2)"/>
      <w:numFmt w:val="lowerLetter"/>
      <w:start w:val="1"/>
    </w:lvl>
  </w:abstractNum>
  <w:abstractNum w:abstractNumId="33">
    <w:nsid w:val="1D4ED43B"/>
    <w:multiLevelType w:val="hybridMultilevel"/>
    <w:lvl w:ilvl="0">
      <w:lvlJc w:val="left"/>
      <w:lvlText w:val="(%1)"/>
      <w:numFmt w:val="lowerLetter"/>
      <w:start w:val="5"/>
    </w:lvl>
  </w:abstractNum>
  <w:abstractNum w:abstractNumId="34">
    <w:nsid w:val="725A06FB"/>
    <w:multiLevelType w:val="hybridMultilevel"/>
    <w:lvl w:ilvl="0">
      <w:lvlJc w:val="left"/>
      <w:lvlText w:val="(%1)"/>
      <w:numFmt w:val="lowerLetter"/>
      <w:start w:val="11"/>
    </w:lvl>
  </w:abstractNum>
  <w:abstractNum w:abstractNumId="35">
    <w:nsid w:val="2CD89A32"/>
    <w:multiLevelType w:val="hybridMultilevel"/>
    <w:lvl w:ilvl="0">
      <w:lvlJc w:val="left"/>
      <w:lvlText w:val="(%1)"/>
      <w:numFmt w:val="lowerRoman"/>
      <w:start w:val="8"/>
    </w:lvl>
    <w:lvl w:ilvl="1">
      <w:lvlJc w:val="left"/>
      <w:lvlText w:val="%2"/>
      <w:numFmt w:val="decimal"/>
      <w:start w:val="1"/>
    </w:lvl>
    <w:lvl w:ilvl="2">
      <w:lvlJc w:val="left"/>
      <w:lvlText w:val="(%3)"/>
      <w:numFmt w:val="lowerLetter"/>
      <w:start w:val="17"/>
    </w:lvl>
  </w:abstractNum>
  <w:abstractNum w:abstractNumId="36">
    <w:nsid w:val="57E4CCAF"/>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8"/>
    </w:lvl>
  </w:abstractNum>
  <w:abstractNum w:abstractNumId="37">
    <w:nsid w:val="7A6D8D3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38">
    <w:nsid w:val="4B588F54"/>
    <w:multiLevelType w:val="hybridMultilevel"/>
    <w:lvl w:ilvl="0">
      <w:lvlJc w:val="left"/>
      <w:lvlText w:val="(%1)"/>
      <w:numFmt w:val="lowerLetter"/>
      <w:start w:val="3"/>
    </w:lvl>
  </w:abstractNum>
  <w:abstractNum w:abstractNumId="39">
    <w:nsid w:val="542289EC"/>
    <w:multiLevelType w:val="hybridMultilevel"/>
    <w:lvl w:ilvl="0">
      <w:lvlJc w:val="left"/>
      <w:lvlText w:val="%1"/>
      <w:numFmt w:val="decimal"/>
      <w:start w:val="1"/>
    </w:lvl>
    <w:lvl w:ilvl="1">
      <w:lvlJc w:val="left"/>
      <w:lvlText w:val="(%2)"/>
      <w:numFmt w:val="lowerLetter"/>
      <w:start w:val="11"/>
    </w:lvl>
  </w:abstractNum>
  <w:abstractNum w:abstractNumId="40">
    <w:nsid w:val="6DE91B18"/>
    <w:multiLevelType w:val="hybridMultilevel"/>
    <w:lvl w:ilvl="0">
      <w:lvlJc w:val="left"/>
      <w:lvlText w:val="%1."/>
      <w:numFmt w:val="decimal"/>
      <w:start w:val="7"/>
    </w:lvl>
    <w:lvl w:ilvl="1">
      <w:lvlJc w:val="left"/>
      <w:lvlText w:val="%2"/>
      <w:numFmt w:val="lowerLetter"/>
      <w:start w:val="1"/>
    </w:lvl>
  </w:abstractNum>
  <w:abstractNum w:abstractNumId="41">
    <w:nsid w:val="38437FDB"/>
    <w:multiLevelType w:val="hybridMultilevel"/>
    <w:lvl w:ilvl="0">
      <w:lvlJc w:val="left"/>
      <w:lvlText w:val="%1."/>
      <w:numFmt w:val="decimal"/>
      <w:start w:val="8"/>
    </w:lvl>
  </w:abstractNum>
  <w:abstractNum w:abstractNumId="42">
    <w:nsid w:val="7644A45C"/>
    <w:multiLevelType w:val="hybridMultilevel"/>
    <w:lvl w:ilvl="0">
      <w:lvlJc w:val="left"/>
      <w:lvlText w:val="%1."/>
      <w:numFmt w:val="decimal"/>
      <w:start w:val="9"/>
    </w:lvl>
  </w:abstractNum>
  <w:abstractNum w:abstractNumId="43">
    <w:nsid w:val="32FFF902"/>
    <w:multiLevelType w:val="hybridMultilevel"/>
    <w:lvl w:ilvl="0">
      <w:lvlJc w:val="left"/>
      <w:lvlText w:val="(%1)"/>
      <w:numFmt w:val="lowerLetter"/>
      <w:start w:val="1"/>
    </w:lvl>
  </w:abstractNum>
  <w:abstractNum w:abstractNumId="44">
    <w:nsid w:val="684A481A"/>
    <w:multiLevelType w:val="hybridMultilevel"/>
    <w:lvl w:ilvl="0">
      <w:lvlJc w:val="left"/>
      <w:lvlText w:val="(%1)"/>
      <w:numFmt w:val="lowerLetter"/>
      <w:start w:val="3"/>
    </w:lvl>
  </w:abstractNum>
  <w:abstractNum w:abstractNumId="45">
    <w:nsid w:val="579478FE"/>
    <w:multiLevelType w:val="hybridMultilevel"/>
    <w:lvl w:ilvl="0">
      <w:lvlJc w:val="left"/>
      <w:lvlText w:val="(%1)"/>
      <w:numFmt w:val="lowerLetter"/>
      <w:start w:val="5"/>
    </w:lvl>
  </w:abstractNum>
  <w:abstractNum w:abstractNumId="46">
    <w:nsid w:val="749ABB43"/>
    <w:multiLevelType w:val="hybridMultilevel"/>
    <w:lvl w:ilvl="0">
      <w:lvlJc w:val="left"/>
      <w:lvlText w:val="(%1)"/>
      <w:numFmt w:val="lowerLetter"/>
      <w:start w:val="7"/>
    </w:lvl>
  </w:abstractNum>
  <w:abstractNum w:abstractNumId="47">
    <w:nsid w:val="3DC240FB"/>
    <w:multiLevelType w:val="hybridMultilevel"/>
    <w:lvl w:ilvl="0">
      <w:lvlJc w:val="left"/>
      <w:lvlText w:val="%1."/>
      <w:numFmt w:val="decimal"/>
      <w:start w:val="10"/>
    </w:lvl>
  </w:abstractNum>
  <w:abstractNum w:abstractNumId="48">
    <w:nsid w:val="1BA026FA"/>
    <w:multiLevelType w:val="hybridMultilevel"/>
    <w:lvl w:ilvl="0">
      <w:lvlJc w:val="left"/>
      <w:lvlText w:val="%1."/>
      <w:numFmt w:val="decimal"/>
      <w:start w:val="12"/>
    </w:lvl>
  </w:abstractNum>
  <w:abstractNum w:abstractNumId="49">
    <w:nsid w:val="79A1DEAA"/>
    <w:multiLevelType w:val="hybridMultilevel"/>
    <w:lvl w:ilvl="0">
      <w:lvlJc w:val="left"/>
      <w:lvlText w:val="%1."/>
      <w:numFmt w:val="decimal"/>
      <w:start w:val="16"/>
    </w:lvl>
    <w:lvl w:ilvl="1">
      <w:lvlJc w:val="left"/>
      <w:lvlText w:val="(%2)"/>
      <w:numFmt w:val="lowerLetter"/>
      <w:start w:val="1"/>
    </w:lvl>
  </w:abstractNum>
  <w:abstractNum w:abstractNumId="50">
    <w:nsid w:val="75C6C33A"/>
    <w:multiLevelType w:val="hybridMultilevel"/>
    <w:lvl w:ilvl="0">
      <w:lvlJc w:val="left"/>
      <w:lvlText w:val="%1"/>
      <w:numFmt w:val="lowerLetter"/>
      <w:start w:val="1"/>
    </w:lvl>
    <w:lvl w:ilvl="1">
      <w:lvlJc w:val="left"/>
      <w:lvlText w:val="(%2)"/>
      <w:numFmt w:val="lowerLetter"/>
      <w:start w:val="3"/>
    </w:lvl>
  </w:abstractNum>
  <w:abstractNum w:abstractNumId="51">
    <w:nsid w:val="12E685FB"/>
    <w:multiLevelType w:val="hybridMultilevel"/>
    <w:lvl w:ilvl="0">
      <w:lvlJc w:val="left"/>
      <w:lvlText w:val="(%1)"/>
      <w:numFmt w:val="lowerLetter"/>
      <w:start w:val="9"/>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2026-05-27T17:39:39Z</dcterms:created>
  <dcterms:modified xsi:type="dcterms:W3CDTF">2026-05-27T17:39:39Z</dcterms:modified>
</cp:coreProperties>
</file>