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3040"/>
        <w:spacing w:after="0" w:line="262" w:lineRule="auto"/>
        <w:rPr>
          <w:sz w:val="20"/>
          <w:szCs w:val="20"/>
          <w:color w:val="auto"/>
        </w:rPr>
      </w:pPr>
      <w:r>
        <w:rPr>
          <w:rFonts w:ascii="Arial" w:cs="Arial" w:eastAsia="Arial" w:hAnsi="Arial"/>
          <w:sz w:val="18"/>
          <w:szCs w:val="18"/>
          <w:b w:val="1"/>
          <w:bCs w:val="1"/>
          <w:color w:val="auto"/>
        </w:rPr>
        <w:t>As filed with the Securities and Exchange Commission on November 25, 2014. Securities Act Registration No. 333-190602 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67310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ectPr>
          <w:pgSz w:w="11900" w:h="16838" w:orient="portrait"/>
          <w:cols w:equalWidth="0" w:num="1">
            <w:col w:w="11220"/>
          </w:cols>
          <w:pgMar w:left="240" w:top="230" w:right="439" w:bottom="1440" w:gutter="0" w:footer="0" w:header="0"/>
        </w:sectPr>
      </w:pPr>
    </w:p>
    <w:p>
      <w:pPr>
        <w:spacing w:after="0" w:line="21" w:lineRule="exact"/>
        <w:rPr>
          <w:sz w:val="24"/>
          <w:szCs w:val="24"/>
          <w:color w:val="auto"/>
        </w:rPr>
      </w:pPr>
    </w:p>
    <w:p>
      <w:pPr>
        <w:ind w:left="4320"/>
        <w:spacing w:after="0" w:line="207" w:lineRule="exact"/>
        <w:tabs>
          <w:tab w:leader="none" w:pos="6920" w:val="left"/>
        </w:tabs>
        <w:rPr>
          <w:sz w:val="20"/>
          <w:szCs w:val="20"/>
          <w:color w:val="auto"/>
        </w:rPr>
      </w:pPr>
      <w:r>
        <w:rPr>
          <w:rFonts w:ascii="Arial" w:cs="Arial" w:eastAsia="Arial" w:hAnsi="Arial"/>
          <w:sz w:val="18"/>
          <w:szCs w:val="18"/>
          <w:b w:val="1"/>
          <w:bCs w:val="1"/>
          <w:color w:val="auto"/>
        </w:rPr>
        <w:t>Post-Effective Amendment No. 2</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980"/>
        <w:spacing w:after="0"/>
        <w:rPr>
          <w:sz w:val="20"/>
          <w:szCs w:val="20"/>
          <w:color w:val="auto"/>
        </w:rPr>
      </w:pPr>
      <w:r>
        <w:rPr>
          <w:rFonts w:ascii="Arial" w:cs="Arial" w:eastAsia="Arial" w:hAnsi="Arial"/>
          <w:sz w:val="16"/>
          <w:szCs w:val="16"/>
          <w:b w:val="1"/>
          <w:bCs w:val="1"/>
          <w:color w:val="auto"/>
        </w:rPr>
        <w:t>Pre-Effective Amendment</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0" w:lineRule="exact"/>
        <w:rPr>
          <w:sz w:val="24"/>
          <w:szCs w:val="24"/>
          <w:color w:val="auto"/>
        </w:rPr>
      </w:pPr>
    </w:p>
    <w:p>
      <w:pPr>
        <w:sectPr>
          <w:pgSz w:w="11900" w:h="16838" w:orient="portrait"/>
          <w:cols w:equalWidth="0" w:num="2">
            <w:col w:w="7100" w:space="200"/>
            <w:col w:w="3920"/>
          </w:cols>
          <w:pgMar w:left="240" w:top="230" w:right="439" w:bottom="1440" w:gutter="0" w:footer="0" w:header="0"/>
          <w:type w:val="continuous"/>
        </w:sectPr>
      </w:pP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5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Floating Rate Capital Ltd.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571"/>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80" w:hanging="201"/>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60" w:type="dxa"/>
            <w:vAlign w:val="bottom"/>
            <w:tcBorders>
              <w:top w:val="single" w:sz="8" w:color="auto"/>
              <w:left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96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60" w:type="dxa"/>
            <w:vAlign w:val="bottom"/>
            <w:tcBorders>
              <w:top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jc w:val="center"/>
              <w:ind w:right="194"/>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400" w:type="dxa"/>
            <w:vAlign w:val="bottom"/>
            <w:tcBorders>
              <w:top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right w:val="single" w:sz="8" w:color="auto"/>
            </w:tcBorders>
          </w:tcPr>
          <w:p>
            <w:pPr>
              <w:ind w:left="80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900" w:type="dxa"/>
            <w:vAlign w:val="bottom"/>
            <w:tcBorders>
              <w:right w:val="single" w:sz="8" w:color="auto"/>
            </w:tcBorders>
          </w:tcPr>
          <w:p>
            <w:pPr>
              <w:jc w:val="right"/>
              <w:ind w:right="332"/>
              <w:spacing w:after="0" w:line="148" w:lineRule="exact"/>
              <w:rPr>
                <w:sz w:val="20"/>
                <w:szCs w:val="20"/>
                <w:color w:val="auto"/>
              </w:rPr>
            </w:pPr>
            <w:r>
              <w:rPr>
                <w:rFonts w:ascii="Arial" w:cs="Arial" w:eastAsia="Arial" w:hAnsi="Arial"/>
                <w:sz w:val="14"/>
                <w:szCs w:val="14"/>
                <w:b w:val="1"/>
                <w:bCs w:val="1"/>
                <w:color w:val="auto"/>
              </w:rPr>
              <w:t>Amount Being</w:t>
            </w:r>
          </w:p>
        </w:tc>
        <w:tc>
          <w:tcPr>
            <w:tcW w:w="196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360" w:type="dxa"/>
            <w:vAlign w:val="bottom"/>
          </w:tcPr>
          <w:p>
            <w:pPr>
              <w:spacing w:after="0"/>
              <w:rPr>
                <w:sz w:val="12"/>
                <w:szCs w:val="12"/>
                <w:color w:val="auto"/>
              </w:rPr>
            </w:pPr>
          </w:p>
        </w:tc>
        <w:tc>
          <w:tcPr>
            <w:tcW w:w="1460" w:type="dxa"/>
            <w:vAlign w:val="bottom"/>
            <w:tcBorders>
              <w:right w:val="single" w:sz="8" w:color="auto"/>
            </w:tcBorders>
          </w:tcPr>
          <w:p>
            <w:pPr>
              <w:jc w:val="center"/>
              <w:ind w:right="194"/>
              <w:spacing w:after="0" w:line="148"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580" w:type="dxa"/>
            <w:vAlign w:val="bottom"/>
            <w:tcBorders>
              <w:right w:val="single" w:sz="8" w:color="auto"/>
            </w:tcBorders>
          </w:tcPr>
          <w:p>
            <w:pPr>
              <w:jc w:val="center"/>
              <w:ind w:right="33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Registered</w:t>
            </w:r>
          </w:p>
        </w:tc>
        <w:tc>
          <w:tcPr>
            <w:tcW w:w="190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Registered</w:t>
            </w:r>
          </w:p>
        </w:tc>
        <w:tc>
          <w:tcPr>
            <w:tcW w:w="19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9"/>
              </w:rPr>
              <w:t>Per Unit</w:t>
            </w: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ind w:right="19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jc w:val="center"/>
              <w:ind w:right="35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900" w:type="dxa"/>
            <w:vAlign w:val="bottom"/>
            <w:tcBorders>
              <w:bottom w:val="single" w:sz="8" w:color="auto"/>
              <w:right w:val="single" w:sz="8" w:color="auto"/>
            </w:tcBorders>
            <w:shd w:val="clear" w:color="auto" w:fill="CCEEFF"/>
          </w:tcPr>
          <w:p>
            <w:pPr>
              <w:jc w:val="right"/>
              <w:ind w:right="1492"/>
              <w:spacing w:after="0" w:line="142" w:lineRule="exact"/>
              <w:rPr>
                <w:sz w:val="20"/>
                <w:szCs w:val="20"/>
                <w:color w:val="auto"/>
              </w:rPr>
            </w:pPr>
            <w:r>
              <w:rPr>
                <w:rFonts w:ascii="Arial" w:cs="Arial" w:eastAsia="Arial" w:hAnsi="Arial"/>
                <w:sz w:val="14"/>
                <w:szCs w:val="14"/>
                <w:color w:val="auto"/>
              </w:rPr>
              <w:t>$</w:t>
            </w:r>
          </w:p>
        </w:tc>
        <w:tc>
          <w:tcPr>
            <w:tcW w:w="1960" w:type="dxa"/>
            <w:vAlign w:val="bottom"/>
            <w:tcBorders>
              <w:bottom w:val="single" w:sz="8" w:color="auto"/>
              <w:right w:val="single" w:sz="8" w:color="auto"/>
            </w:tcBorders>
            <w:shd w:val="clear" w:color="auto" w:fill="CCEEFF"/>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900" w:type="dxa"/>
            <w:vAlign w:val="bottom"/>
            <w:tcBorders>
              <w:bottom w:val="single" w:sz="8" w:color="auto"/>
              <w:right w:val="single" w:sz="8" w:color="auto"/>
            </w:tcBorders>
            <w:shd w:val="clear" w:color="auto" w:fill="CCEEFF"/>
          </w:tcPr>
          <w:p>
            <w:pPr>
              <w:spacing w:after="0"/>
              <w:rPr>
                <w:sz w:val="12"/>
                <w:szCs w:val="12"/>
                <w:color w:val="auto"/>
              </w:rPr>
            </w:pPr>
          </w:p>
        </w:tc>
        <w:tc>
          <w:tcPr>
            <w:tcW w:w="1960" w:type="dxa"/>
            <w:vAlign w:val="bottom"/>
            <w:tcBorders>
              <w:bottom w:val="single" w:sz="8" w:color="auto"/>
              <w:right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right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900" w:type="dxa"/>
            <w:vAlign w:val="bottom"/>
            <w:tcBorders>
              <w:bottom w:val="single" w:sz="8" w:color="auto"/>
              <w:right w:val="single" w:sz="8" w:color="auto"/>
            </w:tcBorders>
            <w:shd w:val="clear" w:color="auto" w:fill="CCEEFF"/>
          </w:tcPr>
          <w:p>
            <w:pPr>
              <w:spacing w:after="0"/>
              <w:rPr>
                <w:sz w:val="12"/>
                <w:szCs w:val="12"/>
                <w:color w:val="auto"/>
              </w:rPr>
            </w:pPr>
          </w:p>
        </w:tc>
        <w:tc>
          <w:tcPr>
            <w:tcW w:w="1960" w:type="dxa"/>
            <w:vAlign w:val="bottom"/>
            <w:tcBorders>
              <w:bottom w:val="single" w:sz="8" w:color="auto"/>
              <w:right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right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90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1960" w:type="dxa"/>
            <w:vAlign w:val="bottom"/>
            <w:tcBorders>
              <w:right w:val="single" w:sz="8" w:color="auto"/>
            </w:tcBorders>
            <w:vMerge w:val="restart"/>
          </w:tcPr>
          <w:p>
            <w:pPr>
              <w:jc w:val="right"/>
              <w:ind w:right="1532"/>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800,000,000</w:t>
            </w:r>
            <w:r>
              <w:rPr>
                <w:rFonts w:ascii="Arial" w:cs="Arial" w:eastAsia="Arial" w:hAnsi="Arial"/>
                <w:sz w:val="22"/>
                <w:szCs w:val="22"/>
                <w:color w:val="auto"/>
                <w:vertAlign w:val="superscript"/>
              </w:rPr>
              <w:t>(5)</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109,120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86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1960" w:type="dxa"/>
            <w:vAlign w:val="bottom"/>
            <w:tcBorders>
              <w:bottom w:val="single" w:sz="8" w:color="auto"/>
              <w:right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$800,000,000.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$800,000,000.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or until the Registration Statement shall become effective on such date as the Securities and Exchange Commission, acting pursuant to said Section 8(c),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62"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$800,000,000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41 of this prospectus for more information.</w:t>
      </w:r>
    </w:p>
    <w:p>
      <w:pPr>
        <w:spacing w:after="0" w:line="4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“PFLT.” The last reported closing price for our common stock on November 20, 2014 was $14.19 per share, and our net asset value on September 30, 2014 was $14.40 per share.</w:t>
      </w:r>
    </w:p>
    <w:p>
      <w:pPr>
        <w:spacing w:after="0" w:line="4"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ind w:right="18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760"/>
        <w:spacing w:after="0"/>
        <w:tabs>
          <w:tab w:leader="none" w:pos="620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2014</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860" w:type="dxa"/>
            <w:vAlign w:val="bottom"/>
            <w:tcBorders>
              <w:top w:val="single" w:sz="8" w:color="0000EE"/>
            </w:tcBorders>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920" w:type="dxa"/>
            <w:vAlign w:val="bottom"/>
            <w:gridSpan w:val="1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SELECTED FINANCIAL DATA</w:t>
              </w:r>
            </w:hyperlink>
          </w:p>
        </w:tc>
        <w:tc>
          <w:tcPr>
            <w:tcW w:w="840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8700" w:type="dxa"/>
            <w:vAlign w:val="bottom"/>
            <w:tcBorders>
              <w:top w:val="single" w:sz="8" w:color="0000EE"/>
            </w:tcBorders>
            <w:gridSpan w:val="3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PRICE RANGE OF COMMON STOCK</w:t>
              </w:r>
            </w:hyperlink>
          </w:p>
        </w:tc>
        <w:tc>
          <w:tcPr>
            <w:tcW w:w="788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454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13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DISTRIBUTIONS</w:t>
              </w:r>
            </w:hyperlink>
          </w:p>
        </w:tc>
        <w:tc>
          <w:tcPr>
            <w:tcW w:w="9440" w:type="dxa"/>
            <w:vAlign w:val="bottom"/>
            <w:gridSpan w:val="2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BUSINESS</w:t>
              </w:r>
            </w:hyperlink>
          </w:p>
        </w:tc>
        <w:tc>
          <w:tcPr>
            <w:tcW w:w="994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64"/>
        </w:trPr>
        <w:tc>
          <w:tcPr>
            <w:tcW w:w="3440" w:type="dxa"/>
            <w:vAlign w:val="bottom"/>
            <w:tcBorders>
              <w:top w:val="single" w:sz="8" w:color="0000EE"/>
            </w:tcBorders>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64"/>
        </w:trPr>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4"/>
        </w:trPr>
        <w:tc>
          <w:tcPr>
            <w:tcW w:w="444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330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27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DIVIDEND REINVESTMENT PLAN</w:t>
              </w:r>
            </w:hyperlink>
          </w:p>
        </w:tc>
        <w:tc>
          <w:tcPr>
            <w:tcW w:w="8020" w:type="dxa"/>
            <w:vAlign w:val="bottom"/>
            <w:gridSpan w:val="1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322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DESCRIPTION OF OUR CAPITAL STOCK</w:t>
              </w:r>
            </w:hyperlink>
          </w:p>
        </w:tc>
        <w:tc>
          <w:tcPr>
            <w:tcW w:w="7560" w:type="dxa"/>
            <w:vAlign w:val="bottom"/>
            <w:gridSpan w:val="1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3480" w:type="dxa"/>
            <w:vAlign w:val="bottom"/>
            <w:tcBorders>
              <w:top w:val="single" w:sz="8" w:color="0000EE"/>
            </w:tcBorders>
            <w:gridSpan w:val="2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3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11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REGULATION</w:t>
              </w:r>
            </w:hyperlink>
          </w:p>
        </w:tc>
        <w:tc>
          <w:tcPr>
            <w:tcW w:w="9660" w:type="dxa"/>
            <w:vAlign w:val="bottom"/>
            <w:gridSpan w:val="3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43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476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16">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122">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436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4"/>
              </w:rPr>
            </w:pPr>
            <w:hyperlink w:anchor="page123">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22"/>
                <w:szCs w:val="22"/>
                <w:color w:val="auto"/>
              </w:rPr>
            </w:pPr>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64"/>
        </w:trPr>
        <w:tc>
          <w:tcPr>
            <w:tcW w:w="24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PART C OTHER INFORMATION</w:t>
              </w:r>
            </w:hyperlink>
          </w:p>
        </w:tc>
        <w:tc>
          <w:tcPr>
            <w:tcW w:w="830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383"/>
        </w:trPr>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$800,000,000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1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7189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 w:lineRule="exact"/>
        <w:rPr>
          <w:sz w:val="20"/>
          <w:szCs w:val="20"/>
          <w:color w:val="auto"/>
        </w:rPr>
      </w:pPr>
    </w:p>
    <w:p>
      <w:pPr>
        <w:ind w:left="200" w:firstLine="55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and “Credit Facility” refers to our senior secured revolving credit facility, as amended.</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100" w:firstLine="55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2" w:lineRule="exact"/>
        <w:rPr>
          <w:sz w:val="20"/>
          <w:szCs w:val="20"/>
          <w:color w:val="auto"/>
        </w:rPr>
      </w:pPr>
    </w:p>
    <w:p>
      <w:pPr>
        <w:ind w:left="200" w:firstLine="553"/>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60" w:firstLine="553"/>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44" w:lineRule="exact"/>
        <w:rPr>
          <w:sz w:val="20"/>
          <w:szCs w:val="20"/>
          <w:color w:val="auto"/>
        </w:rPr>
      </w:pPr>
    </w:p>
    <w:p>
      <w:pPr>
        <w:ind w:left="200" w:right="20" w:firstLine="553"/>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60" w:firstLine="553"/>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0" w:lineRule="exact"/>
        <w:rPr>
          <w:sz w:val="20"/>
          <w:szCs w:val="20"/>
          <w:color w:val="auto"/>
        </w:rPr>
      </w:pPr>
    </w:p>
    <w:p>
      <w:pPr>
        <w:ind w:left="200" w:right="320" w:firstLine="553"/>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8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581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approximately $4.1 billion in 344 companies with 140 different financial sponsors through its managed funds.</w:t>
      </w:r>
    </w:p>
    <w:p>
      <w:pPr>
        <w:spacing w:after="0" w:line="120" w:lineRule="exact"/>
        <w:rPr>
          <w:sz w:val="20"/>
          <w:szCs w:val="20"/>
          <w:color w:val="auto"/>
        </w:rPr>
      </w:pPr>
    </w:p>
    <w:p>
      <w:pPr>
        <w:ind w:left="200" w:right="8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40" w:firstLine="553"/>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As a result of the difficulties in the credit markets and fewer sources of capital for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220" w:firstLine="553"/>
        <w:spacing w:after="0" w:line="294"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25 years of experience in mezzanine lending, leveraged finance, distressed debt and private equity businesses,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16" w:lineRule="exact"/>
        <w:rPr>
          <w:sz w:val="20"/>
          <w:szCs w:val="20"/>
          <w:color w:val="auto"/>
        </w:rPr>
      </w:pPr>
    </w:p>
    <w:p>
      <w:pPr>
        <w:ind w:left="200" w:firstLine="553"/>
        <w:spacing w:after="0" w:line="318"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95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695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firstLine="553"/>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or the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left="200" w:right="120" w:firstLine="553"/>
        <w:spacing w:after="0" w:line="254"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 —Administration Agreement” for more information.</w:t>
      </w:r>
    </w:p>
    <w:p>
      <w:pPr>
        <w:spacing w:after="0" w:line="144" w:lineRule="exact"/>
        <w:rPr>
          <w:sz w:val="20"/>
          <w:szCs w:val="20"/>
          <w:color w:val="auto"/>
        </w:rPr>
      </w:pPr>
    </w:p>
    <w:p>
      <w:pPr>
        <w:ind w:left="200" w:right="28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553"/>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2014, the corresponding interest rate charged on such borrowings as of that date and the length of time that it may take us to invest any proceeds in new or existing portfolio companies.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5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654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right="420" w:firstLine="553"/>
        <w:spacing w:after="0" w:line="268" w:lineRule="auto"/>
        <w:rPr>
          <w:sz w:val="20"/>
          <w:szCs w:val="20"/>
          <w:color w:val="auto"/>
        </w:rPr>
      </w:pPr>
      <w:r>
        <w:rPr>
          <w:rFonts w:ascii="Arial" w:cs="Arial" w:eastAsia="Arial" w:hAnsi="Arial"/>
          <w:sz w:val="18"/>
          <w:szCs w:val="18"/>
          <w:color w:val="auto"/>
        </w:rPr>
        <w:t>We intend to continue our monthly distributions to our common stockholders. Our monthly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6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28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528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220" w:firstLine="553"/>
        <w:spacing w:after="0" w:line="268" w:lineRule="auto"/>
        <w:rPr>
          <w:sz w:val="20"/>
          <w:szCs w:val="20"/>
          <w:color w:val="auto"/>
        </w:rPr>
      </w:pPr>
      <w:r>
        <w:rPr>
          <w:rFonts w:ascii="Arial" w:cs="Arial" w:eastAsia="Arial" w:hAnsi="Arial"/>
          <w:sz w:val="18"/>
          <w:szCs w:val="18"/>
          <w:color w:val="auto"/>
        </w:rPr>
        <w:t>We may offer, from time to time, up to $800 million of our securities, on terms to be determined at the time of each such offering and set forth in a supplement to this prospectus.</w:t>
      </w:r>
    </w:p>
    <w:p>
      <w:pPr>
        <w:spacing w:after="0" w:line="132"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left="200" w:right="120" w:firstLine="55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553"/>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material that we file with the SEC on the EDGAR Database.</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220" w:type="dxa"/>
            <w:vAlign w:val="bottom"/>
          </w:tcPr>
          <w:p>
            <w:pPr>
              <w:spacing w:after="0"/>
              <w:rPr>
                <w:sz w:val="19"/>
                <w:szCs w:val="19"/>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Sales load</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1.69 %</w:t>
      </w:r>
      <w:r>
        <w:rPr>
          <w:rFonts w:ascii="Arial" w:cs="Arial" w:eastAsia="Arial" w:hAnsi="Arial"/>
          <w:sz w:val="10"/>
          <w:szCs w:val="10"/>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2.04 %</w:t>
      </w:r>
      <w:r>
        <w:rPr>
          <w:rFonts w:ascii="Arial" w:cs="Arial" w:eastAsia="Arial" w:hAnsi="Arial"/>
          <w:sz w:val="10"/>
          <w:szCs w:val="10"/>
          <w:color w:val="auto"/>
        </w:rPr>
        <w:t>(5)</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1.64 %</w:t>
      </w:r>
      <w:r>
        <w:rPr>
          <w:rFonts w:ascii="Arial" w:cs="Arial" w:eastAsia="Arial" w:hAnsi="Arial"/>
          <w:sz w:val="10"/>
          <w:szCs w:val="10"/>
          <w:color w:val="auto"/>
        </w:rPr>
        <w:t>(6)</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1.05 %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33020</wp:posOffset>
            </wp:positionV>
            <wp:extent cx="231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6.42 %</w:t>
      </w:r>
      <w:r>
        <w:rPr>
          <w:rFonts w:ascii="Arial" w:cs="Arial" w:eastAsia="Arial" w:hAnsi="Arial"/>
          <w:sz w:val="10"/>
          <w:szCs w:val="10"/>
          <w:color w:val="auto"/>
        </w:rPr>
        <w:t>(8)</w:t>
      </w:r>
    </w:p>
    <w:p>
      <w:pPr>
        <w:spacing w:after="0" w:line="214" w:lineRule="exact"/>
        <w:rPr>
          <w:sz w:val="20"/>
          <w:szCs w:val="20"/>
          <w:color w:val="auto"/>
        </w:rPr>
      </w:pPr>
    </w:p>
    <w:p>
      <w:pPr>
        <w:sectPr>
          <w:pgSz w:w="11900" w:h="16838" w:orient="portrait"/>
          <w:cols w:equalWidth="0" w:num="2">
            <w:col w:w="9900" w:space="720"/>
            <w:col w:w="780"/>
          </w:cols>
          <w:pgMar w:left="240" w:top="459" w:right="259" w:bottom="1440" w:gutter="0" w:footer="0" w:header="0"/>
          <w:type w:val="continuous"/>
        </w:sectPr>
      </w:pPr>
    </w:p>
    <w:p>
      <w:pPr>
        <w:spacing w:after="0" w:line="4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three months ended September 30, 2014.</w:t>
      </w:r>
    </w:p>
    <w:p>
      <w:pPr>
        <w:spacing w:after="0" w:line="68" w:lineRule="exact"/>
        <w:rPr>
          <w:rFonts w:ascii="Arial" w:cs="Arial" w:eastAsia="Arial" w:hAnsi="Arial"/>
          <w:sz w:val="14"/>
          <w:szCs w:val="14"/>
          <w:color w:val="auto"/>
        </w:rPr>
      </w:pPr>
    </w:p>
    <w:p>
      <w:pPr>
        <w:ind w:left="580" w:right="440" w:hanging="572"/>
        <w:spacing w:after="0" w:line="239"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2014.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80" w:hanging="572"/>
        <w:spacing w:after="0" w:line="266"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194" w:lineRule="exact"/>
        <w:rPr>
          <w:rFonts w:ascii="Arial" w:cs="Arial" w:eastAsia="Arial" w:hAnsi="Arial"/>
          <w:sz w:val="12"/>
          <w:szCs w:val="12"/>
          <w:color w:val="auto"/>
        </w:rPr>
      </w:pPr>
    </w:p>
    <w:p>
      <w:pPr>
        <w:ind w:left="580" w:right="20" w:hanging="572"/>
        <w:spacing w:after="0" w:line="228"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September 30, 2014, we had $146.4 million in borrowings outstanding under our $200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58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580" w:right="10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35 of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7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estimated annual expenses of 4.38%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10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77</w:t>
            </w: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40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w:t>
            </w:r>
          </w:p>
        </w:tc>
        <w:tc>
          <w:tcPr>
            <w:tcW w:w="4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87</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190</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292</w:t>
            </w:r>
          </w:p>
        </w:tc>
        <w:tc>
          <w:tcPr>
            <w:tcW w:w="4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our expenses, and returns to investors, would be higher. The example assumes that all distributions are reinvested at net asset value. Reinvestment of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if any, before you decide whether to make an investment in our securities. The risks set out below are not the only risks we face. Additional risks and uncertainties not currently known to us or that we currently deem to be immaterial also may have a material adverse affect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99"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Funding I’s Credit Facility.</w:t>
      </w:r>
    </w:p>
    <w:p>
      <w:pPr>
        <w:spacing w:after="0" w:line="51"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In addition to the applicable asset coverage ratio that restricts our ability to borrow under our Credit Facility, the Credit Facility contains various covenants applicable to Funding I. For example, the income coverage covenant, or test, compares the amount of interest received on the portfolio loans held by Funding I to the amount of interest payable under the Credit Facility to the lenders, or the Lenders, and certain other expenses. To meet this test,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require changes in the priority of distributions under the payment waterfall, which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43"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43"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securities litigation.</w:t>
      </w:r>
    </w:p>
    <w:p>
      <w:pPr>
        <w:spacing w:after="0" w:line="90" w:lineRule="exact"/>
        <w:rPr>
          <w:sz w:val="20"/>
          <w:szCs w:val="20"/>
          <w:color w:val="auto"/>
        </w:rPr>
      </w:pPr>
    </w:p>
    <w:p>
      <w:pPr>
        <w:ind w:right="280" w:firstLine="571"/>
        <w:spacing w:after="0" w:line="259"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22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0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may not replicate the historical performance of other investment companies and funds with which our investment professionals have been affiliated.</w:t>
      </w:r>
    </w:p>
    <w:p>
      <w:pPr>
        <w:spacing w:after="0" w:line="125" w:lineRule="exact"/>
        <w:rPr>
          <w:sz w:val="20"/>
          <w:szCs w:val="20"/>
          <w:color w:val="auto"/>
        </w:rPr>
      </w:pPr>
    </w:p>
    <w:p>
      <w:pPr>
        <w:ind w:right="22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an amount at least equal to the sum of (1) 98% of our net ordinary income (for the calendar year), (2) 98.2% of the sum of our net realized capital gains (during each 12-month period ending on October 31), and (3) the sum of any net ordinary income plus capital gains and net ordinary gains for preceding years that were not distributed during such years.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original issue discount, or OID, and payment-in-kind interest,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Annual Distribution Requirement and obtaining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224"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571"/>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However, we may retain certain net long-term capital gains and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are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 corporate-level income tax on us.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permissible under the asset coverage definition under the 1940 Act. Our ability to pay dividends or issue additional senior securities would be restricted if our asset coverage ratio was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59" w:lineRule="exact"/>
        <w:rPr>
          <w:sz w:val="20"/>
          <w:szCs w:val="20"/>
          <w:color w:val="auto"/>
        </w:rPr>
      </w:pPr>
    </w:p>
    <w:p>
      <w:pPr>
        <w:ind w:left="460" w:right="4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64" w:lineRule="exact"/>
        <w:rPr>
          <w:rFonts w:ascii="Arial" w:cs="Arial" w:eastAsia="Arial" w:hAnsi="Arial"/>
          <w:sz w:val="16"/>
          <w:szCs w:val="16"/>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and any cash that we use to service our indebtedness is not available for distribution to our common stockholders.</w:t>
      </w:r>
    </w:p>
    <w:p>
      <w:pPr>
        <w:spacing w:after="0" w:line="116"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20" w:firstLine="571"/>
        <w:spacing w:after="0" w:line="307" w:lineRule="auto"/>
        <w:rPr>
          <w:sz w:val="20"/>
          <w:szCs w:val="20"/>
          <w:color w:val="auto"/>
        </w:rPr>
      </w:pPr>
      <w:r>
        <w:rPr>
          <w:rFonts w:ascii="Arial" w:cs="Arial" w:eastAsia="Arial" w:hAnsi="Arial"/>
          <w:sz w:val="15"/>
          <w:szCs w:val="15"/>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85"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As of September 30, 2014, we had outstanding borrowings of $146.4 million under our Credit Facility with a current interest rate on of 2.16% exclusive of the fees on the undrawn commitment of 0.375%. Accordingly, to cover the annual interest on our borrowings outstanding at September 30, 2014, at the then current rate, we would have to receive an annual yield of at least 0.88%.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89"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following table is designed to illustrate the effect on return to a holder of our common stock of the leverage created by our use of borrowing at September 30, 2014 of 39% of total assets (including such borrowed funds), at a current interest rate at the time of 2.16%,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1"/>
                <w:szCs w:val="11"/>
                <w:color w:val="auto"/>
              </w:rPr>
              <w:t>(1)</w:t>
            </w:r>
          </w:p>
        </w:tc>
        <w:tc>
          <w:tcPr>
            <w:tcW w:w="2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1"/>
                <w:szCs w:val="11"/>
                <w:color w:val="auto"/>
              </w:rPr>
              <w:t>(2)</w:t>
            </w:r>
          </w:p>
        </w:tc>
        <w:tc>
          <w:tcPr>
            <w:tcW w:w="2620" w:type="dxa"/>
            <w:vAlign w:val="bottom"/>
          </w:tcPr>
          <w:p>
            <w:pPr>
              <w:jc w:val="right"/>
              <w:ind w:right="152"/>
              <w:spacing w:after="0"/>
              <w:rPr>
                <w:sz w:val="20"/>
                <w:szCs w:val="20"/>
                <w:color w:val="auto"/>
              </w:rPr>
            </w:pPr>
            <w:r>
              <w:rPr>
                <w:rFonts w:ascii="Arial" w:cs="Arial" w:eastAsia="Arial" w:hAnsi="Arial"/>
                <w:sz w:val="18"/>
                <w:szCs w:val="18"/>
                <w:color w:val="auto"/>
              </w:rPr>
              <w:t>(18.9)%</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(10.2)%</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03" w:lineRule="auto"/>
        <w:tabs>
          <w:tab w:leader="none" w:pos="22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22"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60" w:firstLine="571"/>
        <w:spacing w:after="0" w:line="291" w:lineRule="auto"/>
        <w:rPr>
          <w:sz w:val="20"/>
          <w:szCs w:val="20"/>
          <w:color w:val="auto"/>
        </w:rPr>
      </w:pPr>
      <w:r>
        <w:rPr>
          <w:rFonts w:ascii="Arial" w:cs="Arial" w:eastAsia="Arial" w:hAnsi="Arial"/>
          <w:sz w:val="16"/>
          <w:szCs w:val="16"/>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8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51"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Credit Facility expires in May 2018.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1"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51"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93"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25"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affairs.</w:t>
      </w:r>
    </w:p>
    <w:p>
      <w:pPr>
        <w:spacing w:after="0" w:line="199"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94"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89"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90"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158"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44"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90"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This will tend to mitigate volatility in our earnings and NAV. As a result of these factors, results for any period should not be relied upon as being indicative of performance in future periods.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20" w:firstLine="8"/>
        <w:spacing w:after="0" w:line="292" w:lineRule="auto"/>
        <w:tabs>
          <w:tab w:leader="none" w:pos="35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90"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5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At September 30, 2014, all of our investments were recorded at fair value as approved in good faith by our board of directors. Our board of directors uses the services of one or more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rely in part on our over-the-counter securities, which have and may continue to face liquidity constraints under recent market conditions, to provide us with adequate liquidity.</w:t>
      </w:r>
    </w:p>
    <w:p>
      <w:pPr>
        <w:spacing w:after="0" w:line="51"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intend to invest primarily in Floating Rate Loans, which may consist of senior secured loans, mezzanine debt and selected equity investments issued by U.S. middle-market companies.</w:t>
      </w:r>
    </w:p>
    <w:p>
      <w:pPr>
        <w:spacing w:after="0" w:line="118" w:lineRule="exact"/>
        <w:rPr>
          <w:sz w:val="20"/>
          <w:szCs w:val="20"/>
          <w:color w:val="auto"/>
        </w:rPr>
      </w:pPr>
    </w:p>
    <w:p>
      <w:pPr>
        <w:ind w:left="920" w:right="80" w:hanging="345"/>
        <w:spacing w:after="0" w:line="289"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Rate Loans: </w:t>
      </w:r>
      <w:r>
        <w:rPr>
          <w:rFonts w:ascii="Arial" w:cs="Arial" w:eastAsia="Arial" w:hAnsi="Arial"/>
          <w:sz w:val="16"/>
          <w:szCs w:val="16"/>
          <w:color w:val="auto"/>
        </w:rPr>
        <w:t>The Floating Rate Loans we invest in are usually rated below investment grade or may also be unrated.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4" w:lineRule="exact"/>
        <w:rPr>
          <w:rFonts w:ascii="Arial" w:cs="Arial" w:eastAsia="Arial" w:hAnsi="Arial"/>
          <w:sz w:val="16"/>
          <w:szCs w:val="16"/>
          <w:color w:val="auto"/>
        </w:rPr>
      </w:pPr>
    </w:p>
    <w:p>
      <w:pPr>
        <w:ind w:left="920" w:right="60"/>
        <w:spacing w:after="0" w:line="288" w:lineRule="auto"/>
        <w:rPr>
          <w:rFonts w:ascii="Arial" w:cs="Arial" w:eastAsia="Arial" w:hAnsi="Arial"/>
          <w:sz w:val="16"/>
          <w:szCs w:val="16"/>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11" w:lineRule="exact"/>
        <w:rPr>
          <w:sz w:val="20"/>
          <w:szCs w:val="20"/>
          <w:color w:val="auto"/>
        </w:rPr>
      </w:pPr>
    </w:p>
    <w:p>
      <w:pPr>
        <w:ind w:left="920" w:right="40" w:hanging="345"/>
        <w:spacing w:after="0" w:line="288"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920" w:hanging="345"/>
        <w:spacing w:after="0" w:line="290"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4" w:lineRule="exact"/>
        <w:rPr>
          <w:rFonts w:ascii="Arial" w:cs="Arial" w:eastAsia="Arial" w:hAnsi="Arial"/>
          <w:sz w:val="16"/>
          <w:szCs w:val="16"/>
          <w:color w:val="auto"/>
        </w:rPr>
      </w:pPr>
    </w:p>
    <w:p>
      <w:pPr>
        <w:ind w:left="920" w:right="40" w:hanging="345"/>
        <w:spacing w:after="0" w:line="291"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loans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58" w:lineRule="exact"/>
        <w:rPr>
          <w:sz w:val="20"/>
          <w:szCs w:val="20"/>
          <w:color w:val="auto"/>
        </w:rPr>
      </w:pPr>
    </w:p>
    <w:p>
      <w:pPr>
        <w:jc w:val="both"/>
        <w:ind w:left="900" w:right="1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6"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publicly-available information, narrower product lines and smaller market shares than larger businesses, which tend to render them more vulnerable to competitors’ actions and changing market conditions, as well as general economic downturns;</w:t>
      </w:r>
    </w:p>
    <w:p>
      <w:pPr>
        <w:spacing w:after="0" w:line="126"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1"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9"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40" w:firstLine="228"/>
        <w:spacing w:after="0" w:line="357" w:lineRule="auto"/>
        <w:rPr>
          <w:sz w:val="20"/>
          <w:szCs w:val="20"/>
          <w:color w:val="auto"/>
        </w:rPr>
      </w:pPr>
      <w:r>
        <w:rPr>
          <w:rFonts w:ascii="Arial" w:cs="Arial" w:eastAsia="Arial" w:hAnsi="Arial"/>
          <w:sz w:val="15"/>
          <w:szCs w:val="15"/>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6"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18"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4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225"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94"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90"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our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9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or we incur a net loss for that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intend to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right="140" w:firstLine="571"/>
        <w:spacing w:after="0" w:line="323" w:lineRule="auto"/>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 Our shares closed on the NASDAQ Global Select Market at $13.78 on both September 30, 2014 and 2013. Our NAV per share was $14.40 and $14.10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8" w:lineRule="exact"/>
        <w:rPr>
          <w:sz w:val="20"/>
          <w:szCs w:val="20"/>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7"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4"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460" w:firstLine="571"/>
        <w:spacing w:after="0" w:line="298" w:lineRule="auto"/>
        <w:rPr>
          <w:sz w:val="20"/>
          <w:szCs w:val="20"/>
          <w:color w:val="auto"/>
        </w:rPr>
      </w:pPr>
      <w:r>
        <w:rPr>
          <w:rFonts w:ascii="Arial" w:cs="Arial" w:eastAsia="Arial" w:hAnsi="Arial"/>
          <w:sz w:val="16"/>
          <w:szCs w:val="16"/>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as amended, or the Sarbanes-Oxley Act, and other rules implemented by the SEC and the listing standards of the NASDAQ Stock Market LLC.</w:t>
      </w:r>
    </w:p>
    <w:p>
      <w:pPr>
        <w:spacing w:after="0" w:line="19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171"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4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periodic reports that we in the future may file with the SEC, including annual and quarterly reports on Form 10-K/Q and current reports on Form 8-K.</w:t>
      </w:r>
    </w:p>
    <w:p>
      <w:pPr>
        <w:spacing w:after="0" w:line="143"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September 30, 2014, we had $146.4 million in borrowings outstanding under our $200 million Credit Facility. Borrowings under our Credit Facility bear interest at LIBOR plus 200 basis points per annum during the revolving period, and the rate resets to LIBOR plus 425 basis points per annum for the remaining two years. At September 30, 2014, the interest rate was 2.16%, excluding the 0.375% undrawn commitment fee.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1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have derived the other data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For the period</w:t>
            </w:r>
          </w:p>
        </w:tc>
        <w:tc>
          <w:tcPr>
            <w:tcW w:w="24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24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24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operations)</w:t>
            </w:r>
          </w:p>
        </w:tc>
        <w:tc>
          <w:tcPr>
            <w:tcW w:w="24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 2011</w:t>
            </w:r>
          </w:p>
        </w:tc>
        <w:tc>
          <w:tcPr>
            <w:tcW w:w="240" w:type="dxa"/>
            <w:vAlign w:val="bottom"/>
          </w:tcPr>
          <w:p>
            <w:pPr>
              <w:spacing w:after="0"/>
              <w:rPr>
                <w:sz w:val="14"/>
                <w:szCs w:val="14"/>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12,099</w:t>
            </w: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2,947</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8,344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2,626</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10,523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1,461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44"/>
              <w:spacing w:after="0"/>
              <w:rPr>
                <w:sz w:val="20"/>
                <w:szCs w:val="20"/>
                <w:color w:val="auto"/>
              </w:rPr>
            </w:pPr>
            <w:r>
              <w:rPr>
                <w:rFonts w:ascii="Arial" w:cs="Arial" w:eastAsia="Arial" w:hAnsi="Arial"/>
                <w:sz w:val="18"/>
                <w:szCs w:val="18"/>
                <w:color w:val="auto"/>
              </w:rPr>
              <w:t>(3,793)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11,985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(3,473)</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(0.56)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 xml:space="preserve">Net increase (decrease) in net assets resulting from operations </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44"/>
              <w:spacing w:after="0"/>
              <w:rPr>
                <w:sz w:val="20"/>
                <w:szCs w:val="20"/>
                <w:color w:val="auto"/>
              </w:rPr>
            </w:pPr>
            <w:r>
              <w:rPr>
                <w:rFonts w:ascii="Arial" w:cs="Arial" w:eastAsia="Arial" w:hAnsi="Arial"/>
                <w:sz w:val="18"/>
                <w:szCs w:val="18"/>
                <w:color w:val="auto"/>
              </w:rPr>
              <w:t>(0.51)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Distributions declared </w:t>
            </w:r>
            <w:r>
              <w:rPr>
                <w:rFonts w:ascii="Arial" w:cs="Arial" w:eastAsia="Arial" w:hAnsi="Arial"/>
                <w:sz w:val="11"/>
                <w:szCs w:val="11"/>
                <w:color w:val="auto"/>
              </w:rPr>
              <w:t>(1), (2)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Consolidated Statements of Assets and Liabilities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328,802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178,367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121,075</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348,428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317,804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171,834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110,724</w:t>
            </w: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99,600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24,650</w:t>
            </w: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net asset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210,066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95,744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92,072</w:t>
            </w:r>
          </w:p>
        </w:tc>
        <w:tc>
          <w:tcPr>
            <w:tcW w:w="2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4"/>
              <w:spacing w:after="0"/>
              <w:rPr>
                <w:sz w:val="20"/>
                <w:szCs w:val="20"/>
                <w:color w:val="auto"/>
              </w:rPr>
            </w:pPr>
            <w:r>
              <w:rPr>
                <w:rFonts w:ascii="Arial" w:cs="Arial" w:eastAsia="Arial" w:hAnsi="Arial"/>
                <w:sz w:val="18"/>
                <w:szCs w:val="18"/>
                <w:color w:val="auto"/>
              </w:rPr>
              <w:t>(28.13)%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Number of portfolio companies </w:t>
            </w:r>
            <w:r>
              <w:rPr>
                <w:rFonts w:ascii="Arial" w:cs="Arial" w:eastAsia="Arial" w:hAnsi="Arial"/>
                <w:sz w:val="11"/>
                <w:szCs w:val="11"/>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 xml:space="preserve">Yield on debt portfolio </w:t>
            </w:r>
            <w:r>
              <w:rPr>
                <w:rFonts w:ascii="Arial" w:cs="Arial" w:eastAsia="Arial" w:hAnsi="Arial"/>
                <w:sz w:val="11"/>
                <w:szCs w:val="11"/>
                <w:color w:val="auto"/>
              </w:rPr>
              <w:t>(4)</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ind w:right="64"/>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663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3"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Based on the weighted average shares outstanding for the respective periods.</w:t>
      </w:r>
    </w:p>
    <w:p>
      <w:pPr>
        <w:ind w:left="220" w:hanging="212"/>
        <w:spacing w:after="0" w:line="182" w:lineRule="auto"/>
        <w:tabs>
          <w:tab w:leader="none" w:pos="22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Determined based on taxable income calculated in accordance with income tax regulations, which may differ from amounts determined under GAAP.</w:t>
      </w:r>
    </w:p>
    <w:p>
      <w:pPr>
        <w:ind w:left="220" w:right="420" w:hanging="212"/>
        <w:spacing w:after="0" w:line="182" w:lineRule="auto"/>
        <w:tabs>
          <w:tab w:leader="none" w:pos="22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Not annualized for a period of less than a year. Based on the change in market price per share during the periods and takes into account distributions, if any, reinvested in accordance with our dividend reinvestment plan.</w:t>
      </w:r>
    </w:p>
    <w:p>
      <w:pPr>
        <w:ind w:left="220" w:hanging="212"/>
        <w:spacing w:after="0" w:line="182" w:lineRule="auto"/>
        <w:tabs>
          <w:tab w:leader="none" w:pos="22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Unaudited, at year end.</w:t>
      </w:r>
    </w:p>
    <w:p>
      <w:pPr>
        <w:ind w:left="220" w:hanging="212"/>
        <w:spacing w:after="0" w:line="185" w:lineRule="auto"/>
        <w:tabs>
          <w:tab w:leader="none" w:pos="22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Included start-up and organizational costs.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5,320</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4,363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3,725</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4,942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7,237</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6,057</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14.46</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365"/>
        </w:trPr>
        <w:tc>
          <w:tcPr>
            <w:tcW w:w="2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3,581</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3,217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1,666</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5,447</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1,567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3,206</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14.10</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14.10</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r>
      <w:tr>
        <w:trPr>
          <w:trHeight w:val="365"/>
        </w:trPr>
        <w:tc>
          <w:tcPr>
            <w:tcW w:w="2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1,846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1,545</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3,944</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387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4,525</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13.94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14.12</w:t>
            </w:r>
          </w:p>
        </w:tc>
        <w:tc>
          <w:tcPr>
            <w:tcW w:w="5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5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r>
      <w:tr>
        <w:trPr>
          <w:trHeight w:val="108"/>
        </w:trPr>
        <w:tc>
          <w:tcPr>
            <w:tcW w:w="240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2"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 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16"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hold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280" w:firstLine="571"/>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4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Estimated Annual Expenses (as a Percentage of Average Total Assets</w:t>
            </w:r>
            <w:r>
              <w:rPr>
                <w:rFonts w:ascii="Arial" w:cs="Arial" w:eastAsia="Arial" w:hAnsi="Arial"/>
                <w:sz w:val="11"/>
                <w:szCs w:val="11"/>
                <w:b w:val="1"/>
                <w:bCs w:val="1"/>
                <w:color w:val="auto"/>
                <w:w w:val="87"/>
              </w:rPr>
              <w:t>(1)</w:t>
            </w:r>
            <w:r>
              <w:rPr>
                <w:rFonts w:ascii="Arial" w:cs="Arial" w:eastAsia="Arial" w:hAnsi="Arial"/>
                <w:sz w:val="18"/>
                <w:szCs w:val="18"/>
                <w:b w:val="1"/>
                <w:bCs w:val="1"/>
                <w:color w:val="auto"/>
                <w:w w:val="87"/>
              </w:rPr>
              <w: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1.20 % </w:t>
            </w:r>
            <w:r>
              <w:rPr>
                <w:rFonts w:ascii="Arial" w:cs="Arial" w:eastAsia="Arial" w:hAnsi="Arial"/>
                <w:sz w:val="11"/>
                <w:szCs w:val="11"/>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0.97 % </w:t>
            </w:r>
            <w:r>
              <w:rPr>
                <w:rFonts w:ascii="Arial" w:cs="Arial" w:eastAsia="Arial" w:hAnsi="Arial"/>
                <w:sz w:val="11"/>
                <w:szCs w:val="11"/>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expenses</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0.62 % </w:t>
            </w:r>
            <w:r>
              <w:rPr>
                <w:rFonts w:ascii="Arial" w:cs="Arial" w:eastAsia="Arial" w:hAnsi="Arial"/>
                <w:sz w:val="11"/>
                <w:szCs w:val="11"/>
                <w:color w:val="auto"/>
              </w:rPr>
              <w:t>(5)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3.79 % </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adjusted gross assets for the three months ended September 30, 2014.</w:t>
      </w:r>
    </w:p>
    <w:p>
      <w:pPr>
        <w:spacing w:after="0" w:line="68"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September 30, 2014, we had $146.4 million in borrowings outstanding under our $200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September 30, 2014.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As of September 30, 2013, our portfolio totaled $317.8 million and consisted of $281.0 million of senior secured loans, $27.5 million of second lien secured debt and $9.3 million of subordinated debt, preferred and common equity.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w:t>
      </w:r>
    </w:p>
    <w:p>
      <w:pPr>
        <w:spacing w:after="0" w:line="89"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58"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For the fiscal year ended September 30, 2013, we invested $316.5 million of investments in 75 new and 19 existing portfolio companies with a weighted average yield on debt investments of 7.9%. Sales and repayments of investments for the year ended September 30, 2013 totaled $174.9 million.</w:t>
      </w:r>
    </w:p>
    <w:p>
      <w:pPr>
        <w:spacing w:after="0" w:line="58" w:lineRule="exact"/>
        <w:rPr>
          <w:sz w:val="20"/>
          <w:szCs w:val="20"/>
          <w:color w:val="auto"/>
        </w:rPr>
      </w:pPr>
    </w:p>
    <w:p>
      <w:pPr>
        <w:ind w:right="560" w:firstLine="571"/>
        <w:spacing w:after="0" w:line="370" w:lineRule="auto"/>
        <w:rPr>
          <w:sz w:val="20"/>
          <w:szCs w:val="20"/>
          <w:color w:val="auto"/>
        </w:rPr>
      </w:pPr>
      <w:r>
        <w:rPr>
          <w:rFonts w:ascii="Arial" w:cs="Arial" w:eastAsia="Arial" w:hAnsi="Arial"/>
          <w:sz w:val="15"/>
          <w:szCs w:val="15"/>
          <w:color w:val="auto"/>
        </w:rPr>
        <w:t>For the fiscal year ended September 30, 2012, we invested $128.7 million of investments in 47 new and seven existing portfolio companies with a weighted average yield on debt investments of 8.9%. Sales and repayments of investments for the year ended September 30, 2012 totaled $71.3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The preparation of our Consolidated Financial Statements in confomity with U.S. GAAP requires management to make estimates and assumptions that affect the reported amounts of our assets and liabilities at the date of the Consolidated Financial Statements and the reported amounts of income and expenses during the reporting periods. Actual results could differ from these estimates due to changes in the economic and regulatory environment, financial markets and any other parameters used in determining such estimates. We reclassified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91"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7" w:lineRule="exact"/>
        <w:rPr>
          <w:sz w:val="20"/>
          <w:szCs w:val="20"/>
          <w:color w:val="auto"/>
        </w:rPr>
      </w:pPr>
    </w:p>
    <w:p>
      <w:pPr>
        <w:ind w:left="900" w:right="4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58" w:lineRule="exact"/>
        <w:rPr>
          <w:sz w:val="20"/>
          <w:szCs w:val="20"/>
          <w:color w:val="auto"/>
        </w:rPr>
      </w:pPr>
    </w:p>
    <w:p>
      <w:pPr>
        <w:ind w:left="1700" w:right="1660" w:hanging="769"/>
        <w:spacing w:after="0" w:line="268" w:lineRule="auto"/>
        <w:tabs>
          <w:tab w:leader="none" w:pos="16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700" w:right="940" w:hanging="769"/>
        <w:spacing w:after="0" w:line="306"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700" w:right="1380" w:hanging="769"/>
        <w:spacing w:after="0" w:line="268" w:lineRule="auto"/>
        <w:tabs>
          <w:tab w:leader="none" w:pos="16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8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$0.4 million and $0.3 million, relating to amendment fees on the Credit Facility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2014, 2013 and 2012, our Credit Facility had a net change in unrealized (appreciation) depreciation of $(0.5) million, $(0.4) million and $0.4 million, respectively. As of September 30, 2014 and 2013, the net unrealized appreciation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a reason to doubt our ability to collect such interest. Loan origination fees, OID and market discount or premium and deferred financing costs are capitalized, on liabilities which we do not fair value, and then accreted or amortized using the effective interest method. We record prepayment penalties on loans and debt investments as income. Dividend income, if any, is recognized on an accrual basis on the ex-dividend date to the extent that we expect to collect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and Credit Facility during the reporting period, including any reversal of previously recorded unrealized appreciation or depreciation, when gains or losses are realized.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interest on PIK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years ended September 30, 2014, 2013 and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Investment income for the year ended September 30, 2014 was $30.4 million and was attributable to $24.5 million from senior secured loans, $4.2 million from second lien secured debt and $1.7 million from subordinated debt. The increase in investment income over the prior year is primarily due to the growth of our portfolio.</w:t>
      </w:r>
    </w:p>
    <w:p>
      <w:pPr>
        <w:spacing w:after="0" w:line="11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Investment income for the year ended September 30, 2013 was $18.9 million and was attributable to $16.0 million from senior secured loans, $1.6 million from second lien secured debt and $1.3 million from subordinated debt. The increase in investment income over the prior year is primarily the result of deploying our proceeds from our equity offerings and increased borrowings under our Credit Facility.</w:t>
      </w:r>
    </w:p>
    <w:p>
      <w:pPr>
        <w:spacing w:after="0" w:line="11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Investment income for the year ended September 30, 2012 was $12.1 million and was attributable to $9.9 million from senior secured loans, $1.0 million from second lien secured debt and $1.2 million from subordinated debt. The increase in interest income over the prior year was due to both a full year of operation and the increased size of our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Expenses for the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 The increase in base management fee, incentive fee and Credit Facility expenses was due to the growth of our portfolio and expanding our borrowing capacity under our Credit Facility.</w:t>
      </w:r>
    </w:p>
    <w:p>
      <w:pPr>
        <w:spacing w:after="0" w:line="11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Expenses for the year ended September 30, 2013 totaled $8.3 million. Base management fee for the same period totaled $2.2 million, incentive fee totaled $1.9 million, Credit Facility expenses totaled $2.3 million (including $0.4 million of Credit Facility amendment expenses), general and administrative expenses totaled $1.8 million and excise taxes were $0.1 million. The increase in expenses was due to the growth of our portfolio and expanding our borrowing capacity under our Credit Facility.</w:t>
      </w:r>
    </w:p>
    <w:p>
      <w:pPr>
        <w:spacing w:after="0" w:line="11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Expenses for the year ended September 30, 2012 totaled $5.8 million. Base management fee for the same period totaled $1.5 million, incentive fee totaled $0.6 million, Credit Facility expenses totaled $1.8 million (including $0.3 million of Credit Facility amendment expenses) and general and administrative expenses totaled $1.9 million. We expect our Credit Facility expenses and management fee to continue to increase as a result of growth in our portfolio. Additionally, general and administrative costs increased over the prior year due to a full year of operation.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Net investment income totaled $16.6 million or $1.12 per share, $10.5 million or $1.10 per share and $6.3 million or $0.92 per share, for the fiscal years ended September 30, 2014, 2013 and 2012, respectively. The increase in net investment income was due to a larger portfolio, which was partially offset by Credit Facility amendment costs.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Sales and repayments of investments for the years ended September 30, 2014, 2013 and 2012 totaled $225.6 million, $174.9 million and $71.3 million, respectively. Net realized gains totaled $2.9 million, $3.6 million and $0.9 million for the same periods, respectively. The decrease in realized gains over the prior year was driven by changes in market conditions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280" w:firstLine="571"/>
        <w:spacing w:after="0" w:line="306" w:lineRule="auto"/>
        <w:rPr>
          <w:sz w:val="20"/>
          <w:szCs w:val="20"/>
          <w:color w:val="auto"/>
        </w:rPr>
      </w:pPr>
      <w:r>
        <w:rPr>
          <w:rFonts w:ascii="Arial" w:cs="Arial" w:eastAsia="Arial" w:hAnsi="Arial"/>
          <w:sz w:val="16"/>
          <w:szCs w:val="16"/>
          <w:color w:val="auto"/>
        </w:rPr>
        <w:t>For the years ended September 30, 2014, 2013 and 2012, we reported unrealized appreciation (depreciation) on investments of $1.6 million, $(1.7) million and $4.4 million, respectively. As of September 30, 2014 and 2013, net unrealized appreciation (depreciation) on investments totaled $0.1 million and $(1.5) million, respectively. The change compared to prior year was the result of the overall variation in the leveraged finance markets.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years ended September 30, 2014, 2013 and 2012, our Credit Facility had a change in unrealized (appreciation) depreciation of $(0.5)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$0.4 million, respectively. As of September 30, 2014 and 2013, net unrealized appreciation on our Credit Facility totaled $0.5 million and zero,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change compared to prior year was due to changes in the capital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Net change in net assets resulting from operations totaled $20.5 million or $1.38 per share, $12.0 million or $1.25 per share and $12.0 million or $1.75 per share, for the fiscal years ended September 30, 2014, 2013 and 2012, respectively. We found attractive investment opportunities to grow net assets from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As of September 30, 2014, Funding I’s Credit Facility with the Lenders is $200 million, subject to satisfaction of certain conditions and the regulatory restrictions that the 1940 Act imposes on us as a BDC, has an interest rate spread above LIBOR of 200 basis points, a maturity date of May 2018 and a revolving period that ends in May 2016. As of September 30, 2014 and 2013, Funding I had $146.4 million and $99.6 million of outstanding borrowings under the Credit Facility, respectively, and carried an interest rate of 2.16% and 2.18%, respectively, excluding the 0.375% undrawn commitment fee. The weighted average cost of debt for the years ended September 30, 2014, 2013 and 2012, inclusive of the fee on the undrawn commitment on the Credit Facility but excluding amendment costs, was 2.35%, 2.59% and 3.21%, respectively. As of September 30, 2014 and 2013, we had $53.6 million and $25.4 million of unused borrowing capacity, respectively, subject to the regulatory restrictions that the 1940 Act imposes on us as a BDC.</w:t>
      </w:r>
    </w:p>
    <w:p>
      <w:pPr>
        <w:spacing w:after="0" w:line="9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During the Credit Facility’s revolving period, which extends to May 2016,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second amended and restated revolving credit and security agreement filed as exhibit 10.1 to our Form 10-K filed November 14, 2013. As of September 30, 2014, we were in compliance with the covenants relating to our Credit Facility.</w:t>
      </w:r>
    </w:p>
    <w:p>
      <w:pPr>
        <w:spacing w:after="0" w:line="93"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In 2013, we completed follow-on public offerings of 8,038,700 shares of common stock for gross proceeds of $113.4 million and net proceeds of $112.3 million after offering expenses. Our Investment Adviser paid an aggregate of $2.9 million of the sales load associated with these offerings.</w:t>
      </w:r>
    </w:p>
    <w:p>
      <w:pPr>
        <w:spacing w:after="0" w:line="85" w:lineRule="exact"/>
        <w:rPr>
          <w:sz w:val="20"/>
          <w:szCs w:val="20"/>
          <w:color w:val="auto"/>
        </w:rPr>
      </w:pPr>
    </w:p>
    <w:p>
      <w:pPr>
        <w:ind w:right="380" w:firstLine="571"/>
        <w:spacing w:after="0" w:line="332" w:lineRule="auto"/>
        <w:rPr>
          <w:sz w:val="20"/>
          <w:szCs w:val="20"/>
          <w:color w:val="auto"/>
        </w:rPr>
      </w:pPr>
      <w:r>
        <w:rPr>
          <w:rFonts w:ascii="Arial" w:cs="Arial" w:eastAsia="Arial" w:hAnsi="Arial"/>
          <w:sz w:val="16"/>
          <w:szCs w:val="16"/>
          <w:color w:val="auto"/>
        </w:rPr>
        <w:t>On September 30, 2014 and September 30, 2013, we had cash equivalents of $13.1 million and $4.6 million, respectively, available for investing and general corporate purposes. We believe our liquidity and capital resources are sufficient to take advantage of market opportunities.</w:t>
      </w:r>
    </w:p>
    <w:p>
      <w:pPr>
        <w:spacing w:after="0" w:line="8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Our operating activities used cash of $124.4 million for the year ended September 30, 2013, and our financing activities provided cash of $125.1 million for the same period. Our operating activities used cash primarily for net investing that was provided from public offerings and net draws under the Credit Facility.</w:t>
      </w:r>
    </w:p>
    <w:p>
      <w:pPr>
        <w:spacing w:after="0" w:line="85"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Our operating activities used cash of $47.8 million for the year ended September 30, 2012, and our financing activities provided cash of $44.7 million for the same period. Our operating activities used cash primarily for net investing that was provided from net draws under the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2014, including borrowings under our Credit Facility and other contractual obligations,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2"/>
              </w:rPr>
              <w:t>Payments due by period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9"/>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440"/>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3-5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More than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1"/>
              </w:rPr>
              <w:t>years</w:t>
            </w:r>
          </w:p>
        </w:tc>
        <w:tc>
          <w:tcPr>
            <w:tcW w:w="220" w:type="dxa"/>
            <w:vAlign w:val="bottom"/>
          </w:tcPr>
          <w:p>
            <w:pPr>
              <w:spacing w:after="0"/>
              <w:rPr>
                <w:sz w:val="14"/>
                <w:szCs w:val="14"/>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described in the Consolidated Statements of Assets and Liabilities represent unfunded delayed draws on investments and/or revolving lines of credit.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2014,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6"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2014,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7"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engage in no off-balance sheet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annually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distribute at least 90% of the sum of our ordinary income and realized net short-term capital gains in excess of realized net long-term capital losses, if any, out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assets legally available for distribution. Although not required for us to maintain our RIC tax status, in order to preclude the imposition of a 4% nondeductible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 excise tax imposed on RICs, we must distribute during each calendar year an amount at least equal to the sum of (1) 98% of our net ordinary income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calendar year, (2) 98.2% of our capital gain net income (i.e., the excess, if any, of capital gains over capital losses) for the one-year period ending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31 of the calendar year and (3) the sum of any net ordinary income plus capital gain net income for preceding years that were not distributed during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In addition, although we may distribute realized net capital gains (i.e., net long-term capital gains in excess of short-term capital losses), if any,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out of the assets legally available for such distributions in the manner described above, we have retained and may continue to retain such net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gains or net ordinary income to provide us with additional liquidity.</w:t>
      </w:r>
    </w:p>
    <w:p>
      <w:pPr>
        <w:spacing w:after="0" w:line="138"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years ended September 30, 2014, 2013 and 2012, we declared distributions of $1.08, $1.03 and $0.91 per share, respectively, for total distributions of $16.1 million, $10.0 million and $6.2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89"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2014, our debt portfolio consisted of 95% variable-rate investments (including 92% with a LIBOR or prime floor) and 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93"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880" w:type="dxa"/>
            <w:vAlign w:val="bottom"/>
            <w:gridSpan w:val="4"/>
          </w:tcPr>
          <w:p>
            <w:pPr>
              <w:ind w:left="4340"/>
              <w:spacing w:after="0"/>
              <w:rPr>
                <w:sz w:val="20"/>
                <w:szCs w:val="20"/>
                <w:color w:val="auto"/>
              </w:rPr>
            </w:pPr>
            <w:r>
              <w:rPr>
                <w:rFonts w:ascii="Arial" w:cs="Arial" w:eastAsia="Arial" w:hAnsi="Arial"/>
                <w:sz w:val="14"/>
                <w:szCs w:val="14"/>
                <w:b w:val="1"/>
                <w:bCs w:val="1"/>
                <w:color w:val="auto"/>
              </w:rPr>
              <w:t>Change In Interest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34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4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(1,372)</w:t>
            </w: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4440" w:type="dxa"/>
            <w:vAlign w:val="bottom"/>
            <w:gridSpan w:val="2"/>
          </w:tcPr>
          <w:p>
            <w:pPr>
              <w:ind w:left="43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4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4440" w:type="dxa"/>
            <w:vAlign w:val="bottom"/>
            <w:gridSpan w:val="2"/>
          </w:tcPr>
          <w:p>
            <w:pPr>
              <w:ind w:left="43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4,109</w:t>
            </w:r>
          </w:p>
        </w:tc>
        <w:tc>
          <w:tcPr>
            <w:tcW w:w="4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Information about our senior securities shown in the following table as of September 30,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7"/>
              </w:rPr>
              <w:t>$146,400</w:t>
            </w:r>
          </w:p>
        </w:tc>
        <w:tc>
          <w:tcPr>
            <w:tcW w:w="12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$2,460</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$3,109</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$75,500</w:t>
            </w:r>
          </w:p>
        </w:tc>
        <w:tc>
          <w:tcPr>
            <w:tcW w:w="12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$2,275</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$24,650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$4,735</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2012. On November 20, 2014, the last reported closing price of our common stock was $14.19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Premium /</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Premium /</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(Discount)</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(Discount)</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Closing Sales Price</w:t>
            </w:r>
          </w:p>
        </w:tc>
        <w:tc>
          <w:tcPr>
            <w:tcW w:w="5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High Sales</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Low Sales</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00" w:type="dxa"/>
            <w:vAlign w:val="bottom"/>
          </w:tcPr>
          <w:p>
            <w:pPr>
              <w:spacing w:after="0"/>
              <w:rPr>
                <w:sz w:val="6"/>
                <w:szCs w:val="6"/>
                <w:color w:val="auto"/>
              </w:rPr>
            </w:pPr>
          </w:p>
        </w:tc>
        <w:tc>
          <w:tcPr>
            <w:tcW w:w="4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9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Price to</w:t>
            </w:r>
          </w:p>
        </w:tc>
        <w:tc>
          <w:tcPr>
            <w:tcW w:w="1160" w:type="dxa"/>
            <w:vAlign w:val="bottom"/>
            <w:gridSpan w:val="2"/>
            <w:vMerge w:val="restart"/>
          </w:tcPr>
          <w:p>
            <w:pPr>
              <w:jc w:val="right"/>
              <w:ind w:right="400"/>
              <w:spacing w:after="0" w:line="135" w:lineRule="exact"/>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35"/>
        </w:trPr>
        <w:tc>
          <w:tcPr>
            <w:tcW w:w="300" w:type="dxa"/>
            <w:vAlign w:val="bottom"/>
          </w:tcPr>
          <w:p>
            <w:pPr>
              <w:spacing w:after="0"/>
              <w:rPr>
                <w:sz w:val="3"/>
                <w:szCs w:val="3"/>
                <w:color w:val="auto"/>
              </w:rPr>
            </w:pPr>
          </w:p>
        </w:tc>
        <w:tc>
          <w:tcPr>
            <w:tcW w:w="4760" w:type="dxa"/>
            <w:vAlign w:val="bottom"/>
          </w:tcPr>
          <w:p>
            <w:pPr>
              <w:spacing w:after="0"/>
              <w:rPr>
                <w:sz w:val="3"/>
                <w:szCs w:val="3"/>
                <w:color w:val="auto"/>
              </w:rPr>
            </w:pPr>
          </w:p>
        </w:tc>
        <w:tc>
          <w:tcPr>
            <w:tcW w:w="940" w:type="dxa"/>
            <w:vAlign w:val="bottom"/>
            <w:gridSpan w:val="2"/>
            <w:vMerge w:val="restart"/>
          </w:tcPr>
          <w:p>
            <w:pPr>
              <w:ind w:left="80"/>
              <w:spacing w:after="0" w:line="197"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940" w:type="dxa"/>
            <w:vAlign w:val="bottom"/>
            <w:gridSpan w:val="2"/>
            <w:vMerge w:val="continue"/>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Low</w:t>
            </w:r>
          </w:p>
        </w:tc>
        <w:tc>
          <w:tcPr>
            <w:tcW w:w="540" w:type="dxa"/>
            <w:vAlign w:val="bottom"/>
          </w:tcPr>
          <w:p>
            <w:pPr>
              <w:spacing w:after="0"/>
              <w:rPr>
                <w:sz w:val="14"/>
                <w:szCs w:val="14"/>
                <w:color w:val="auto"/>
              </w:rPr>
            </w:pPr>
          </w:p>
        </w:tc>
        <w:tc>
          <w:tcPr>
            <w:tcW w:w="116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w w:val="96"/>
              </w:rPr>
              <w:t xml:space="preserve">NAV </w:t>
            </w:r>
            <w:r>
              <w:rPr>
                <w:rFonts w:ascii="Arial" w:cs="Arial" w:eastAsia="Arial" w:hAnsi="Arial"/>
                <w:sz w:val="18"/>
                <w:szCs w:val="18"/>
                <w:b w:val="1"/>
                <w:bCs w:val="1"/>
                <w:color w:val="auto"/>
                <w:w w:val="96"/>
                <w:vertAlign w:val="superscript"/>
              </w:rPr>
              <w:t>(2)</w:t>
            </w: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2"/>
                <w:szCs w:val="12"/>
                <w:b w:val="1"/>
                <w:bCs w:val="1"/>
                <w:color w:val="auto"/>
                <w:w w:val="96"/>
              </w:rPr>
              <w:t xml:space="preserve">NAV </w:t>
            </w:r>
            <w:r>
              <w:rPr>
                <w:rFonts w:ascii="Arial" w:cs="Arial" w:eastAsia="Arial" w:hAnsi="Arial"/>
                <w:sz w:val="18"/>
                <w:szCs w:val="18"/>
                <w:b w:val="1"/>
                <w:bCs w:val="1"/>
                <w:color w:val="auto"/>
                <w:w w:val="96"/>
                <w:vertAlign w:val="superscript"/>
              </w:rPr>
              <w:t>(2)</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First quarter (as of November 20, 2014)</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  N/A</w:t>
            </w:r>
          </w:p>
        </w:tc>
        <w:tc>
          <w:tcPr>
            <w:tcW w:w="680" w:type="dxa"/>
            <w:vAlign w:val="bottom"/>
          </w:tcPr>
          <w:p>
            <w:pPr>
              <w:jc w:val="right"/>
              <w:spacing w:after="0"/>
              <w:rPr>
                <w:sz w:val="20"/>
                <w:szCs w:val="20"/>
                <w:color w:val="auto"/>
              </w:rPr>
            </w:pPr>
            <w:r>
              <w:rPr>
                <w:rFonts w:ascii="Arial" w:cs="Arial" w:eastAsia="Arial" w:hAnsi="Arial"/>
                <w:sz w:val="18"/>
                <w:szCs w:val="18"/>
                <w:color w:val="auto"/>
              </w:rPr>
              <w:t>$  14.23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13.48</w:t>
            </w:r>
          </w:p>
        </w:tc>
        <w:tc>
          <w:tcPr>
            <w:tcW w:w="5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  0.1800</w:t>
            </w:r>
            <w:r>
              <w:rPr>
                <w:rFonts w:ascii="Arial" w:cs="Arial" w:eastAsia="Arial" w:hAnsi="Arial"/>
                <w:sz w:val="11"/>
                <w:szCs w:val="11"/>
                <w:color w:val="auto"/>
                <w:w w:val="99"/>
              </w:rPr>
              <w:t>(3)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14.40</w:t>
            </w:r>
          </w:p>
        </w:tc>
        <w:tc>
          <w:tcPr>
            <w:tcW w:w="680" w:type="dxa"/>
            <w:vAlign w:val="bottom"/>
          </w:tcPr>
          <w:p>
            <w:pPr>
              <w:jc w:val="right"/>
              <w:spacing w:after="0"/>
              <w:rPr>
                <w:sz w:val="20"/>
                <w:szCs w:val="20"/>
                <w:color w:val="auto"/>
              </w:rPr>
            </w:pPr>
            <w:r>
              <w:rPr>
                <w:rFonts w:ascii="Arial" w:cs="Arial" w:eastAsia="Arial" w:hAnsi="Arial"/>
                <w:sz w:val="18"/>
                <w:szCs w:val="18"/>
                <w:color w:val="auto"/>
              </w:rPr>
              <w:t>14.39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5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14.46</w:t>
            </w:r>
          </w:p>
        </w:tc>
        <w:tc>
          <w:tcPr>
            <w:tcW w:w="680" w:type="dxa"/>
            <w:vAlign w:val="bottom"/>
          </w:tcPr>
          <w:p>
            <w:pPr>
              <w:jc w:val="right"/>
              <w:spacing w:after="0"/>
              <w:rPr>
                <w:sz w:val="20"/>
                <w:szCs w:val="20"/>
                <w:color w:val="auto"/>
              </w:rPr>
            </w:pPr>
            <w:r>
              <w:rPr>
                <w:rFonts w:ascii="Arial" w:cs="Arial" w:eastAsia="Arial" w:hAnsi="Arial"/>
                <w:sz w:val="18"/>
                <w:szCs w:val="18"/>
                <w:color w:val="auto"/>
              </w:rPr>
              <w:t>14.27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13.51</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0.2675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0.2625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13.98</w:t>
            </w:r>
          </w:p>
        </w:tc>
        <w:tc>
          <w:tcPr>
            <w:tcW w:w="680" w:type="dxa"/>
            <w:vAlign w:val="bottom"/>
          </w:tcPr>
          <w:p>
            <w:pPr>
              <w:jc w:val="right"/>
              <w:spacing w:after="0"/>
              <w:rPr>
                <w:sz w:val="20"/>
                <w:szCs w:val="20"/>
                <w:color w:val="auto"/>
              </w:rPr>
            </w:pPr>
            <w:r>
              <w:rPr>
                <w:rFonts w:ascii="Arial" w:cs="Arial" w:eastAsia="Arial" w:hAnsi="Arial"/>
                <w:sz w:val="18"/>
                <w:szCs w:val="18"/>
                <w:color w:val="auto"/>
              </w:rPr>
              <w:t>14.90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0.2625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0.2550</w:t>
            </w: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13.99</w:t>
            </w:r>
          </w:p>
        </w:tc>
        <w:tc>
          <w:tcPr>
            <w:tcW w:w="680" w:type="dxa"/>
            <w:vAlign w:val="bottom"/>
          </w:tcPr>
          <w:p>
            <w:pPr>
              <w:jc w:val="right"/>
              <w:spacing w:after="0"/>
              <w:rPr>
                <w:sz w:val="20"/>
                <w:szCs w:val="20"/>
                <w:color w:val="auto"/>
              </w:rPr>
            </w:pPr>
            <w:r>
              <w:rPr>
                <w:rFonts w:ascii="Arial" w:cs="Arial" w:eastAsia="Arial" w:hAnsi="Arial"/>
                <w:sz w:val="18"/>
                <w:szCs w:val="18"/>
                <w:color w:val="auto"/>
              </w:rPr>
              <w:t>13.30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0.2475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06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6" w:lineRule="exact"/>
        <w:rPr>
          <w:sz w:val="20"/>
          <w:szCs w:val="20"/>
          <w:color w:val="auto"/>
        </w:rPr>
      </w:pPr>
    </w:p>
    <w:p>
      <w:pPr>
        <w:ind w:left="220" w:right="80" w:hanging="212"/>
        <w:spacing w:after="0" w:line="230"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a dividend of $0.0900 per share payable on December 1, 2014 to stockholders of record as of November 19, 2014.</w:t>
      </w:r>
    </w:p>
    <w:p>
      <w:pPr>
        <w:spacing w:after="0" w:line="113"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$13.78 on both September 30, 2014 and 2013. Our NAV per share was $14.40 and $14.10 as of September 30, 2014 and 2013,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2014 we had five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660" w:right="20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4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0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6"/>
              </w:rPr>
              <w:t>5.00 %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1,100,000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99,100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80"/>
              <w:spacing w:after="0"/>
              <w:rPr>
                <w:sz w:val="20"/>
                <w:szCs w:val="20"/>
                <w:color w:val="auto"/>
              </w:rPr>
            </w:pPr>
            <w:r>
              <w:rPr>
                <w:rFonts w:ascii="Arial" w:cs="Arial" w:eastAsia="Arial" w:hAnsi="Arial"/>
                <w:sz w:val="18"/>
                <w:szCs w:val="18"/>
                <w:color w:val="auto"/>
                <w:w w:val="79"/>
              </w:rPr>
              <w:t>48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37" w:lineRule="exact"/>
        <w:rPr>
          <w:sz w:val="20"/>
          <w:szCs w:val="20"/>
          <w:color w:val="auto"/>
        </w:rPr>
      </w:pPr>
    </w:p>
    <w:p>
      <w:pPr>
        <w:ind w:left="440" w:right="42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6"/>
              </w:rPr>
              <w:t>Example 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9"/>
              </w:rPr>
              <w:t>Example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8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4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880" w:type="dxa"/>
            <w:vAlign w:val="bottom"/>
          </w:tcPr>
          <w:p>
            <w:pPr>
              <w:jc w:val="right"/>
              <w:ind w:right="62"/>
              <w:spacing w:after="0"/>
              <w:rPr>
                <w:sz w:val="20"/>
                <w:szCs w:val="20"/>
                <w:color w:val="auto"/>
              </w:rPr>
            </w:pPr>
            <w:r>
              <w:rPr>
                <w:rFonts w:ascii="Arial" w:cs="Arial" w:eastAsia="Arial" w:hAnsi="Arial"/>
                <w:sz w:val="18"/>
                <w:szCs w:val="18"/>
                <w:color w:val="auto"/>
                <w:w w:val="89"/>
              </w:rPr>
              <w:t>$ 100,000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
              <w:spacing w:after="0"/>
              <w:rPr>
                <w:sz w:val="20"/>
                <w:szCs w:val="20"/>
                <w:color w:val="auto"/>
              </w:rPr>
            </w:pPr>
            <w:r>
              <w:rPr>
                <w:rFonts w:ascii="Arial" w:cs="Arial" w:eastAsia="Arial" w:hAnsi="Arial"/>
                <w:sz w:val="18"/>
                <w:szCs w:val="18"/>
                <w:color w:val="auto"/>
                <w:w w:val="89"/>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right="27"/>
              <w:spacing w:after="0"/>
              <w:rPr>
                <w:sz w:val="20"/>
                <w:szCs w:val="20"/>
                <w:color w:val="auto"/>
              </w:rPr>
            </w:pPr>
            <w:r>
              <w:rPr>
                <w:rFonts w:ascii="Arial" w:cs="Arial" w:eastAsia="Arial" w:hAnsi="Arial"/>
                <w:sz w:val="18"/>
                <w:szCs w:val="18"/>
                <w:color w:val="auto"/>
                <w:w w:val="86"/>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27"/>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7"/>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-632460</wp:posOffset>
            </wp:positionV>
            <wp:extent cx="7246620"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1270</wp:posOffset>
            </wp:positionV>
            <wp:extent cx="72466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4500" w:space="280"/>
            <w:col w:w="6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9.91</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Investment per share held by stockholder A (assumed to be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   10.00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6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40"/>
              <w:spacing w:after="0"/>
              <w:rPr>
                <w:sz w:val="20"/>
                <w:szCs w:val="20"/>
                <w:color w:val="auto"/>
              </w:rPr>
            </w:pPr>
            <w:r>
              <w:rPr>
                <w:rFonts w:ascii="Arial" w:cs="Arial" w:eastAsia="Arial" w:hAnsi="Arial"/>
                <w:sz w:val="18"/>
                <w:szCs w:val="18"/>
                <w:color w:val="auto"/>
                <w:w w:val="94"/>
              </w:rPr>
              <w:t>Dilution per share held by stockholder A (NAV per share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less investment per share)</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(0.09)</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Percentage dilution to stockholder A (dilution per share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divided by investment per share)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3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3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80" w:firstLine="8"/>
        <w:spacing w:after="0" w:line="26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94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 held by stockholder A</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investment by stockholder A (assumed to be $10.00 per share on shares held prior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Example 1</w:t>
            </w:r>
          </w:p>
        </w:tc>
        <w:tc>
          <w:tcPr>
            <w:tcW w:w="10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Example 2</w:t>
            </w:r>
          </w:p>
        </w:tc>
        <w:tc>
          <w:tcPr>
            <w:tcW w:w="10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8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Following</w:t>
            </w:r>
          </w:p>
        </w:tc>
        <w:tc>
          <w:tcPr>
            <w:tcW w:w="66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4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Sale</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Sale</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8"/>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2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22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8"/>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8"/>
              </w:rPr>
              <w:t>(0.20)%</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restart"/>
          </w:tcPr>
          <w:p>
            <w:pPr>
              <w:jc w:val="right"/>
              <w:ind w:right="18"/>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2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2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8"/>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9,470</w:t>
            </w:r>
          </w:p>
        </w:tc>
        <w:tc>
          <w:tcPr>
            <w:tcW w:w="220" w:type="dxa"/>
            <w:vAlign w:val="bottom"/>
          </w:tcPr>
          <w:p>
            <w:pPr>
              <w:spacing w:after="0"/>
              <w:rPr>
                <w:sz w:val="19"/>
                <w:szCs w:val="19"/>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19,725</w:t>
            </w:r>
          </w:p>
        </w:tc>
        <w:tc>
          <w:tcPr>
            <w:tcW w:w="22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(dilution)/accretion to stockholder A (total NAV</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2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8"/>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(Dilution)/accretion per share held by stockholder A</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5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40"/>
              <w:spacing w:after="0"/>
              <w:rPr>
                <w:sz w:val="20"/>
                <w:szCs w:val="20"/>
                <w:color w:val="auto"/>
              </w:rPr>
            </w:pPr>
            <w:r>
              <w:rPr>
                <w:rFonts w:ascii="Arial" w:cs="Arial" w:eastAsia="Arial" w:hAnsi="Arial"/>
                <w:sz w:val="18"/>
                <w:szCs w:val="18"/>
                <w:color w:val="auto"/>
                <w:w w:val="94"/>
              </w:rPr>
              <w:t>((dilution)/accretion per share divided by investment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640"/>
              <w:spacing w:after="0"/>
              <w:rPr>
                <w:sz w:val="20"/>
                <w:szCs w:val="20"/>
                <w:color w:val="auto"/>
              </w:rPr>
            </w:pPr>
            <w:r>
              <w:rPr>
                <w:rFonts w:ascii="Arial" w:cs="Arial" w:eastAsia="Arial" w:hAnsi="Arial"/>
                <w:sz w:val="18"/>
                <w:szCs w:val="18"/>
                <w:color w:val="auto"/>
              </w:rPr>
              <w:t>per share)</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restart"/>
          </w:tcPr>
          <w:p>
            <w:pPr>
              <w:jc w:val="center"/>
              <w:ind w:left="58"/>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8"/>
              </w:rPr>
              <w:t>(0.20)%</w:t>
            </w:r>
          </w:p>
        </w:tc>
        <w:tc>
          <w:tcPr>
            <w:tcW w:w="100" w:type="dxa"/>
            <w:vAlign w:val="bottom"/>
          </w:tcPr>
          <w:p>
            <w:pPr>
              <w:spacing w:after="0"/>
              <w:rPr>
                <w:sz w:val="19"/>
                <w:szCs w:val="19"/>
                <w:color w:val="auto"/>
              </w:rPr>
            </w:pPr>
          </w:p>
        </w:tc>
        <w:tc>
          <w:tcPr>
            <w:tcW w:w="1000" w:type="dxa"/>
            <w:vAlign w:val="bottom"/>
            <w:gridSpan w:val="2"/>
            <w:vMerge w:val="restart"/>
          </w:tcPr>
          <w:p>
            <w:pPr>
              <w:jc w:val="center"/>
              <w:ind w:left="58"/>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4.65 %</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center"/>
              <w:ind w:left="58"/>
              <w:spacing w:after="0"/>
              <w:rPr>
                <w:sz w:val="20"/>
                <w:szCs w:val="20"/>
                <w:color w:val="auto"/>
              </w:rPr>
            </w:pPr>
            <w:r>
              <w:rPr>
                <w:rFonts w:ascii="Arial" w:cs="Arial" w:eastAsia="Arial" w:hAnsi="Arial"/>
                <w:sz w:val="18"/>
                <w:szCs w:val="18"/>
                <w:color w:val="auto"/>
                <w:w w:val="88"/>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2012.</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440" w:type="dxa"/>
            <w:vAlign w:val="bottom"/>
            <w:vMerge w:val="restart"/>
          </w:tcPr>
          <w:p>
            <w:pPr>
              <w:spacing w:after="0"/>
              <w:rPr>
                <w:sz w:val="14"/>
                <w:szCs w:val="14"/>
                <w:color w:val="auto"/>
              </w:rPr>
            </w:pPr>
          </w:p>
        </w:tc>
        <w:tc>
          <w:tcPr>
            <w:tcW w:w="392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Payment Dates</w:t>
            </w:r>
          </w:p>
        </w:tc>
        <w:tc>
          <w:tcPr>
            <w:tcW w:w="1080" w:type="dxa"/>
            <w:vAlign w:val="bottom"/>
            <w:gridSpan w:val="4"/>
          </w:tcPr>
          <w:p>
            <w:pPr>
              <w:ind w:left="20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440" w:type="dxa"/>
            <w:vAlign w:val="bottom"/>
            <w:vMerge w:val="continue"/>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2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November 19,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December 1, 2014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22,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November 3, 2014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September 26,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1, 2014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20,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September 2,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July 18,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August 1,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19,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July 1,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May 19,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June 2,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21,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March 20,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April 1,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19, 2014</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March 3,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January 22, 2014</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February 3, 2014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20,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January 2, 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November 20,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December 2,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November 1, 2013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September 20,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1, 2013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21,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September 3,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July 19,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August 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July 1,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May 20,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June 3,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19,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March 22,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April 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19, 2013</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March 1,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January 22, 2013</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February 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21, 2012</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January 2, 2013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November 20, 2012</w:t>
            </w:r>
          </w:p>
        </w:tc>
        <w:tc>
          <w:tcPr>
            <w:tcW w:w="2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December 3, 2012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19, 2012</w:t>
            </w:r>
          </w:p>
        </w:tc>
        <w:tc>
          <w:tcPr>
            <w:tcW w:w="2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November 1, 2012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In January 2015, 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In accordance with Section 19(a) under the 1940 Act, $2.6 million and $0.1 million of our distributions paid to stockholders during the fiscal years ended September 30, 2014 and 2013, respectively, represents a distribution of long-term realized capital gains.</w:t>
      </w:r>
    </w:p>
    <w:p>
      <w:pPr>
        <w:spacing w:after="0" w:line="105"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2014.</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5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35"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right="80" w:hanging="314"/>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has become more difficult from time to time to the extent institutional investors seek to invest in larger, more liquid offerings. We believe this has made it harder for middle-market companies to raise funds by issuing high-yield securities from time to time.</w:t>
      </w:r>
    </w:p>
    <w:p>
      <w:pPr>
        <w:spacing w:after="0" w:line="55" w:lineRule="exact"/>
        <w:rPr>
          <w:rFonts w:ascii="Arial" w:cs="Arial" w:eastAsia="Arial" w:hAnsi="Arial"/>
          <w:sz w:val="18"/>
          <w:szCs w:val="18"/>
          <w:color w:val="auto"/>
        </w:rPr>
      </w:pPr>
    </w:p>
    <w:p>
      <w:pPr>
        <w:ind w:left="660" w:right="220" w:hanging="314"/>
        <w:spacing w:after="0" w:line="357"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We believe middle-market companies have faced difficulty raising debt in private markets. </w:t>
      </w:r>
      <w:r>
        <w:rPr>
          <w:rFonts w:ascii="Arial" w:cs="Arial" w:eastAsia="Arial" w:hAnsi="Arial"/>
          <w:sz w:val="15"/>
          <w:szCs w:val="15"/>
          <w:color w:val="auto"/>
        </w:rPr>
        <w:t>From time to time, banks, finance companies, hedge</w:t>
      </w:r>
      <w:r>
        <w:rPr>
          <w:rFonts w:ascii="Arial" w:cs="Arial" w:eastAsia="Arial" w:hAnsi="Arial"/>
          <w:sz w:val="15"/>
          <w:szCs w:val="15"/>
          <w:b w:val="1"/>
          <w:bCs w:val="1"/>
          <w:color w:val="auto"/>
        </w:rPr>
        <w:t xml:space="preserve"> </w:t>
      </w:r>
      <w:r>
        <w:rPr>
          <w:rFonts w:ascii="Arial" w:cs="Arial" w:eastAsia="Arial" w:hAnsi="Arial"/>
          <w:sz w:val="15"/>
          <w:szCs w:val="15"/>
          <w:color w:val="auto"/>
        </w:rPr>
        <w:t>funds and CLO funds have, and may again, withdraw capital from the middle-market, resulting in opportunities for alternative funding sources.</w:t>
      </w:r>
    </w:p>
    <w:p>
      <w:pPr>
        <w:ind w:left="660" w:right="100" w:hanging="314"/>
        <w:spacing w:after="0" w:line="31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credit market dislocation for middle-market companies improves the risk-adjusted returns of our investments. </w:t>
      </w:r>
      <w:r>
        <w:rPr>
          <w:rFonts w:ascii="Arial" w:cs="Arial" w:eastAsia="Arial" w:hAnsi="Arial"/>
          <w:sz w:val="16"/>
          <w:szCs w:val="16"/>
          <w:color w:val="auto"/>
        </w:rPr>
        <w:t>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660" w:right="80" w:hanging="314"/>
        <w:spacing w:after="0" w:line="30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hanging="314"/>
        <w:spacing w:after="0" w:line="29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risk-adjusted returns to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32"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32"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rFonts w:ascii="Arial" w:cs="Arial" w:eastAsia="Arial" w:hAnsi="Arial"/>
          <w:sz w:val="18"/>
          <w:szCs w:val="18"/>
          <w:color w:val="auto"/>
        </w:rPr>
      </w:pPr>
    </w:p>
    <w:p>
      <w:pPr>
        <w:ind w:left="420" w:hanging="184"/>
        <w:spacing w:after="0"/>
        <w:tabs>
          <w:tab w:leader="none" w:pos="4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5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1"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We believe this has resulted in a less competitive environment for making new investments.</w:t>
      </w:r>
    </w:p>
    <w:p>
      <w:pPr>
        <w:spacing w:after="0" w:line="5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As of September 30, 2014, we maintained a $200 million Credit Facility, which matures in May 2018, with the Lenders. During the Credit Facility’s revolving period, which extends to May 2016, it bears interest at LIBOR plus 200 basis points, and after the revolving period, the rate sets to LIBOR plus 425 basis points for the remaining two years. The Credit Facility is secured by all of the assets held by Funding I, under which we had $146.4 million outstanding with an annual current interest rate of 2.16%, excluding the undrawn commitment fee of 0.375%, as of September 30, 2014.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$1 million to $15 million in securities, on average, of middle-market companies. We expect this investment size to vary proportionately with the size of our capital base.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8" w:lineRule="exact"/>
        <w:rPr>
          <w:sz w:val="20"/>
          <w:szCs w:val="20"/>
          <w:color w:val="auto"/>
        </w:rPr>
      </w:pPr>
    </w:p>
    <w:p>
      <w:pPr>
        <w:ind w:firstLine="571"/>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0"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84" w:lineRule="exact"/>
        <w:rPr>
          <w:sz w:val="20"/>
          <w:szCs w:val="20"/>
          <w:color w:val="auto"/>
        </w:rPr>
      </w:pPr>
    </w:p>
    <w:p>
      <w:pPr>
        <w:ind w:left="1140" w:hanging="335"/>
        <w:spacing w:after="0"/>
        <w:tabs>
          <w:tab w:leader="none" w:pos="11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in scale, scope, customer loyalty, product pricing or product quality as compared to their competitors to protect their market position.</w:t>
      </w:r>
    </w:p>
    <w:p>
      <w:pPr>
        <w:spacing w:after="0" w:line="184"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30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a non-diversified investment company.</w:t>
      </w:r>
    </w:p>
    <w:p>
      <w:pPr>
        <w:spacing w:after="0" w:line="181"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7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4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85" w:lineRule="exact"/>
        <w:rPr>
          <w:sz w:val="20"/>
          <w:szCs w:val="20"/>
          <w:color w:val="auto"/>
        </w:rPr>
      </w:pPr>
    </w:p>
    <w:p>
      <w:pPr>
        <w:jc w:val="both"/>
        <w:ind w:right="120" w:firstLine="571"/>
        <w:spacing w:after="0" w:line="298" w:lineRule="auto"/>
        <w:rPr>
          <w:sz w:val="20"/>
          <w:szCs w:val="20"/>
          <w:color w:val="auto"/>
        </w:rPr>
      </w:pPr>
      <w:r>
        <w:rPr>
          <w:rFonts w:ascii="Arial" w:cs="Arial" w:eastAsia="Arial" w:hAnsi="Arial"/>
          <w:sz w:val="16"/>
          <w:szCs w:val="16"/>
          <w:color w:val="auto"/>
        </w:rPr>
        <w:t>Typically, our mezzanine debt has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 w:lineRule="exact"/>
        <w:rPr>
          <w:sz w:val="20"/>
          <w:szCs w:val="20"/>
          <w:color w:val="auto"/>
        </w:rPr>
      </w:pPr>
    </w:p>
    <w:p>
      <w:pPr>
        <w:ind w:left="900" w:right="2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our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8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5"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4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Aerospace and Defense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Auto Sector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Beverage, Food and Tobacco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Broadcasting and Entertainment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Buildings and Real Estate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 Materials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Business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Cable Television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Cargo Transportation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Chemicals, Plastics and Rubber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Goods: Durable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Goods: Non-Durable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Containers, Packaging &amp; Glass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Distribution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Diversified/Conglomerate Manufacturing</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Education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Energy/Utilities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Grocery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Healthcare, Education and Childcare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High Tech Industries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Home &amp; Office Furnishings, Housewares &amp; Durable Consumer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Hotels, Motels, Inns and Gaming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Leisure, Amusement, Motion Picture &amp;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Logistics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Manufacturing/Basic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Media: Broadcasting and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Mining, Steel, Iron and Non-Precious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Oil and 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Other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Personal, Food and Miscellaneous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Printing and Publishing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Telecommunications</w:t>
      </w:r>
    </w:p>
    <w:p>
      <w:pPr>
        <w:spacing w:after="0" w:line="165" w:lineRule="exact"/>
        <w:rPr>
          <w:sz w:val="20"/>
          <w:szCs w:val="20"/>
          <w:color w:val="auto"/>
        </w:rPr>
      </w:pPr>
    </w:p>
    <w:p>
      <w:pPr>
        <w:sectPr>
          <w:pgSz w:w="11900" w:h="16838" w:orient="portrait"/>
          <w:cols w:equalWidth="0" w:num="2">
            <w:col w:w="4160" w:space="720"/>
            <w:col w:w="6540"/>
          </w:cols>
          <w:pgMar w:left="240" w:top="459" w:right="239" w:bottom="1440" w:gutter="0" w:footer="0" w:header="0"/>
          <w:type w:val="continuous"/>
        </w:sectPr>
      </w:pPr>
    </w:p>
    <w:p>
      <w:pPr>
        <w:ind w:right="880" w:firstLine="456"/>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3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364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Patriot National, Inc. (f/k/a Old Guard Risk Services, Inc.)</w:t>
            </w: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0" w:type="dxa"/>
            <w:vAlign w:val="bottom"/>
            <w:gridSpan w:val="3"/>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gridSpan w:val="2"/>
            <w:vMerge w:val="continue"/>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SCE Partners, LLC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AKA Diversified Holdings, Inc.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ALG USA Holdings, LLC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e-Rewards,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iEnergizer Limited and Aptara, Inc.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iEnergizer Limited and Aptara, Inc.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New Trident HoldCorp, Inc.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OCI Beaumont LLC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New Trident HoldCorp, Inc.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Zest Anchors, LLC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AMF Bowling Centers, Inc.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SCE Partners, LLC</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BBTS Borrower LP</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Zest Holdings, LLC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5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Penton Media, Inc.</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1"/>
        </w:trPr>
        <w:tc>
          <w:tcPr>
            <w:tcW w:w="5120" w:type="dxa"/>
            <w:vAlign w:val="bottom"/>
            <w:gridSpan w:val="2"/>
          </w:tcPr>
          <w:p>
            <w:pPr>
              <w:spacing w:after="0"/>
              <w:rPr>
                <w:sz w:val="20"/>
                <w:szCs w:val="20"/>
                <w:color w:val="auto"/>
              </w:rPr>
            </w:pPr>
            <w:r>
              <w:rPr>
                <w:rFonts w:ascii="Arial" w:cs="Arial" w:eastAsia="Arial" w:hAnsi="Arial"/>
                <w:sz w:val="18"/>
                <w:szCs w:val="18"/>
                <w:color w:val="auto"/>
              </w:rPr>
              <w:t>Premier Dental Services, Inc.</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rPr>
              <w:t>Polyconcept Finance B.V.</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Industry</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2014</w:t>
            </w:r>
          </w:p>
        </w:tc>
        <w:tc>
          <w:tcPr>
            <w:tcW w:w="1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b w:val="1"/>
                <w:bCs w:val="1"/>
                <w:color w:val="auto"/>
              </w:rPr>
              <w:t>Industry</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20"/>
                <w:szCs w:val="20"/>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4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Healthcare and Pharmaceuticals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Hotel, Gaming and Leisure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Business Services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Consumer Services</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Media: Advertising, Printing and Publishing</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Chemicals, Plastics and Rubber</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49"/>
        </w:trPr>
        <w:tc>
          <w:tcPr>
            <w:tcW w:w="512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Consumer Goods: Non-Durable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6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and Real Estate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2"/>
                <w:szCs w:val="22"/>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Energy: Oil and Gas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41"/>
        </w:trPr>
        <w:tc>
          <w:tcPr>
            <w:tcW w:w="51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Retail</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378"/>
        </w:trPr>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w w:val="79"/>
              </w:rPr>
              <w:t>62</w:t>
            </w:r>
          </w:p>
        </w:tc>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allocates investment opportunities in a fair and equitable manner consistent with our allocation policy, and we have received exemptive relief with respect to certain co-investment transactions.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w:t>
      </w:r>
    </w:p>
    <w:p>
      <w:pPr>
        <w:spacing w:after="0" w:line="107" w:lineRule="exact"/>
        <w:rPr>
          <w:sz w:val="20"/>
          <w:szCs w:val="20"/>
          <w:color w:val="auto"/>
        </w:rPr>
      </w:pPr>
    </w:p>
    <w:p>
      <w:pPr>
        <w:jc w:val="center"/>
        <w:ind w:left="520" w:right="300"/>
        <w:spacing w:after="0" w:line="440" w:lineRule="auto"/>
        <w:rPr>
          <w:sz w:val="20"/>
          <w:szCs w:val="20"/>
          <w:color w:val="auto"/>
        </w:rPr>
      </w:pPr>
      <w:r>
        <w:rPr>
          <w:rFonts w:ascii="Arial" w:cs="Arial" w:eastAsia="Arial" w:hAnsi="Arial"/>
          <w:sz w:val="18"/>
          <w:szCs w:val="18"/>
          <w:color w:val="auto"/>
        </w:rPr>
        <w:t>As of September 30, 2014, there was no portfolio company in which we have made an investment that represents greater than 5% of our total assets. 63</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2014 Consolidated Financial Statements included elsewhere in this prospectus.</w:t>
      </w:r>
    </w:p>
    <w:p>
      <w:pPr>
        <w:spacing w:after="0" w:line="62"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auto"/>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Companies less than 5% owned</w:t>
            </w:r>
          </w:p>
        </w:tc>
        <w:tc>
          <w:tcPr>
            <w:tcW w:w="2160" w:type="dxa"/>
            <w:vAlign w:val="bottom"/>
            <w:tcBorders>
              <w:top w:val="single" w:sz="8" w:color="CCEEFF"/>
              <w:bottom w:val="single" w:sz="8" w:color="CCEEFF"/>
            </w:tcBorders>
            <w:shd w:val="clear" w:color="auto" w:fill="CCEEFF"/>
          </w:tcPr>
          <w:p>
            <w:pPr>
              <w:spacing w:after="0"/>
              <w:rPr>
                <w:sz w:val="20"/>
                <w:szCs w:val="20"/>
                <w:color w:val="auto"/>
              </w:rPr>
            </w:pPr>
          </w:p>
        </w:tc>
        <w:tc>
          <w:tcPr>
            <w:tcW w:w="2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Affinion Group Holdings, Inc.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(Affinion Investments LLC)</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100 Connecticut Avenue</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Norwalk, CT 06850</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AKA Diversified Holdings, Inc.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(Z Wireless Holdings, Inc.)</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2"/>
              </w:rPr>
              <w:t>775 Prairie Center Drive, Ste. 420</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ALG USA Holdings, LLC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7 Campus Boulevard</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Newtown Square, PA 19073</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Alvogen Pharma US, Inc.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3"/>
              </w:rPr>
              <w:t>10 Bloomfield Avenue, Building B</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American Gilsonite Company</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Metals and Mining</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1717 St. James Place</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Houston, TX 77056</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Ancile Solutions, Inc.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6085 Marshalee Drive</w:t>
            </w:r>
          </w:p>
        </w:tc>
        <w:tc>
          <w:tcPr>
            <w:tcW w:w="2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Elkridge, MD 21075</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AP Gaming I, LLC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6680 Amelia Earhart Court</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Las Vegas, NV 89119</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Ascend Learning, LLC</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Media: Broadcasting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5 Wall Street</w:t>
            </w:r>
          </w:p>
        </w:tc>
        <w:tc>
          <w:tcPr>
            <w:tcW w:w="21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Subscription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Burlington, MA 01803</w:t>
            </w:r>
          </w:p>
        </w:tc>
        <w:tc>
          <w:tcPr>
            <w:tcW w:w="21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7"/>
              </w:rPr>
              <w:t>Aspen Dental Management, Inc.</w:t>
            </w:r>
          </w:p>
        </w:tc>
        <w:tc>
          <w:tcPr>
            <w:tcW w:w="2160" w:type="dxa"/>
            <w:vAlign w:val="bottom"/>
          </w:tcPr>
          <w:p>
            <w:pPr>
              <w:spacing w:after="0"/>
              <w:rPr>
                <w:sz w:val="18"/>
                <w:szCs w:val="18"/>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281 Sanders Creek Parkway</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East Syracuse, NY 13057</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ATI Holdings, Inc.</w:t>
            </w:r>
          </w:p>
        </w:tc>
        <w:tc>
          <w:tcPr>
            <w:tcW w:w="216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Healthcare and Pharmaceuticals</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790 Remington Boulevard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Bolingbrook, IL 60440</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Azure Midstream Energy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Energy: Oil and Gas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1250 Wood Bridge Branch Park Dr., Ste. 100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Houston, TX 77079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Industries,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Automotive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5640 Commerce Blvd. East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AL 36619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Blue Bird Body Company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Automotive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402 Blue Bird Boulevard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Fort Valley, GA 31030</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Bowlmor AMF, Corp.</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1"/>
                <w:szCs w:val="11"/>
                <w:color w:val="auto"/>
              </w:rPr>
              <w:t>th</w:t>
            </w:r>
            <w:r>
              <w:rPr>
                <w:rFonts w:ascii="Arial" w:cs="Arial" w:eastAsia="Arial" w:hAnsi="Arial"/>
                <w:sz w:val="18"/>
                <w:szCs w:val="18"/>
                <w:color w:val="auto"/>
              </w:rPr>
              <w:t xml:space="preserve"> St.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Cannery Casino Resorts,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2121 E Craig Road North</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Las Vegas, NV 89030</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Carolina Beverage Group,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Beverage, Food and Tobacco</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Barley Park Lane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28115</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CBAC Borrower,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One Caesars Palace Drive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Las Vegas, NV 89109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Charming Charlie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5999 Savoy Drive,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77036</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Chicken Soup for the Soul Publishing,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21 Hedgerow Lane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Greenwich, CT 06831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Creative Circle,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5900 Wilshire Boulevard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90036</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Credit Infonet,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4540 Honeywell Court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Dayton, OH 45424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Curo Health Services,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491 Williamson Road, Suite 204</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DCS Business Services,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333 North Canyon Parkway, Ste. 100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Livermore, CA 94551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Edmentum,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Media: Broadcasting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5600 West 83rd Street, Ste. 300, 8200 Tower</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Subscription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Bloomington, MN 55437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eResearchTechnology, Inc.</w:t>
            </w:r>
          </w:p>
        </w:tc>
        <w:tc>
          <w:tcPr>
            <w:tcW w:w="216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Healthcare and Pharmaceuticals</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1818 Market Street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Philandelphia, PA 19103</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e-Rewards,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5800 Tennyson Parkway, Suite 600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FHC Health Systems,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 Corporate Boulevard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VA 23502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Fishnet Security,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6130 Sprint Parkway, Ste. 400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Overland Park, KS 66211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GlobalLogic Holdings,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Granite Broadcasting Corporation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Media: Broadcasting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767 Third Avenue, 34th Floor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Subscription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Greenway Health,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Greenway Blvd.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Carrollton, GA 30117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Help/Systems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6455 City West Parkway</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Eden Prairie, MN 55344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Hollander Sleep Products,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Consumer Goods: Non-Durable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Hostway Corporation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100 N Riverside, Ste. 800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Hunter Defense Technologies,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30500 Aurora Road, Ste. 100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Automotive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2901 West Kingsley Road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Garland, TX 75041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iEnergizer Limited and Aptara,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 Crevelt House, Bulwer Avenue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Sampson, Guernsey GY2 4LH</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InfuSystem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31700 Reseach Park Drive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Madison Heights, MI 48071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7951 Powers Boulevard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Chanhassen, MN 55317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Jackson Hewitt Tax Service Inc.</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Consumer Services</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Sylvan Way</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Parsippany, NJ 07054</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 Cosmetics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Preferred Equity</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Chemicals, Plastics and Rubber</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Language Line,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 Lower Ragsdale Drive, Building 2</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Monterey CA, 93940</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Lanyon Solutions,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10182 Telesis Court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LifeCare Holdings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5340 Legacy Drive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Ste. 150, Building 4</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Meritas Schools Holdings,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 Dundee Road, Ste. 400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Northbrook, IL 60062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National Surgical Hospitals,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250 South Wacker Drive, Ste. 500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Trident HoldCorp,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930 Ridgebrook Road, 3rd Floor</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Sparks, MD 21152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 Elmcroft Road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Stamford, CT 06926</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Patriot National,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Banking, Finance, Insurance and</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Real Estate</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Media: Diversified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Production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Polyconcept Finance B.V.</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Consumer Goods: Non-Durable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 Hunt Valley Road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Kensington, PA 15068</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Premier Dental Services,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530 S Main Street, 6th Floor</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Orange, CA 92868</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Quality Home Brands Holdings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7400 Linder Avenue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Skokie, IL 60077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RCS Capital Corporation</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Banking, Finance, Insurance and</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405 Park Avenue</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Real Estate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Consumer Goods: Durable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191 East North Avenue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Carol Stream, IL 60188</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SCE Partners,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Hotel, Gaming and Leisure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WG-Iowa, LLC</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3883 Howard Hughes Parkway, Ste. 800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89169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Securus Technologies Holdings,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Telecommunications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14651 Dallas Parkway, Ste. 600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Dallas, TX 75254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Sotera Defense Solutions,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2121 Cooperative Way, Ste. 400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Herndon, VA 20171</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 George’s University Scholastic Services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Consumer Services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3500 Sunrise Highway, Bldg. 300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Great River, NY 11739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Sunshine Oilsands Ltd.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Energy: Oil and Gas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 903 - 8 Avenue S.W.</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Calgary, Alberta, Canada T2P 0P7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Surgical Specialties Corporation (US),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355 Burrand Street, Ste. 1100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Vancouver, British Columbia, Canada V6C 2G8</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Sutherland Global Services,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1160 Pittsford Victor Road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Pittsford, NY 14534</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Systems Maintenance Services Holding,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High Tech Industries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10420 Harris Oaks Blvd, Ste. 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Charlotte, NC 28269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Tensar Corporation</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Construction and Buildings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Northwinds Parkway, Ste. 500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Alpharetta, GA 30009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Therakos,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1001 US Route 202</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Raritan, NJ 08869</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UniTek Global Services, Inc.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Telecommunications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1777 Sentry Parkway West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Warrants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Gwynedd Hall, Ste. 202</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Bell, PA 19422</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Vestcom International, Inc.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7302 Kanis Road</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Virtual Radiologic Corporation</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11995 Singletree Lane, Ste. 500</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Wilton Brands, LLC</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Consumer Goods: Non-Durable</w:t>
            </w: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2240 W. 75th Street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Woodridge, IL 60517</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YP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Media: Advertising, Printing and</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2247 Northlake Parkway</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Publishing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Tucker, GA 30084</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Zest Holdings, LLC</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Healthcare and Pharmaceuticals</w:t>
            </w: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2061 Wineridge Place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Escondido, CA 92029</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 were we to have voting rights.</w:t>
      </w:r>
    </w:p>
    <w:p>
      <w:pPr>
        <w:spacing w:after="0" w:line="1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4"/>
              </w:rPr>
              <w:t>September 30, 2014</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8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High Tech Industries</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Consumer Services</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Media: Advertising, Printing and Publishing</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and Real Estate</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Aerospace and Defense</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Energy: Oil and Gas</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Media: Diversified and Production</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5760" w:type="dxa"/>
            <w:vAlign w:val="bottom"/>
            <w:gridSpan w:val="4"/>
          </w:tcPr>
          <w:p>
            <w:pPr>
              <w:jc w:val="right"/>
              <w:ind w:right="9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576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2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All Other</w:t>
            </w:r>
          </w:p>
        </w:tc>
        <w:tc>
          <w:tcPr>
            <w:tcW w:w="2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6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80" w:type="dxa"/>
            <w:vAlign w:val="bottom"/>
            <w:vMerge w:val="restart"/>
          </w:tcPr>
          <w:p>
            <w:pPr>
              <w:jc w:val="right"/>
              <w:ind w:right="1372"/>
              <w:spacing w:after="0"/>
              <w:rPr>
                <w:sz w:val="20"/>
                <w:szCs w:val="20"/>
                <w:color w:val="auto"/>
              </w:rPr>
            </w:pPr>
            <w:r>
              <w:rPr>
                <w:rFonts w:ascii="Arial" w:cs="Arial" w:eastAsia="Arial" w:hAnsi="Arial"/>
                <w:sz w:val="18"/>
                <w:szCs w:val="18"/>
                <w:color w:val="auto"/>
              </w:rPr>
              <w:t>69</w:t>
            </w:r>
          </w:p>
        </w:tc>
        <w:tc>
          <w:tcPr>
            <w:tcW w:w="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840" w:type="dxa"/>
            <w:vAlign w:val="bottom"/>
          </w:tcPr>
          <w:p>
            <w:pPr>
              <w:jc w:val="right"/>
              <w:ind w:right="118"/>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Since</w:t>
            </w: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156"/>
        </w:trPr>
        <w:tc>
          <w:tcPr>
            <w:tcW w:w="5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156"/>
        </w:trPr>
        <w:tc>
          <w:tcPr>
            <w:tcW w:w="5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9"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Adam K. Bernstein (51),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Marshall Brozost (47),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Dewey &amp; LeBoeuf LLP from 2005 to 2012. Mr. Brozost also served as a Vice President of Nomura Asset Capital Corporation from 1997 through 2000.</w:t>
      </w:r>
    </w:p>
    <w:p>
      <w:pPr>
        <w:spacing w:after="0" w:line="62"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Jeffrey Flug (52), Director. Mr. Flug became a Director of PennantPark Floating Rate Capital Ltd. and PennantPark Investment Corporation in October 2010 and February 2007, respectively. Since 2009, Mr. Flug has held a variety of senior positions, including, currently, President of Union Square Hospitality Group, an exclusive chain of restaurants. Since October 2012, Mr. Flug has been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9"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Samuel L. Katz (49), Director. Mr. Katz became a Director of PennantPark Floating Rate Capital Ltd. and PennantPark Investment Corporation in October 2010 and February 2007,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Arthur H. Penn (51),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Aviv Efrat (50),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Guy F. Talarico (59),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For the fiscal year ended September 30, 2014, we held five board of directors’ meetings, five Audit Committee meetings and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2014, all of the directors attended the annual stockholders’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2014.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PennantPark Floating Rate Capital Ltd.</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PennantPark Investment Corporation</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benefits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from the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500" w:type="dxa"/>
            <w:vAlign w:val="bottom"/>
          </w:tcPr>
          <w:p>
            <w:pPr>
              <w:spacing w:after="0"/>
              <w:rPr>
                <w:sz w:val="11"/>
                <w:szCs w:val="11"/>
                <w:color w:val="auto"/>
              </w:rPr>
            </w:pPr>
          </w:p>
        </w:tc>
        <w:tc>
          <w:tcPr>
            <w:tcW w:w="114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2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Adam K. Bernstein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Jeffrey Flug</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120,000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120,000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4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 (as defined in the 1940 Act). Prior to May 7, 2014, each Independent Director received $1,250 for services performed on behalf of us as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managing our investments, as of September 30, 2014 our portfolio managers also managed investments on behalf of the following entities:</w:t>
      </w:r>
    </w:p>
    <w:p>
      <w:pPr>
        <w:sectPr>
          <w:pgSz w:w="11900" w:h="16838" w:orient="portrait"/>
          <w:cols w:equalWidth="0" w:num="1">
            <w:col w:w="11320"/>
          </w:cols>
          <w:pgMar w:left="240" w:top="459" w:right="339" w:bottom="1440" w:gutter="0" w:footer="0" w:header="0"/>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5"/>
                <w:szCs w:val="15"/>
                <w:color w:val="auto"/>
              </w:rPr>
            </w:pPr>
          </w:p>
        </w:tc>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1"/>
        </w:trPr>
        <w:tc>
          <w:tcPr>
            <w:tcW w:w="2960" w:type="dxa"/>
            <w:vAlign w:val="bottom"/>
          </w:tcPr>
          <w:p>
            <w:pPr>
              <w:ind w:left="60"/>
              <w:spacing w:after="0" w:line="201" w:lineRule="exact"/>
              <w:rPr>
                <w:sz w:val="20"/>
                <w:szCs w:val="20"/>
                <w:color w:val="auto"/>
              </w:rPr>
            </w:pPr>
            <w:r>
              <w:rPr>
                <w:rFonts w:ascii="Arial" w:cs="Arial" w:eastAsia="Arial" w:hAnsi="Arial"/>
                <w:sz w:val="18"/>
                <w:szCs w:val="18"/>
                <w:color w:val="auto"/>
                <w:w w:val="97"/>
              </w:rPr>
              <w:t>PennantPark Investment Corporation</w:t>
            </w:r>
          </w:p>
        </w:tc>
        <w:tc>
          <w:tcPr>
            <w:tcW w:w="100" w:type="dxa"/>
            <w:vAlign w:val="bottom"/>
          </w:tcPr>
          <w:p>
            <w:pPr>
              <w:spacing w:after="0"/>
              <w:rPr>
                <w:sz w:val="17"/>
                <w:szCs w:val="17"/>
                <w:color w:val="auto"/>
              </w:rPr>
            </w:pPr>
          </w:p>
        </w:tc>
        <w:tc>
          <w:tcPr>
            <w:tcW w:w="1620" w:type="dxa"/>
            <w:vAlign w:val="bottom"/>
          </w:tcPr>
          <w:p>
            <w:pPr>
              <w:ind w:left="40"/>
              <w:spacing w:after="0" w:line="201" w:lineRule="exact"/>
              <w:rPr>
                <w:sz w:val="20"/>
                <w:szCs w:val="20"/>
                <w:color w:val="auto"/>
              </w:rPr>
            </w:pPr>
            <w:r>
              <w:rPr>
                <w:rFonts w:ascii="Arial" w:cs="Arial" w:eastAsia="Arial" w:hAnsi="Arial"/>
                <w:sz w:val="18"/>
                <w:szCs w:val="18"/>
                <w:color w:val="auto"/>
                <w:w w:val="86"/>
              </w:rPr>
              <w:t>Business development</w:t>
            </w:r>
          </w:p>
        </w:tc>
        <w:tc>
          <w:tcPr>
            <w:tcW w:w="100" w:type="dxa"/>
            <w:vAlign w:val="bottom"/>
          </w:tcPr>
          <w:p>
            <w:pPr>
              <w:spacing w:after="0"/>
              <w:rPr>
                <w:sz w:val="17"/>
                <w:szCs w:val="17"/>
                <w:color w:val="auto"/>
              </w:rPr>
            </w:pPr>
          </w:p>
        </w:tc>
        <w:tc>
          <w:tcPr>
            <w:tcW w:w="5600" w:type="dxa"/>
            <w:vAlign w:val="bottom"/>
          </w:tcPr>
          <w:p>
            <w:pPr>
              <w:ind w:left="60"/>
              <w:spacing w:after="0" w:line="201" w:lineRule="exact"/>
              <w:rPr>
                <w:sz w:val="20"/>
                <w:szCs w:val="20"/>
                <w:color w:val="auto"/>
              </w:rPr>
            </w:pPr>
            <w:r>
              <w:rPr>
                <w:rFonts w:ascii="Arial" w:cs="Arial" w:eastAsia="Arial" w:hAnsi="Arial"/>
                <w:sz w:val="18"/>
                <w:szCs w:val="18"/>
                <w:color w:val="auto"/>
                <w:w w:val="96"/>
              </w:rPr>
              <w:t>Primarily in U.S. middle-market companies in the form of senior secured</w:t>
            </w: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loans, mezzanine debt and equity investments.</w:t>
            </w:r>
          </w:p>
        </w:tc>
      </w:tr>
      <w:tr>
        <w:trPr>
          <w:trHeight w:val="216"/>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40"/>
              <w:spacing w:after="0"/>
              <w:rPr>
                <w:sz w:val="20"/>
                <w:szCs w:val="20"/>
                <w:color w:val="auto"/>
              </w:rPr>
            </w:pPr>
            <w:r>
              <w:rPr>
                <w:rFonts w:ascii="Arial" w:cs="Arial" w:eastAsia="Arial" w:hAnsi="Arial"/>
                <w:sz w:val="18"/>
                <w:szCs w:val="18"/>
                <w:color w:val="auto"/>
              </w:rPr>
              <w:t>Private Investment</w:t>
            </w:r>
          </w:p>
        </w:tc>
        <w:tc>
          <w:tcPr>
            <w:tcW w:w="10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Arial" w:cs="Arial" w:eastAsia="Arial" w:hAnsi="Arial"/>
                <w:sz w:val="18"/>
                <w:szCs w:val="18"/>
                <w:color w:val="auto"/>
              </w:rPr>
              <w:t>Other credit opportunities</w:t>
            </w:r>
          </w:p>
        </w:tc>
      </w:tr>
      <w:tr>
        <w:trPr>
          <w:trHeight w:val="222"/>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Fund</w:t>
            </w: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283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both"/>
        <w:ind w:left="32" w:firstLine="37"/>
        <w:spacing w:after="0" w:line="372" w:lineRule="auto"/>
        <w:rPr>
          <w:sz w:val="20"/>
          <w:szCs w:val="20"/>
          <w:color w:val="auto"/>
        </w:rPr>
      </w:pPr>
      <w:r>
        <w:rPr>
          <w:rFonts w:ascii="Arial" w:cs="Arial" w:eastAsia="Arial" w:hAnsi="Arial"/>
          <w:sz w:val="11"/>
          <w:szCs w:val="11"/>
          <w:b w:val="1"/>
          <w:bCs w:val="1"/>
          <w:color w:val="auto"/>
        </w:rPr>
        <w:t>Gross Assets ($ in millions)</w:t>
      </w:r>
    </w:p>
    <w:p>
      <w:pPr>
        <w:spacing w:after="0" w:line="139" w:lineRule="exact"/>
        <w:rPr>
          <w:sz w:val="20"/>
          <w:szCs w:val="20"/>
          <w:color w:val="auto"/>
        </w:rPr>
      </w:pPr>
    </w:p>
    <w:p>
      <w:pPr>
        <w:ind w:left="452" w:hanging="452"/>
        <w:spacing w:after="0"/>
        <w:tabs>
          <w:tab w:leader="none" w:pos="452" w:val="left"/>
        </w:tabs>
        <w:numPr>
          <w:ilvl w:val="0"/>
          <w:numId w:val="40"/>
        </w:numPr>
        <w:rPr>
          <w:rFonts w:ascii="Arial" w:cs="Arial" w:eastAsia="Arial" w:hAnsi="Arial"/>
          <w:sz w:val="15"/>
          <w:szCs w:val="15"/>
          <w:color w:val="auto"/>
        </w:rPr>
      </w:pPr>
      <w:r>
        <w:rPr>
          <w:rFonts w:ascii="Arial" w:cs="Arial" w:eastAsia="Arial" w:hAnsi="Arial"/>
          <w:sz w:val="15"/>
          <w:szCs w:val="15"/>
          <w:color w:val="auto"/>
        </w:rPr>
        <w:t>1,411</w:t>
      </w:r>
    </w:p>
    <w:p>
      <w:pPr>
        <w:spacing w:after="0" w:line="49" w:lineRule="exact"/>
        <w:rPr>
          <w:rFonts w:ascii="Arial" w:cs="Arial" w:eastAsia="Arial" w:hAnsi="Arial"/>
          <w:sz w:val="15"/>
          <w:szCs w:val="15"/>
          <w:color w:val="auto"/>
        </w:rPr>
      </w:pPr>
    </w:p>
    <w:p>
      <w:pPr>
        <w:ind w:left="652" w:hanging="652"/>
        <w:spacing w:after="0"/>
        <w:tabs>
          <w:tab w:leader="none" w:pos="6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46</w:t>
      </w:r>
    </w:p>
    <w:p>
      <w:pPr>
        <w:spacing w:after="0" w:line="404" w:lineRule="exact"/>
        <w:rPr>
          <w:sz w:val="20"/>
          <w:szCs w:val="20"/>
          <w:color w:val="auto"/>
        </w:rPr>
      </w:pPr>
    </w:p>
    <w:p>
      <w:pPr>
        <w:sectPr>
          <w:pgSz w:w="11900" w:h="16838" w:orient="portrait"/>
          <w:cols w:equalWidth="0" w:num="2">
            <w:col w:w="10380" w:space="108"/>
            <w:col w:w="832"/>
          </w:cols>
          <w:pgMar w:left="240" w:top="459" w:right="339" w:bottom="1440" w:gutter="0" w:footer="0" w:header="0"/>
          <w:type w:val="continuous"/>
        </w:sectPr>
      </w:pPr>
    </w:p>
    <w:p>
      <w:pPr>
        <w:ind w:right="360" w:firstLine="571"/>
        <w:spacing w:after="0" w:line="268"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459"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As of November 20, 2014, to our knowledge, no person would be deemed to “control” us, as such term is defined in the 1940 Act. Our board of directors consist of an interested director and Independent Directors.</w:t>
      </w:r>
    </w:p>
    <w:p>
      <w:pPr>
        <w:spacing w:after="0" w:line="13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 following table sets forth, as of November 20, 2014,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812"/>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(2)</w:t>
            </w: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r>
      <w:tr>
        <w:trPr>
          <w:trHeight w:val="23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Greater than 5% shareholder</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228"/>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Jack Silver</w:t>
            </w:r>
            <w:r>
              <w:rPr>
                <w:rFonts w:ascii="Arial" w:cs="Arial" w:eastAsia="Arial" w:hAnsi="Arial"/>
                <w:sz w:val="11"/>
                <w:szCs w:val="11"/>
                <w:color w:val="auto"/>
              </w:rPr>
              <w:t>(3)</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746,891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2"/>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5,000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(4)</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 as a group (6 persons)</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237,759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176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Sole voting power.</w:t>
      </w:r>
    </w:p>
    <w:p>
      <w:pPr>
        <w:ind w:left="420" w:right="100" w:hanging="412"/>
        <w:spacing w:after="0" w:line="221" w:lineRule="auto"/>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information provided is derived from Schedule 13G filed February 12, 2014 by Mr. Jack Silver. Such securities are held by certain investment vehicles controlled and/or managed by Mr. Silver. The address for Mr. Silver is 80 Columbus Circle PH76A, New York, New York 10023.</w:t>
      </w:r>
    </w:p>
    <w:p>
      <w:pPr>
        <w:ind w:left="420" w:hanging="4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November 20, 2014.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Floating Rate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Investment</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 Ltd.</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Corporation</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$ 50,001 - $100,000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$500,001 - $1,000,000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None</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None</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w w:val="92"/>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PennantPark Floating Rate Capital Ltd. has entered into the Investment Management Agreement with the Investment Adviser under which the Investment Adviser, subject to the overall supervision of the Company’s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71"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2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2014, 2013 and 2012, the Investment Adviser earned a base management fee of $3.7 million, $2.2 million and $1.5 million, respectively, from us.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165"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2014, 2013 and 2012, the Investment Adviser earned $2.6 million, $1.5 million and $0.3 million, respectively, in incentive fees on net investment income from 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120015</wp:posOffset>
            </wp:positionV>
            <wp:extent cx="2272665" cy="428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726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earned an incentive fee on capital gains of approximately $0.8 million, zero and zero, respectively, as calculated under the Investment Management Agreement (as described above).</w:t>
      </w:r>
    </w:p>
    <w:p>
      <w:pPr>
        <w:spacing w:after="0" w:line="116"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2014, 2013 and 2012 was $0.1 million, $0.4 million and $0.3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60"/>
        <w:spacing w:after="0" w:line="331" w:lineRule="auto"/>
        <w:rPr>
          <w:sz w:val="20"/>
          <w:szCs w:val="20"/>
          <w:color w:val="auto"/>
        </w:rPr>
      </w:pPr>
      <w:r>
        <w:rPr>
          <w:rFonts w:ascii="Arial" w:cs="Arial" w:eastAsia="Arial" w:hAnsi="Arial"/>
          <w:sz w:val="18"/>
          <w:szCs w:val="18"/>
          <w:color w:val="auto"/>
        </w:rPr>
        <w:t>(investment income—(base management fee + other expenses)) = 0.80% Pre-Incentive Fee Net Investment Income does not exceed hurdle; therefore there is no incentive fee.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jc w:val="right"/>
        <w:ind w:right="348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36" w:lineRule="exact"/>
        <w:rPr>
          <w:sz w:val="20"/>
          <w:szCs w:val="20"/>
          <w:color w:val="auto"/>
        </w:rPr>
      </w:pPr>
    </w:p>
    <w:p>
      <w:pPr>
        <w:ind w:left="2880" w:hanging="151"/>
        <w:spacing w:after="0"/>
        <w:tabs>
          <w:tab w:leader="none" w:pos="2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49" w:lineRule="exact"/>
        <w:rPr>
          <w:rFonts w:ascii="Arial" w:cs="Arial" w:eastAsia="Arial" w:hAnsi="Arial"/>
          <w:sz w:val="18"/>
          <w:szCs w:val="18"/>
          <w:color w:val="auto"/>
        </w:rPr>
      </w:pPr>
    </w:p>
    <w:p>
      <w:pPr>
        <w:ind w:left="2880" w:hanging="151"/>
        <w:spacing w:after="0"/>
        <w:tabs>
          <w:tab w:leader="none" w:pos="2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0" w:hanging="151"/>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(4)</w:t>
      </w:r>
    </w:p>
    <w:p>
      <w:pPr>
        <w:spacing w:after="0" w:line="36" w:lineRule="exact"/>
        <w:rPr>
          <w:rFonts w:ascii="Arial" w:cs="Arial" w:eastAsia="Arial" w:hAnsi="Arial"/>
          <w:sz w:val="18"/>
          <w:szCs w:val="18"/>
          <w:color w:val="auto"/>
        </w:rPr>
      </w:pPr>
    </w:p>
    <w:p>
      <w:pPr>
        <w:ind w:right="2600" w:firstLine="9"/>
        <w:spacing w:after="0" w:line="328" w:lineRule="auto"/>
        <w:tabs>
          <w:tab w:leader="none" w:pos="1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204" w:lineRule="exact"/>
        <w:rPr>
          <w:rFonts w:ascii="Arial" w:cs="Arial" w:eastAsia="Arial" w:hAnsi="Arial"/>
          <w:sz w:val="18"/>
          <w:szCs w:val="18"/>
          <w:color w:val="auto"/>
        </w:rPr>
      </w:pPr>
    </w:p>
    <w:p>
      <w:pPr>
        <w:ind w:right="5180"/>
        <w:spacing w:after="0" w:line="297"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080"/>
        <w:spacing w:after="0" w:line="315"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000" w:space="720"/>
            <w:col w:w="8640"/>
          </w:cols>
          <w:pgMar w:left="240" w:top="459" w:right="299" w:bottom="1440" w:gutter="0" w:footer="0" w:header="0"/>
          <w:type w:val="continuous"/>
        </w:sectPr>
      </w:pPr>
    </w:p>
    <w:p>
      <w:pPr>
        <w:spacing w:after="0" w:line="92" w:lineRule="exact"/>
        <w:rPr>
          <w:sz w:val="20"/>
          <w:szCs w:val="20"/>
          <w:color w:val="auto"/>
        </w:rPr>
      </w:pPr>
    </w:p>
    <w:p>
      <w:pPr>
        <w:ind w:left="380" w:hanging="325"/>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Investment B sold for $31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$5 million cumulative fee (20% multiplied by $25 million ($30 million cumulative capital gains less $5 million cumulative capital depreciation)) less $6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(previous capital gains fee paid in Year 2)</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multiplied by $25 million ($30 million realized capital gains on sale of Investment A less $5 million unrealized capital depreciation on Investment B)</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 million cumulative fee (20% multiplied by $32 million ($35 million cumulative realized capital gains less $3 million unrealized capital depreciation))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$5 million (previous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$0.6 million capital gains incentive fee</w:t>
      </w:r>
    </w:p>
    <w:p>
      <w:pPr>
        <w:spacing w:after="0" w:line="90"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$5 million of unrealized appreciation)) less $6.4 million (previous cumulative capital gains fee paid in Year 2 and Year 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 2, 3 and Year 4)</w:t>
      </w:r>
    </w:p>
    <w:p>
      <w:pPr>
        <w:spacing w:after="0" w:line="197" w:lineRule="exact"/>
        <w:rPr>
          <w:sz w:val="20"/>
          <w:szCs w:val="20"/>
          <w:color w:val="auto"/>
        </w:rPr>
      </w:pPr>
    </w:p>
    <w:p>
      <w:pPr>
        <w:ind w:left="580" w:hanging="572"/>
        <w:spacing w:after="0" w:line="195" w:lineRule="auto"/>
        <w:tabs>
          <w:tab w:leader="none" w:pos="5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2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2014. Unless terminated earlier as described below, the Investment Management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2014, 2013 and 2012, the Investment Adviser was reimbursed approximately $0.5 million, $0.3 million and $0.2 million, respectively, from us, including expenses the Investment Adviser incurred on behalf of the Administrator, for services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2014. Unless terminated earlier as described below, our Administration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2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8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194"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net asset value per share if the following conditions are met:</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0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18"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2014,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62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November 20, 2014 was $14.19 per share. As of September 30, 2014, we had five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September 30,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14,898,056</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2015, 2016,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the minimum number required under the Maryland General Corporation Law nor more than fifteen.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360" w:firstLine="571"/>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3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0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40" w:firstLine="571"/>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59"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9"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20"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00"/>
          </w:cols>
          <w:pgMar w:left="24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5"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2"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325"/>
        <w:spacing w:after="0" w:line="325"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900" w:right="120" w:hanging="325"/>
        <w:spacing w:after="0" w:line="325"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900" w:right="240" w:hanging="325"/>
        <w:spacing w:after="0" w:line="347"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36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900" w:right="6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0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77"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900" w:right="400" w:hanging="325"/>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4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900" w:right="160" w:hanging="325"/>
        <w:spacing w:after="0" w:line="370"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800" w:right="40" w:hanging="346"/>
        <w:spacing w:after="0" w:line="256"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75"/>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318" w:lineRule="auto"/>
        <w:rPr>
          <w:sz w:val="20"/>
          <w:szCs w:val="20"/>
          <w:color w:val="auto"/>
        </w:rPr>
      </w:pPr>
      <w:r>
        <w:rPr>
          <w:rFonts w:ascii="Arial" w:cs="Arial" w:eastAsia="Arial" w:hAnsi="Arial"/>
          <w:sz w:val="15"/>
          <w:szCs w:val="15"/>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proxy voting decisions are made by the senior investment professionals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77"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right="20" w:hanging="325"/>
        <w:spacing w:after="0" w:line="347" w:lineRule="auto"/>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ordinary income to provide us with additional liquidity.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77"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In addition, upon satisfying these requirements,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taxable year a portion of the OID that accrues over the life of the obligation,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We will address these and other issues to the extent necessary in order to continue to qualify as a RIC.</w:t>
      </w:r>
    </w:p>
    <w:p>
      <w:pPr>
        <w:spacing w:after="0" w:line="143"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ratio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to the extent of our current and accumulated earnings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00"/>
          </w:cols>
          <w:pgMar w:left="240" w:top="459" w:right="2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profits. Subject to certain limitations under the Code, distributions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subject to tax as a RIC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taxable years.</w:t>
      </w:r>
    </w:p>
    <w:p>
      <w:pPr>
        <w:spacing w:after="0" w:line="118" w:lineRule="exact"/>
        <w:rPr>
          <w:sz w:val="20"/>
          <w:szCs w:val="20"/>
          <w:color w:val="auto"/>
        </w:rPr>
      </w:pPr>
    </w:p>
    <w:p>
      <w:pPr>
        <w:ind w:right="216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20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20" w:firstLine="8"/>
        <w:spacing w:after="0" w:line="253"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In addition, under prior law applicable to taxable years of RICs beginning before January 1, 2014 with respect to certain distributions made by RICs to Non-U.S. Stockholders, no withholding was required and the distributions generally were not subject to U.S. federal income tax if (i) the distributions were properly designated in a notice timely delivered to our stockholders as “interest-related dividends” or “short-term capital gain dividends,” (ii) the distributions were derived from sources specified in the Code for such dividends and (iii) certain other requirements were satisfied. No assurance can be given as to whether legislation will be enacted to extend the application of this provision to taxable years of RICs beginning on or after January 1, 2014.</w:t>
      </w:r>
    </w:p>
    <w:p>
      <w:pPr>
        <w:spacing w:after="0" w:line="1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11" w:lineRule="exact"/>
        <w:rPr>
          <w:rFonts w:ascii="Arial" w:cs="Arial" w:eastAsia="Arial" w:hAnsi="Arial"/>
          <w:sz w:val="15"/>
          <w:szCs w:val="15"/>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12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current independent registered public accounting firm, McGladrey LLP, is located at 1185 Avenue of the Americas, New York, NY 10036.</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20" w:type="dxa"/>
            <w:vAlign w:val="bottom"/>
            <w:gridSpan w:val="8"/>
          </w:tcPr>
          <w:p>
            <w:pPr>
              <w:jc w:val="center"/>
              <w:ind w:right="1400"/>
              <w:spacing w:after="0"/>
              <w:rPr>
                <w:sz w:val="20"/>
                <w:szCs w:val="20"/>
                <w:color w:val="auto"/>
              </w:rPr>
            </w:pPr>
            <w:r>
              <w:rPr>
                <w:rFonts w:ascii="Arial" w:cs="Arial" w:eastAsia="Arial" w:hAnsi="Arial"/>
                <w:sz w:val="14"/>
                <w:szCs w:val="14"/>
                <w:b w:val="1"/>
                <w:bCs w:val="1"/>
                <w:color w:val="auto"/>
              </w:rPr>
              <w:t>INDEX TO CONSOLIDATED FINANCIAL STATEMENTS</w:t>
            </w:r>
          </w:p>
        </w:tc>
        <w:tc>
          <w:tcPr>
            <w:tcW w:w="2040" w:type="dxa"/>
            <w:vAlign w:val="bottom"/>
          </w:tcPr>
          <w:p>
            <w:pPr>
              <w:spacing w:after="0"/>
              <w:rPr>
                <w:sz w:val="16"/>
                <w:szCs w:val="16"/>
                <w:color w:val="auto"/>
              </w:rPr>
            </w:pPr>
          </w:p>
        </w:tc>
      </w:tr>
      <w:tr>
        <w:trPr>
          <w:trHeight w:val="581"/>
        </w:trPr>
        <w:tc>
          <w:tcPr>
            <w:tcW w:w="9320" w:type="dxa"/>
            <w:vAlign w:val="bottom"/>
            <w:gridSpan w:val="10"/>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2040" w:type="dxa"/>
            <w:vAlign w:val="bottom"/>
          </w:tcPr>
          <w:p>
            <w:pPr>
              <w:spacing w:after="0"/>
              <w:rPr>
                <w:sz w:val="24"/>
                <w:szCs w:val="24"/>
                <w:color w:val="auto"/>
              </w:rPr>
            </w:pPr>
          </w:p>
        </w:tc>
      </w:tr>
      <w:tr>
        <w:trPr>
          <w:trHeight w:val="365"/>
        </w:trPr>
        <w:tc>
          <w:tcPr>
            <w:tcW w:w="9320" w:type="dxa"/>
            <w:vAlign w:val="bottom"/>
            <w:gridSpan w:val="10"/>
          </w:tcPr>
          <w:p>
            <w:pPr>
              <w:spacing w:after="0"/>
              <w:rPr>
                <w:sz w:val="20"/>
                <w:szCs w:val="20"/>
                <w:color w:val="auto"/>
              </w:rPr>
            </w:pPr>
            <w:r>
              <w:rPr>
                <w:rFonts w:ascii="Arial" w:cs="Arial" w:eastAsia="Arial" w:hAnsi="Arial"/>
                <w:sz w:val="14"/>
                <w:szCs w:val="14"/>
                <w:b w:val="1"/>
                <w:bCs w:val="1"/>
                <w:color w:val="auto"/>
              </w:rPr>
              <w:t>Annual Financial Statements</w:t>
            </w:r>
          </w:p>
        </w:tc>
        <w:tc>
          <w:tcPr>
            <w:tcW w:w="2040" w:type="dxa"/>
            <w:vAlign w:val="bottom"/>
          </w:tcPr>
          <w:p>
            <w:pPr>
              <w:spacing w:after="0"/>
              <w:rPr>
                <w:sz w:val="24"/>
                <w:szCs w:val="24"/>
                <w:color w:val="auto"/>
              </w:rPr>
            </w:pPr>
          </w:p>
        </w:tc>
      </w:tr>
      <w:tr>
        <w:trPr>
          <w:trHeight w:val="392"/>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55"/>
        </w:trPr>
        <w:tc>
          <w:tcPr>
            <w:tcW w:w="9320" w:type="dxa"/>
            <w:vAlign w:val="bottom"/>
            <w:gridSpan w:val="10"/>
          </w:tcPr>
          <w:p>
            <w:pPr>
              <w:spacing w:after="0"/>
              <w:rPr>
                <w:rFonts w:ascii="Arial" w:cs="Arial" w:eastAsia="Arial" w:hAnsi="Arial"/>
                <w:sz w:val="14"/>
                <w:szCs w:val="14"/>
                <w:color w:val="0000EE"/>
              </w:rPr>
            </w:pPr>
            <w:hyperlink w:anchor="page124">
              <w:r>
                <w:rPr>
                  <w:rFonts w:ascii="Arial" w:cs="Arial" w:eastAsia="Arial" w:hAnsi="Arial"/>
                  <w:sz w:val="14"/>
                  <w:szCs w:val="14"/>
                  <w:color w:val="0000EE"/>
                </w:rPr>
                <w:t>Management’s Report on Internal Control Over Financial Reporting</w:t>
              </w:r>
            </w:hyperlink>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F-2</w:t>
            </w:r>
          </w:p>
        </w:tc>
      </w:tr>
      <w:tr>
        <w:trPr>
          <w:trHeight w:val="196"/>
        </w:trPr>
        <w:tc>
          <w:tcPr>
            <w:tcW w:w="35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3"/>
              </w:rPr>
            </w:pPr>
            <w:hyperlink w:anchor="page125">
              <w:r>
                <w:rPr>
                  <w:rFonts w:ascii="Arial" w:cs="Arial" w:eastAsia="Arial" w:hAnsi="Arial"/>
                  <w:sz w:val="14"/>
                  <w:szCs w:val="14"/>
                  <w:color w:val="0000EE"/>
                  <w:w w:val="93"/>
                </w:rPr>
                <w:t>Reports of Independent Registered Public Accounting Firms</w:t>
              </w:r>
            </w:hyperlink>
          </w:p>
        </w:tc>
        <w:tc>
          <w:tcPr>
            <w:tcW w:w="420" w:type="dxa"/>
            <w:vAlign w:val="bottom"/>
            <w:tcBorders>
              <w:top w:val="single" w:sz="8" w:color="0000EE"/>
            </w:tcBorders>
          </w:tcPr>
          <w:p>
            <w:pPr>
              <w:spacing w:after="0"/>
              <w:rPr>
                <w:sz w:val="17"/>
                <w:szCs w:val="17"/>
                <w:color w:val="auto"/>
              </w:rPr>
            </w:pPr>
          </w:p>
        </w:tc>
        <w:tc>
          <w:tcPr>
            <w:tcW w:w="5400" w:type="dxa"/>
            <w:vAlign w:val="bottom"/>
            <w:gridSpan w:val="7"/>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F-3</w:t>
            </w:r>
          </w:p>
        </w:tc>
      </w:tr>
      <w:tr>
        <w:trPr>
          <w:trHeight w:val="196"/>
        </w:trPr>
        <w:tc>
          <w:tcPr>
            <w:tcW w:w="9320" w:type="dxa"/>
            <w:vAlign w:val="bottom"/>
            <w:gridSpan w:val="10"/>
          </w:tcPr>
          <w:p>
            <w:pPr>
              <w:spacing w:after="0"/>
              <w:rPr>
                <w:rFonts w:ascii="Arial" w:cs="Arial" w:eastAsia="Arial" w:hAnsi="Arial"/>
                <w:sz w:val="14"/>
                <w:szCs w:val="14"/>
                <w:color w:val="0000EE"/>
              </w:rPr>
            </w:pPr>
            <w:hyperlink w:anchor="page127">
              <w:r>
                <w:rPr>
                  <w:rFonts w:ascii="Arial" w:cs="Arial" w:eastAsia="Arial" w:hAnsi="Arial"/>
                  <w:sz w:val="14"/>
                  <w:szCs w:val="14"/>
                  <w:color w:val="0000EE"/>
                </w:rPr>
                <w:t>Report of Independent Registered Public Accounting Firm On Internal Control Over Financial Reportincg</w:t>
              </w:r>
            </w:hyperlink>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F-5</w:t>
            </w:r>
          </w:p>
        </w:tc>
      </w:tr>
      <w:tr>
        <w:trPr>
          <w:trHeight w:val="196"/>
        </w:trPr>
        <w:tc>
          <w:tcPr>
            <w:tcW w:w="4940" w:type="dxa"/>
            <w:vAlign w:val="bottom"/>
            <w:tcBorders>
              <w:top w:val="single" w:sz="8" w:color="0000EE"/>
              <w:bottom w:val="single" w:sz="8" w:color="0000EE"/>
            </w:tcBorders>
            <w:gridSpan w:val="5"/>
          </w:tcPr>
          <w:p>
            <w:pPr>
              <w:spacing w:after="0"/>
              <w:rPr>
                <w:rFonts w:ascii="Arial" w:cs="Arial" w:eastAsia="Arial" w:hAnsi="Arial"/>
                <w:sz w:val="14"/>
                <w:szCs w:val="14"/>
                <w:color w:val="0000EE"/>
                <w:w w:val="92"/>
              </w:rPr>
            </w:pPr>
            <w:hyperlink w:anchor="page128">
              <w:r>
                <w:rPr>
                  <w:rFonts w:ascii="Arial" w:cs="Arial" w:eastAsia="Arial" w:hAnsi="Arial"/>
                  <w:sz w:val="14"/>
                  <w:szCs w:val="14"/>
                  <w:color w:val="0000EE"/>
                  <w:w w:val="92"/>
                </w:rPr>
                <w:t>Consolidated Statements of Assets and Liabilities as of September 30, 2014 and 2013</w:t>
              </w:r>
            </w:hyperlink>
          </w:p>
        </w:tc>
        <w:tc>
          <w:tcPr>
            <w:tcW w:w="1180" w:type="dxa"/>
            <w:vAlign w:val="bottom"/>
            <w:tcBorders>
              <w:top w:val="single" w:sz="8" w:color="0000EE"/>
            </w:tcBorders>
            <w:gridSpan w:val="3"/>
          </w:tcPr>
          <w:p>
            <w:pPr>
              <w:spacing w:after="0"/>
              <w:rPr>
                <w:sz w:val="17"/>
                <w:szCs w:val="17"/>
                <w:color w:val="auto"/>
              </w:rPr>
            </w:pPr>
          </w:p>
        </w:tc>
        <w:tc>
          <w:tcPr>
            <w:tcW w:w="3200" w:type="dxa"/>
            <w:vAlign w:val="bottom"/>
            <w:gridSpan w:val="2"/>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F-6</w:t>
            </w:r>
          </w:p>
        </w:tc>
      </w:tr>
      <w:tr>
        <w:trPr>
          <w:trHeight w:val="196"/>
        </w:trPr>
        <w:tc>
          <w:tcPr>
            <w:tcW w:w="552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129">
              <w:r>
                <w:rPr>
                  <w:rFonts w:ascii="Arial" w:cs="Arial" w:eastAsia="Arial" w:hAnsi="Arial"/>
                  <w:sz w:val="14"/>
                  <w:szCs w:val="14"/>
                  <w:color w:val="0000EE"/>
                  <w:w w:val="91"/>
                </w:rPr>
                <w:t>Consolidated Statements of Operations for the years ended September 30, 2014, 2013 and 2012</w:t>
              </w:r>
            </w:hyperlink>
          </w:p>
        </w:tc>
        <w:tc>
          <w:tcPr>
            <w:tcW w:w="3800" w:type="dxa"/>
            <w:vAlign w:val="bottom"/>
            <w:gridSpan w:val="4"/>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F-7</w:t>
            </w:r>
          </w:p>
        </w:tc>
      </w:tr>
      <w:tr>
        <w:trPr>
          <w:trHeight w:val="196"/>
        </w:trPr>
        <w:tc>
          <w:tcPr>
            <w:tcW w:w="618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130">
              <w:r>
                <w:rPr>
                  <w:rFonts w:ascii="Arial" w:cs="Arial" w:eastAsia="Arial" w:hAnsi="Arial"/>
                  <w:sz w:val="14"/>
                  <w:szCs w:val="14"/>
                  <w:color w:val="0000EE"/>
                  <w:w w:val="91"/>
                </w:rPr>
                <w:t>Consolidated Statements of Changes in Net Assets for the years ended September 30, 2014, 2013 and 2012</w:t>
              </w:r>
            </w:hyperlink>
          </w:p>
        </w:tc>
        <w:tc>
          <w:tcPr>
            <w:tcW w:w="31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F-8</w:t>
            </w:r>
          </w:p>
        </w:tc>
      </w:tr>
      <w:tr>
        <w:trPr>
          <w:trHeight w:val="196"/>
        </w:trPr>
        <w:tc>
          <w:tcPr>
            <w:tcW w:w="556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131">
              <w:r>
                <w:rPr>
                  <w:rFonts w:ascii="Arial" w:cs="Arial" w:eastAsia="Arial" w:hAnsi="Arial"/>
                  <w:sz w:val="14"/>
                  <w:szCs w:val="14"/>
                  <w:color w:val="0000EE"/>
                  <w:w w:val="91"/>
                </w:rPr>
                <w:t>Consolidated Statements of Cash Flows for the years ended September 30, 2014, 2013 and 2012</w:t>
              </w:r>
            </w:hyperlink>
          </w:p>
        </w:tc>
        <w:tc>
          <w:tcPr>
            <w:tcW w:w="3760" w:type="dxa"/>
            <w:vAlign w:val="bottom"/>
            <w:gridSpan w:val="3"/>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F-9</w:t>
            </w:r>
          </w:p>
        </w:tc>
      </w:tr>
      <w:tr>
        <w:trPr>
          <w:trHeight w:val="196"/>
        </w:trPr>
        <w:tc>
          <w:tcPr>
            <w:tcW w:w="9320" w:type="dxa"/>
            <w:vAlign w:val="bottom"/>
            <w:gridSpan w:val="10"/>
          </w:tcPr>
          <w:p>
            <w:pPr>
              <w:spacing w:after="0"/>
              <w:rPr>
                <w:rFonts w:ascii="Arial" w:cs="Arial" w:eastAsia="Arial" w:hAnsi="Arial"/>
                <w:sz w:val="14"/>
                <w:szCs w:val="14"/>
                <w:color w:val="0000EE"/>
              </w:rPr>
            </w:pPr>
            <w:hyperlink w:anchor="page132">
              <w:r>
                <w:rPr>
                  <w:rFonts w:ascii="Arial" w:cs="Arial" w:eastAsia="Arial" w:hAnsi="Arial"/>
                  <w:sz w:val="14"/>
                  <w:szCs w:val="14"/>
                  <w:color w:val="0000EE"/>
                </w:rPr>
                <w:t>Consolidated Schedules of Investments as of September 30, 2014 and 2013</w:t>
              </w:r>
            </w:hyperlink>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F-10</w:t>
            </w:r>
          </w:p>
        </w:tc>
      </w:tr>
      <w:tr>
        <w:trPr>
          <w:trHeight w:val="196"/>
        </w:trPr>
        <w:tc>
          <w:tcPr>
            <w:tcW w:w="4340" w:type="dxa"/>
            <w:vAlign w:val="bottom"/>
            <w:tcBorders>
              <w:top w:val="single" w:sz="8" w:color="0000EE"/>
            </w:tcBorders>
            <w:gridSpan w:val="4"/>
          </w:tcPr>
          <w:p>
            <w:pPr>
              <w:spacing w:after="0"/>
              <w:rPr>
                <w:rFonts w:ascii="Arial" w:cs="Arial" w:eastAsia="Arial" w:hAnsi="Arial"/>
                <w:sz w:val="14"/>
                <w:szCs w:val="14"/>
                <w:color w:val="0000EE"/>
              </w:rPr>
            </w:pPr>
            <w:hyperlink w:anchor="page136">
              <w:r>
                <w:rPr>
                  <w:rFonts w:ascii="Arial" w:cs="Arial" w:eastAsia="Arial" w:hAnsi="Arial"/>
                  <w:sz w:val="14"/>
                  <w:szCs w:val="14"/>
                  <w:color w:val="0000EE"/>
                </w:rPr>
                <w:t>Notes to the Consolidated Financial Statements</w:t>
              </w:r>
            </w:hyperlink>
          </w:p>
        </w:tc>
        <w:tc>
          <w:tcPr>
            <w:tcW w:w="4980" w:type="dxa"/>
            <w:vAlign w:val="bottom"/>
            <w:gridSpan w:val="6"/>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F-14</w:t>
            </w:r>
          </w:p>
        </w:tc>
      </w:tr>
      <w:tr>
        <w:trPr>
          <w:trHeight w:val="306"/>
        </w:trPr>
        <w:tc>
          <w:tcPr>
            <w:tcW w:w="27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3"/>
          </w:tcPr>
          <w:p>
            <w:pPr>
              <w:jc w:val="center"/>
              <w:ind w:right="3440"/>
              <w:spacing w:after="0"/>
              <w:rPr>
                <w:sz w:val="20"/>
                <w:szCs w:val="20"/>
                <w:color w:val="auto"/>
              </w:rPr>
            </w:pPr>
            <w:r>
              <w:rPr>
                <w:rFonts w:ascii="Arial" w:cs="Arial" w:eastAsia="Arial" w:hAnsi="Arial"/>
                <w:sz w:val="14"/>
                <w:szCs w:val="14"/>
                <w:color w:val="auto"/>
                <w:w w:val="95"/>
              </w:rPr>
              <w:t>F-1</w:t>
            </w:r>
          </w:p>
        </w:tc>
        <w:tc>
          <w:tcPr>
            <w:tcW w:w="20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89" w:lineRule="exact"/>
        <w:rPr>
          <w:sz w:val="20"/>
          <w:szCs w:val="20"/>
          <w:color w:val="auto"/>
        </w:rPr>
      </w:pPr>
    </w:p>
    <w:p>
      <w:pPr>
        <w:ind w:right="260" w:firstLine="685"/>
        <w:spacing w:after="0" w:line="234"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2014. Our internal control system is a process designed to provide reasonable assurance to our management and board of directors regarding the preparation and fair presentation of published financial statements.</w:t>
      </w:r>
    </w:p>
    <w:p>
      <w:pPr>
        <w:spacing w:after="0" w:line="142" w:lineRule="exact"/>
        <w:rPr>
          <w:sz w:val="20"/>
          <w:szCs w:val="20"/>
          <w:color w:val="auto"/>
        </w:rPr>
      </w:pPr>
    </w:p>
    <w:p>
      <w:pPr>
        <w:ind w:right="40" w:firstLine="685"/>
        <w:spacing w:after="0" w:line="256" w:lineRule="auto"/>
        <w:rPr>
          <w:sz w:val="20"/>
          <w:szCs w:val="20"/>
          <w:color w:val="auto"/>
        </w:rPr>
      </w:pPr>
      <w:r>
        <w:rPr>
          <w:rFonts w:ascii="Arial" w:cs="Arial" w:eastAsia="Arial" w:hAnsi="Arial"/>
          <w:sz w:val="13"/>
          <w:szCs w:val="13"/>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32"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right="20" w:firstLine="685"/>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2014. In making this assessment, we used the criteria set forth by the Committee of Sponsoring Organizations of the Treadway Commission in 1992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2014, our internal control over financial reporting is effective based on those criteria.</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2014.</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F-5.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259" w:lineRule="exact"/>
        <w:rPr>
          <w:sz w:val="20"/>
          <w:szCs w:val="20"/>
          <w:color w:val="auto"/>
        </w:rPr>
      </w:pPr>
    </w:p>
    <w:p>
      <w:pPr>
        <w:ind w:right="100" w:firstLine="685"/>
        <w:spacing w:after="0" w:line="234"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2014, and the related consolidated statements of operations, changes in net assets, and cash flows for the year ended September 30, 2014. These consolidated financial statements are the responsibility of the Company’s management. Our responsibility is to express an opinion on these consolidated financial statements based on our audit.</w:t>
      </w:r>
    </w:p>
    <w:p>
      <w:pPr>
        <w:spacing w:after="0" w:line="142"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2014 by correspondence with the custodians.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57"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2014, and the results of their operations, changes in net assets and their cash flows for the year then ended in conformity with U.S. generally accepted accounting principles.</w:t>
      </w:r>
    </w:p>
    <w:p>
      <w:pPr>
        <w:spacing w:after="0" w:line="142"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and our report dated November 13, 2014 expressed an unqualified opinion on the effectiveness of the Company’s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259" w:lineRule="exact"/>
        <w:rPr>
          <w:sz w:val="20"/>
          <w:szCs w:val="20"/>
          <w:color w:val="auto"/>
        </w:rPr>
      </w:pPr>
    </w:p>
    <w:p>
      <w:pPr>
        <w:ind w:right="60" w:firstLine="685"/>
        <w:spacing w:after="0" w:line="234"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Subsidiary (collectively referred to as the “Company”), including the consolidated schedule of investments as of September 30, 2013, the related consolidated statements of operations, changes in net assets and cash flows for the years ended September 30, 2013 and 2012. These consolidated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100"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2013 and the results of their operations and their cash flows for the years ended September 30, 2013 and 2012, in conformity with U.S. generally accepted accounting principles.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24" w:lineRule="exact"/>
        <w:rPr>
          <w:sz w:val="20"/>
          <w:szCs w:val="20"/>
          <w:color w:val="auto"/>
        </w:rPr>
      </w:pPr>
    </w:p>
    <w:p>
      <w:pPr>
        <w:ind w:right="120" w:firstLine="685"/>
        <w:spacing w:after="0" w:line="231" w:lineRule="auto"/>
        <w:rPr>
          <w:sz w:val="20"/>
          <w:szCs w:val="20"/>
          <w:color w:val="auto"/>
        </w:rPr>
      </w:pPr>
      <w:r>
        <w:rPr>
          <w:rFonts w:ascii="Arial" w:cs="Arial" w:eastAsia="Arial" w:hAnsi="Arial"/>
          <w:sz w:val="14"/>
          <w:szCs w:val="14"/>
          <w:color w:val="auto"/>
        </w:rPr>
        <w:t xml:space="preserve">We have audited PennantPark Floating Rate Capital Ltd. and its Subsidiary’s (the “Company”)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53. Our responsibility is to express an opinion on the Company’s internal control over financial reporting based on our audit.</w:t>
      </w:r>
    </w:p>
    <w:p>
      <w:pPr>
        <w:spacing w:after="0" w:line="144"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ind w:right="20" w:firstLine="685"/>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100" w:firstLine="8"/>
        <w:spacing w:after="0" w:line="229" w:lineRule="auto"/>
        <w:tabs>
          <w:tab w:leader="none" w:pos="196"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right="340" w:firstLine="685"/>
        <w:spacing w:after="0" w:line="253"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1992.</w:t>
      </w:r>
    </w:p>
    <w:p>
      <w:pPr>
        <w:spacing w:after="0" w:line="133" w:lineRule="exact"/>
        <w:rPr>
          <w:sz w:val="20"/>
          <w:szCs w:val="20"/>
          <w:color w:val="auto"/>
        </w:rPr>
      </w:pPr>
    </w:p>
    <w:p>
      <w:pPr>
        <w:ind w:right="300" w:firstLine="685"/>
        <w:spacing w:after="0" w:line="23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 of assets and liabilities of PennantPark Floating Rate Capital Ltd. and its Subsidiary, including the schedule of investments as of September 30, 2014, and the related consolidated statements of operations, changes in net assets, and cash flows for the year then ended and our report dated November 13, 2014 expressed an unqualified opinion.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September 30, 2013</w:t>
            </w:r>
          </w:p>
        </w:tc>
      </w:tr>
      <w:tr>
        <w:trPr>
          <w:trHeight w:val="129"/>
        </w:trPr>
        <w:tc>
          <w:tcPr>
            <w:tcW w:w="20" w:type="dxa"/>
            <w:vAlign w:val="bottom"/>
          </w:tcPr>
          <w:p>
            <w:pPr>
              <w:spacing w:after="0"/>
              <w:rPr>
                <w:sz w:val="11"/>
                <w:szCs w:val="11"/>
                <w:color w:val="auto"/>
              </w:rPr>
            </w:pPr>
          </w:p>
        </w:tc>
        <w:tc>
          <w:tcPr>
            <w:tcW w:w="8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Non-controlled, non-affiliated investments (cost—$348,354,295 and $319,283,468, respectively)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348,428,492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317,803,894</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Cash equivalents (See Note 8)</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13,113,817</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4,578,249</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1,773,870</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2,140,802</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9,001,938</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3,659,185</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556,359</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619,737</w:t>
            </w:r>
          </w:p>
        </w:tc>
      </w:tr>
      <w:tr>
        <w:trPr>
          <w:trHeight w:val="163"/>
        </w:trPr>
        <w:tc>
          <w:tcPr>
            <w:tcW w:w="20" w:type="dxa"/>
            <w:vAlign w:val="bottom"/>
          </w:tcPr>
          <w:p>
            <w:pPr>
              <w:spacing w:after="0"/>
              <w:rPr>
                <w:sz w:val="14"/>
                <w:szCs w:val="14"/>
                <w:color w:val="auto"/>
              </w:rPr>
            </w:pPr>
          </w:p>
        </w:tc>
        <w:tc>
          <w:tcPr>
            <w:tcW w:w="818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328,801,867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1,340,825</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1,303,580</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3,162,000</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14,021,588</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2,705,882</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934,555</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(cost—$146,400,000 and $99,600,000, respectively) (See Notes 5 and 10)</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146,949,000</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99,600,000</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284,906</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189,934</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914,978</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731,635</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2,180,604</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1,164,090</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808,571</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790,091</w:t>
            </w:r>
          </w:p>
        </w:tc>
      </w:tr>
      <w:tr>
        <w:trPr>
          <w:trHeight w:val="163"/>
        </w:trPr>
        <w:tc>
          <w:tcPr>
            <w:tcW w:w="20" w:type="dxa"/>
            <w:vAlign w:val="bottom"/>
          </w:tcPr>
          <w:p>
            <w:pPr>
              <w:spacing w:after="0"/>
              <w:rPr>
                <w:sz w:val="14"/>
                <w:szCs w:val="14"/>
                <w:color w:val="auto"/>
              </w:rPr>
            </w:pPr>
          </w:p>
        </w:tc>
        <w:tc>
          <w:tcPr>
            <w:tcW w:w="818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158,346,766</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118,735,473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8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14,898,056 shares issued and outstanding.</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 value $0.001 per share and 100,000,000 shares authorized.</w:t>
            </w: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14,898</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14,898</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207,226,615</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207,481,368</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4,878,091</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474,766</w:t>
            </w: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80" w:type="dxa"/>
            <w:vAlign w:val="bottom"/>
          </w:tcPr>
          <w:p>
            <w:pPr>
              <w:spacing w:after="0"/>
              <w:rPr>
                <w:sz w:val="12"/>
                <w:szCs w:val="12"/>
                <w:color w:val="auto"/>
              </w:rPr>
            </w:pPr>
          </w:p>
        </w:tc>
        <w:tc>
          <w:tcPr>
            <w:tcW w:w="1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2,882,909</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3,574,936</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74,197</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(1,479,574)</w:t>
            </w:r>
          </w:p>
        </w:tc>
      </w:tr>
      <w:tr>
        <w:trPr>
          <w:trHeight w:val="156"/>
        </w:trPr>
        <w:tc>
          <w:tcPr>
            <w:tcW w:w="20" w:type="dxa"/>
            <w:vAlign w:val="bottom"/>
          </w:tcPr>
          <w:p>
            <w:pPr>
              <w:spacing w:after="0"/>
              <w:rPr>
                <w:sz w:val="13"/>
                <w:szCs w:val="13"/>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80" w:type="dxa"/>
            <w:vAlign w:val="bottom"/>
          </w:tcPr>
          <w:p>
            <w:pPr>
              <w:spacing w:after="0"/>
              <w:rPr>
                <w:sz w:val="13"/>
                <w:szCs w:val="13"/>
                <w:color w:val="auto"/>
              </w:rPr>
            </w:pPr>
          </w:p>
        </w:tc>
        <w:tc>
          <w:tcPr>
            <w:tcW w:w="1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(549,000)</w:t>
            </w:r>
          </w:p>
        </w:tc>
        <w:tc>
          <w:tcPr>
            <w:tcW w:w="100" w:type="dxa"/>
            <w:vAlign w:val="bottom"/>
          </w:tcPr>
          <w:p>
            <w:pPr>
              <w:spacing w:after="0"/>
              <w:rPr>
                <w:sz w:val="13"/>
                <w:szCs w:val="13"/>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b w:val="1"/>
                <w:bCs w:val="1"/>
                <w:color w:val="auto"/>
              </w:rPr>
              <w:t>Total net assets</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214,527,710</w:t>
            </w: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210,066,394</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18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328,801,867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14.10</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Borders>
              <w:bottom w:val="single" w:sz="8" w:color="auto"/>
            </w:tcBorders>
            <w:gridSpan w:val="12"/>
          </w:tcPr>
          <w:p>
            <w:pPr>
              <w:ind w:left="780"/>
              <w:spacing w:after="0"/>
              <w:rPr>
                <w:sz w:val="20"/>
                <w:szCs w:val="20"/>
                <w:color w:val="auto"/>
              </w:rPr>
            </w:pPr>
            <w:r>
              <w:rPr>
                <w:rFonts w:ascii="Arial" w:cs="Arial" w:eastAsia="Arial" w:hAnsi="Arial"/>
                <w:sz w:val="14"/>
                <w:szCs w:val="14"/>
                <w:b w:val="1"/>
                <w:bCs w:val="1"/>
                <w:color w:val="auto"/>
                <w:w w:val="97"/>
              </w:rPr>
              <w:t>Years Ended September 30,</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8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29,256,441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17,635,914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11,856,483</w:t>
            </w:r>
          </w:p>
        </w:tc>
      </w:tr>
      <w:tr>
        <w:trPr>
          <w:trHeight w:val="156"/>
        </w:trPr>
        <w:tc>
          <w:tcPr>
            <w:tcW w:w="20" w:type="dxa"/>
            <w:vAlign w:val="bottom"/>
          </w:tcPr>
          <w:p>
            <w:pPr>
              <w:spacing w:after="0"/>
              <w:rPr>
                <w:sz w:val="13"/>
                <w:szCs w:val="13"/>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1,100,391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1,231,654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242,065</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30,356,832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18,867,568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12,098,548</w:t>
            </w: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3,702,826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2,196,038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1,494,616</w:t>
            </w:r>
          </w:p>
        </w:tc>
      </w:tr>
      <w:tr>
        <w:trPr>
          <w:trHeight w:val="149"/>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3,464,344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1,891,302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564,540</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3,471,347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1,853,958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1,482,339</w:t>
            </w:r>
          </w:p>
        </w:tc>
      </w:tr>
      <w:tr>
        <w:trPr>
          <w:trHeight w:val="149"/>
        </w:trPr>
        <w:tc>
          <w:tcPr>
            <w:tcW w:w="20" w:type="dxa"/>
            <w:vAlign w:val="bottom"/>
          </w:tcPr>
          <w:p>
            <w:pPr>
              <w:spacing w:after="0"/>
              <w:rPr>
                <w:sz w:val="12"/>
                <w:szCs w:val="12"/>
                <w:color w:val="auto"/>
              </w:rPr>
            </w:pPr>
          </w:p>
        </w:tc>
        <w:tc>
          <w:tcPr>
            <w:tcW w:w="784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879,000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864,561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583,613</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1,011,285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988,541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1,310,084</w:t>
            </w:r>
          </w:p>
        </w:tc>
      </w:tr>
      <w:tr>
        <w:trPr>
          <w:trHeight w:val="156"/>
        </w:trPr>
        <w:tc>
          <w:tcPr>
            <w:tcW w:w="20" w:type="dxa"/>
            <w:vAlign w:val="bottom"/>
          </w:tcPr>
          <w:p>
            <w:pPr>
              <w:spacing w:after="0"/>
              <w:rPr>
                <w:sz w:val="13"/>
                <w:szCs w:val="13"/>
                <w:color w:val="auto"/>
              </w:rPr>
            </w:pPr>
          </w:p>
        </w:tc>
        <w:tc>
          <w:tcPr>
            <w:tcW w:w="784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Expenses before excise tax and amendment costs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12,528,802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7,794,400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5,435,192</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Excise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479,425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122,897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42,027</w:t>
            </w:r>
          </w:p>
        </w:tc>
      </w:tr>
      <w:tr>
        <w:trPr>
          <w:trHeight w:val="156"/>
        </w:trPr>
        <w:tc>
          <w:tcPr>
            <w:tcW w:w="20" w:type="dxa"/>
            <w:vAlign w:val="bottom"/>
          </w:tcPr>
          <w:p>
            <w:pPr>
              <w:spacing w:after="0"/>
              <w:rPr>
                <w:sz w:val="13"/>
                <w:szCs w:val="13"/>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Credit Facility issuance and amendment costs (See Notes 5 and 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712,930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426,924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311,648</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13,721,157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8,344,221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5,788,867</w:t>
            </w:r>
          </w:p>
        </w:tc>
        <w:tc>
          <w:tcPr>
            <w:tcW w:w="8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7840" w:type="dxa"/>
            <w:vAlign w:val="bottom"/>
          </w:tcPr>
          <w:p>
            <w:pPr>
              <w:ind w:left="320"/>
              <w:spacing w:after="0" w:line="155" w:lineRule="exact"/>
              <w:rPr>
                <w:sz w:val="20"/>
                <w:szCs w:val="20"/>
                <w:color w:val="auto"/>
              </w:rPr>
            </w:pPr>
            <w:r>
              <w:rPr>
                <w:rFonts w:ascii="Arial" w:cs="Arial" w:eastAsia="Arial" w:hAnsi="Arial"/>
                <w:sz w:val="14"/>
                <w:szCs w:val="14"/>
                <w:color w:val="auto"/>
              </w:rPr>
              <w:t>Net investment income</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16,635,675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10,523,347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6,309,681</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2,873,525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3,574,936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911,925</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1,553,771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(1,735,965)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4,361,772</w:t>
            </w: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377,500</w:t>
            </w:r>
          </w:p>
        </w:tc>
      </w:tr>
      <w:tr>
        <w:trPr>
          <w:trHeight w:val="163"/>
        </w:trPr>
        <w:tc>
          <w:tcPr>
            <w:tcW w:w="20" w:type="dxa"/>
            <w:vAlign w:val="bottom"/>
          </w:tcPr>
          <w:p>
            <w:pPr>
              <w:spacing w:after="0"/>
              <w:rPr>
                <w:sz w:val="14"/>
                <w:szCs w:val="14"/>
                <w:color w:val="auto"/>
              </w:rPr>
            </w:pPr>
          </w:p>
        </w:tc>
        <w:tc>
          <w:tcPr>
            <w:tcW w:w="784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1,004,771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(2,113,465)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4,739,272</w:t>
            </w: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from investments and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3,878,296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1,461,471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5,651,197</w:t>
            </w: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20,513,971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11,984,818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11,960,878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1.25</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1.75</w:t>
            </w: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income per common share</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0.92</w:t>
            </w:r>
          </w:p>
        </w:tc>
        <w:tc>
          <w:tcPr>
            <w:tcW w:w="80" w:type="dxa"/>
            <w:vAlign w:val="bottom"/>
          </w:tcPr>
          <w:p>
            <w:pPr>
              <w:spacing w:after="0"/>
              <w:rPr>
                <w:sz w:val="13"/>
                <w:szCs w:val="13"/>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Years Ended September 30,</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4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16,635,675</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10,523,347</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realized gain on investments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2,873,525</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3,574,936</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911,925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1,553,771</w:t>
            </w:r>
          </w:p>
        </w:tc>
        <w:tc>
          <w:tcPr>
            <w:tcW w:w="2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(1,735,965)</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(549,000)</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(377,500)</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20,513,971</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11,984,818</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11,960,878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Distribution of net investment income</w:t>
            </w:r>
          </w:p>
        </w:tc>
        <w:tc>
          <w:tcPr>
            <w:tcW w:w="2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(12,477,719)</w:t>
            </w:r>
          </w:p>
        </w:tc>
        <w:tc>
          <w:tcPr>
            <w:tcW w:w="2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(9,129,072)</w:t>
            </w:r>
          </w:p>
        </w:tc>
        <w:tc>
          <w:tcPr>
            <w:tcW w:w="30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(5,922,118)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 of realized gains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(3,574,936)</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(911,925)</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(311,988)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(16,052,655)</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(10,040,997)</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(6,234,106)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Public offerings and distributions reinvested</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113,567,268</w:t>
            </w:r>
          </w:p>
        </w:tc>
        <w:tc>
          <w:tcPr>
            <w:tcW w:w="3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Offering costs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(1,188,572)</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Accrued sales load charges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increase (decrease) from capital transactions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112,378,696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176"/>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Net increase in net assets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4,461,316</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114,322,517</w:t>
            </w: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3,671,772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Beginning of year</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210,066,394</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95,743,877</w:t>
            </w: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92,072,105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End of year</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214,527,710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210,066,394</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95,743,877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200"/>
              <w:spacing w:after="0"/>
              <w:rPr>
                <w:sz w:val="20"/>
                <w:szCs w:val="20"/>
                <w:color w:val="auto"/>
              </w:rPr>
            </w:pPr>
            <w:r>
              <w:rPr>
                <w:rFonts w:ascii="Arial" w:cs="Arial" w:eastAsia="Arial" w:hAnsi="Arial"/>
                <w:sz w:val="14"/>
                <w:szCs w:val="14"/>
                <w:color w:val="auto"/>
              </w:rPr>
              <w:t>Undistributed (Distributions in excess of) net investment income, end of year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4,878,091</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474,766</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share activity:</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from public offerings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8,038,700</w:t>
            </w:r>
          </w:p>
        </w:tc>
        <w:tc>
          <w:tcPr>
            <w:tcW w:w="3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from reinvestment of dividends</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8,689</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6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20,513,971</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11,984,818</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11,960,878</w:t>
            </w: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8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used for operating activities:</w:t>
            </w:r>
          </w:p>
        </w:tc>
        <w:tc>
          <w:tcPr>
            <w:tcW w:w="88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(1,553,771)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1,735,965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(4,361,772)</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377,500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(377,500)</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(2,873,525)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(3,574,936)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(911,925)</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(1,253,776)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(1,178,778)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(704,452)</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(248,124,673)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(316,463,651)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(128,673,695)</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Payment-in-kind interest</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(662,226)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(471,675)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(119,552)</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225,614,700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174,918,136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71,337,986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Decrease (increase) in interest receivable</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366,932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(751,935)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(656,172)</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(Increase) decrease in receivable for investments sold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(5,342,753)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(2,672,907)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1,481,222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63,378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(308,424)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(147,939)</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(10,859,588)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10,664,088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2,367,500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94,972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28,384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11,304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Increase in management fee payable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183,343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306,888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158,315</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1,016,514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657,776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506,314</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Increase in accrued other expenses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18,480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342,971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303,440</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for operating activities</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(22,249,022)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(124,405,780)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(47,826,048)</w:t>
            </w: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Public offerings</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113,443,028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Offering costs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(1,188,572)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Deferred sales load paid</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(2,055,000)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Distributions paid to stockholders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(16,015,410)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(9,161,230)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(6,165,599)</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148,200,000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235,350,000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97,650,000</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00" w:type="dxa"/>
            <w:vAlign w:val="bottom"/>
          </w:tcPr>
          <w:p>
            <w:pPr>
              <w:ind w:left="50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(101,400,000)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(211,250,000)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(46,800,000)</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80" w:type="dxa"/>
            <w:vAlign w:val="bottom"/>
            <w:shd w:val="clear" w:color="auto" w:fill="CCEEFF"/>
          </w:tcPr>
          <w:p>
            <w:pPr>
              <w:spacing w:after="0"/>
              <w:rPr>
                <w:sz w:val="12"/>
                <w:szCs w:val="12"/>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30,784,590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125,138,226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100" w:type="dxa"/>
            <w:vAlign w:val="bottom"/>
            <w:shd w:val="clear" w:color="auto" w:fill="CCEEFF"/>
          </w:tcPr>
          <w:p>
            <w:pPr>
              <w:spacing w:after="0"/>
              <w:rPr>
                <w:sz w:val="12"/>
                <w:szCs w:val="12"/>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8,535,568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732,446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(3,141,647)</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year</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4,578,249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100" w:type="dxa"/>
            <w:vAlign w:val="bottom"/>
            <w:shd w:val="clear" w:color="auto" w:fill="CCEEFF"/>
          </w:tcPr>
          <w:p>
            <w:pPr>
              <w:spacing w:after="0"/>
              <w:rPr>
                <w:sz w:val="12"/>
                <w:szCs w:val="12"/>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equivalents, end of year</w:t>
            </w:r>
          </w:p>
        </w:tc>
        <w:tc>
          <w:tcPr>
            <w:tcW w:w="8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13,113,817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4,578,249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3,845,803</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Interest paid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3,341,375</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1,825,574</w:t>
            </w:r>
          </w:p>
        </w:tc>
        <w:tc>
          <w:tcPr>
            <w:tcW w:w="18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1,471,035</w:t>
            </w:r>
          </w:p>
        </w:tc>
        <w:tc>
          <w:tcPr>
            <w:tcW w:w="1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Taxes paid</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254,753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82,378</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3,952</w:t>
            </w:r>
          </w:p>
        </w:tc>
      </w:tr>
      <w:tr>
        <w:trPr>
          <w:trHeight w:val="163"/>
        </w:trPr>
        <w:tc>
          <w:tcPr>
            <w:tcW w:w="20" w:type="dxa"/>
            <w:vAlign w:val="bottom"/>
          </w:tcPr>
          <w:p>
            <w:pPr>
              <w:spacing w:after="0"/>
              <w:rPr>
                <w:sz w:val="14"/>
                <w:szCs w:val="14"/>
                <w:color w:val="auto"/>
              </w:rPr>
            </w:pPr>
          </w:p>
        </w:tc>
        <w:tc>
          <w:tcPr>
            <w:tcW w:w="6100" w:type="dxa"/>
            <w:vAlign w:val="bottom"/>
          </w:tcPr>
          <w:p>
            <w:pPr>
              <w:ind w:left="200"/>
              <w:spacing w:after="0" w:line="155" w:lineRule="exact"/>
              <w:rPr>
                <w:sz w:val="20"/>
                <w:szCs w:val="20"/>
                <w:color w:val="auto"/>
              </w:rPr>
            </w:pPr>
            <w:r>
              <w:rPr>
                <w:rFonts w:ascii="Arial" w:cs="Arial" w:eastAsia="Arial" w:hAnsi="Arial"/>
                <w:sz w:val="14"/>
                <w:szCs w:val="14"/>
                <w:color w:val="auto"/>
              </w:rPr>
              <w:t>Distributions reinvested</w:t>
            </w:r>
          </w:p>
        </w:tc>
        <w:tc>
          <w:tcPr>
            <w:tcW w:w="8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124,240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Conversions and non-cash exchanges</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6,902,784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center"/>
              <w:ind w:right="122"/>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spacing w:after="0"/>
              <w:rPr>
                <w:sz w:val="11"/>
                <w:szCs w:val="11"/>
                <w:color w:val="auto"/>
              </w:rPr>
            </w:pPr>
          </w:p>
        </w:tc>
        <w:tc>
          <w:tcPr>
            <w:tcW w:w="1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Current</w:t>
            </w:r>
          </w:p>
        </w:tc>
        <w:tc>
          <w:tcPr>
            <w:tcW w:w="86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1040" w:type="dxa"/>
            <w:vAlign w:val="bottom"/>
          </w:tcPr>
          <w:p>
            <w:pPr>
              <w:jc w:val="center"/>
              <w:ind w:left="42"/>
              <w:spacing w:after="0"/>
              <w:rPr>
                <w:sz w:val="20"/>
                <w:szCs w:val="20"/>
                <w:color w:val="auto"/>
              </w:rPr>
            </w:pPr>
            <w:r>
              <w:rPr>
                <w:rFonts w:ascii="Arial" w:cs="Arial" w:eastAsia="Arial" w:hAnsi="Arial"/>
                <w:sz w:val="12"/>
                <w:szCs w:val="12"/>
                <w:b w:val="1"/>
                <w:bCs w:val="1"/>
                <w:color w:val="auto"/>
                <w:w w:val="98"/>
              </w:rPr>
              <w:t>Maturity</w:t>
            </w:r>
          </w:p>
        </w:tc>
        <w:tc>
          <w:tcPr>
            <w:tcW w:w="1920" w:type="dxa"/>
            <w:vAlign w:val="bottom"/>
            <w:vMerge w:val="continue"/>
          </w:tcPr>
          <w:p>
            <w:pPr>
              <w:spacing w:after="0"/>
              <w:rPr>
                <w:sz w:val="12"/>
                <w:szCs w:val="12"/>
                <w:color w:val="auto"/>
              </w:rPr>
            </w:pPr>
          </w:p>
        </w:tc>
        <w:tc>
          <w:tcPr>
            <w:tcW w:w="840" w:type="dxa"/>
            <w:vAlign w:val="bottom"/>
          </w:tcPr>
          <w:p>
            <w:pPr>
              <w:jc w:val="right"/>
              <w:ind w:right="182"/>
              <w:spacing w:after="0"/>
              <w:rPr>
                <w:sz w:val="20"/>
                <w:szCs w:val="20"/>
                <w:color w:val="auto"/>
              </w:rPr>
            </w:pPr>
            <w:r>
              <w:rPr>
                <w:rFonts w:ascii="Arial" w:cs="Arial" w:eastAsia="Arial" w:hAnsi="Arial"/>
                <w:sz w:val="12"/>
                <w:szCs w:val="12"/>
                <w:b w:val="1"/>
                <w:bCs w:val="1"/>
                <w:color w:val="auto"/>
              </w:rPr>
              <w:t>Coupon</w:t>
            </w:r>
          </w:p>
        </w:tc>
        <w:tc>
          <w:tcPr>
            <w:tcW w:w="860" w:type="dxa"/>
            <w:vAlign w:val="bottom"/>
          </w:tcPr>
          <w:p>
            <w:pPr>
              <w:jc w:val="center"/>
              <w:ind w:right="1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44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Companies—162.4% </w:t>
            </w:r>
            <w:r>
              <w:rPr>
                <w:rFonts w:ascii="Arial" w:cs="Arial" w:eastAsia="Arial" w:hAnsi="Arial"/>
                <w:sz w:val="9"/>
                <w:szCs w:val="9"/>
                <w:b w:val="1"/>
                <w:bCs w:val="1"/>
                <w:color w:val="auto"/>
                <w:w w:val="96"/>
              </w:rPr>
              <w:t>(3), (4)</w:t>
            </w:r>
          </w:p>
        </w:tc>
        <w:tc>
          <w:tcPr>
            <w:tcW w:w="104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Debt—141.0%</w:t>
            </w:r>
          </w:p>
        </w:tc>
        <w:tc>
          <w:tcPr>
            <w:tcW w:w="10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20"/>
                <w:szCs w:val="20"/>
                <w:color w:val="auto"/>
              </w:rPr>
            </w:pPr>
            <w:r>
              <w:rPr>
                <w:rFonts w:ascii="Arial" w:cs="Arial" w:eastAsia="Arial" w:hAnsi="Arial"/>
                <w:sz w:val="12"/>
                <w:szCs w:val="12"/>
                <w:color w:val="auto"/>
              </w:rPr>
              <w:t>AKA Diversified Holdings, Inc.</w:t>
            </w:r>
          </w:p>
        </w:tc>
        <w:tc>
          <w:tcPr>
            <w:tcW w:w="1040" w:type="dxa"/>
            <w:vAlign w:val="bottom"/>
          </w:tcPr>
          <w:p>
            <w:pPr>
              <w:jc w:val="center"/>
              <w:ind w:left="42"/>
              <w:spacing w:after="0"/>
              <w:rPr>
                <w:sz w:val="20"/>
                <w:szCs w:val="20"/>
                <w:color w:val="auto"/>
              </w:rPr>
            </w:pPr>
            <w:r>
              <w:rPr>
                <w:rFonts w:ascii="Arial" w:cs="Arial" w:eastAsia="Arial" w:hAnsi="Arial"/>
                <w:sz w:val="12"/>
                <w:szCs w:val="12"/>
                <w:color w:val="auto"/>
                <w:w w:val="89"/>
              </w:rPr>
              <w:t>04/02/2018</w:t>
            </w:r>
          </w:p>
        </w:tc>
        <w:tc>
          <w:tcPr>
            <w:tcW w:w="192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11.92%</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660" w:type="dxa"/>
            <w:vAlign w:val="bottom"/>
          </w:tcPr>
          <w:p>
            <w:pPr>
              <w:ind w:left="120"/>
              <w:spacing w:after="0"/>
              <w:rPr>
                <w:sz w:val="20"/>
                <w:szCs w:val="20"/>
                <w:color w:val="auto"/>
              </w:rPr>
            </w:pPr>
            <w:r>
              <w:rPr>
                <w:rFonts w:ascii="Arial" w:cs="Arial" w:eastAsia="Arial" w:hAnsi="Arial"/>
                <w:sz w:val="12"/>
                <w:szCs w:val="12"/>
                <w:color w:val="auto"/>
                <w:w w:val="97"/>
              </w:rPr>
              <w:t>9,060,104</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$ 8,865,835</w:t>
            </w:r>
          </w:p>
        </w:tc>
        <w:tc>
          <w:tcPr>
            <w:tcW w:w="740" w:type="dxa"/>
            <w:vAlign w:val="bottom"/>
          </w:tcPr>
          <w:p>
            <w:pPr>
              <w:jc w:val="right"/>
              <w:spacing w:after="0"/>
              <w:rPr>
                <w:sz w:val="20"/>
                <w:szCs w:val="20"/>
                <w:color w:val="auto"/>
              </w:rPr>
            </w:pPr>
            <w:r>
              <w:rPr>
                <w:rFonts w:ascii="Arial" w:cs="Arial" w:eastAsia="Arial" w:hAnsi="Arial"/>
                <w:sz w:val="12"/>
                <w:szCs w:val="12"/>
                <w:color w:val="auto"/>
              </w:rPr>
              <w:t>$  9,167,028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(10)</w:t>
            </w:r>
          </w:p>
        </w:tc>
        <w:tc>
          <w:tcPr>
            <w:tcW w:w="10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9"/>
              </w:rPr>
              <w:t>04/02/2018</w:t>
            </w:r>
          </w:p>
        </w:tc>
        <w:tc>
          <w:tcPr>
            <w:tcW w:w="1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Retail</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7"/>
              </w:rPr>
              <w:t>2,000,000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ALG USA Holdings, LLC</w:t>
            </w:r>
          </w:p>
        </w:tc>
        <w:tc>
          <w:tcPr>
            <w:tcW w:w="1040" w:type="dxa"/>
            <w:vAlign w:val="bottom"/>
          </w:tcPr>
          <w:p>
            <w:pPr>
              <w:jc w:val="center"/>
              <w:ind w:left="42"/>
              <w:spacing w:after="0"/>
              <w:rPr>
                <w:sz w:val="20"/>
                <w:szCs w:val="20"/>
                <w:color w:val="auto"/>
              </w:rPr>
            </w:pPr>
            <w:r>
              <w:rPr>
                <w:rFonts w:ascii="Arial" w:cs="Arial" w:eastAsia="Arial" w:hAnsi="Arial"/>
                <w:sz w:val="12"/>
                <w:szCs w:val="12"/>
                <w:color w:val="auto"/>
                <w:w w:val="89"/>
              </w:rPr>
              <w:t>02/28/2019</w:t>
            </w:r>
          </w:p>
        </w:tc>
        <w:tc>
          <w:tcPr>
            <w:tcW w:w="192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7.00%</w:t>
            </w:r>
          </w:p>
        </w:tc>
        <w:tc>
          <w:tcPr>
            <w:tcW w:w="860" w:type="dxa"/>
            <w:vAlign w:val="bottom"/>
          </w:tcPr>
          <w:p>
            <w:pPr>
              <w:jc w:val="right"/>
              <w:ind w:right="182"/>
              <w:spacing w:after="0"/>
              <w:rPr>
                <w:sz w:val="20"/>
                <w:szCs w:val="20"/>
                <w:color w:val="auto"/>
              </w:rPr>
            </w:pPr>
            <w:r>
              <w:rPr>
                <w:rFonts w:ascii="Arial" w:cs="Arial" w:eastAsia="Arial" w:hAnsi="Arial"/>
                <w:sz w:val="12"/>
                <w:szCs w:val="12"/>
                <w:color w:val="auto"/>
              </w:rPr>
              <w:t>L+575</w:t>
            </w:r>
          </w:p>
        </w:tc>
        <w:tc>
          <w:tcPr>
            <w:tcW w:w="660" w:type="dxa"/>
            <w:vAlign w:val="bottom"/>
          </w:tcPr>
          <w:p>
            <w:pPr>
              <w:ind w:left="120"/>
              <w:spacing w:after="0"/>
              <w:rPr>
                <w:sz w:val="20"/>
                <w:szCs w:val="20"/>
                <w:color w:val="auto"/>
              </w:rPr>
            </w:pPr>
            <w:r>
              <w:rPr>
                <w:rFonts w:ascii="Arial" w:cs="Arial" w:eastAsia="Arial" w:hAnsi="Arial"/>
                <w:sz w:val="12"/>
                <w:szCs w:val="12"/>
                <w:color w:val="auto"/>
                <w:w w:val="97"/>
              </w:rPr>
              <w:t>7,334,751</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7,289,756</w:t>
            </w:r>
          </w:p>
        </w:tc>
        <w:tc>
          <w:tcPr>
            <w:tcW w:w="740" w:type="dxa"/>
            <w:vAlign w:val="bottom"/>
          </w:tcPr>
          <w:p>
            <w:pPr>
              <w:jc w:val="right"/>
              <w:spacing w:after="0"/>
              <w:rPr>
                <w:sz w:val="20"/>
                <w:szCs w:val="20"/>
                <w:color w:val="auto"/>
              </w:rPr>
            </w:pPr>
            <w:r>
              <w:rPr>
                <w:rFonts w:ascii="Arial" w:cs="Arial" w:eastAsia="Arial" w:hAnsi="Arial"/>
                <w:sz w:val="12"/>
                <w:szCs w:val="12"/>
                <w:color w:val="auto"/>
              </w:rPr>
              <w:t>7,261,403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Alvogen Pharma US, Inc.</w:t>
            </w:r>
          </w:p>
        </w:tc>
        <w:tc>
          <w:tcPr>
            <w:tcW w:w="10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9"/>
              </w:rPr>
              <w:t>05/23/2018</w:t>
            </w:r>
          </w:p>
        </w:tc>
        <w:tc>
          <w:tcPr>
            <w:tcW w:w="1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7.00%</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L+575</w:t>
            </w:r>
          </w:p>
        </w:tc>
        <w:tc>
          <w:tcPr>
            <w:tcW w:w="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7"/>
              </w:rPr>
              <w:t>2,764,276</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2,738,582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2,781,553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2"/>
                <w:szCs w:val="12"/>
                <w:color w:val="auto"/>
              </w:rPr>
              <w:t>Ancile Solutions, Inc.</w:t>
            </w:r>
          </w:p>
        </w:tc>
        <w:tc>
          <w:tcPr>
            <w:tcW w:w="1040" w:type="dxa"/>
            <w:vAlign w:val="bottom"/>
          </w:tcPr>
          <w:p>
            <w:pPr>
              <w:jc w:val="center"/>
              <w:ind w:left="42"/>
              <w:spacing w:after="0"/>
              <w:rPr>
                <w:sz w:val="20"/>
                <w:szCs w:val="20"/>
                <w:color w:val="auto"/>
              </w:rPr>
            </w:pPr>
            <w:r>
              <w:rPr>
                <w:rFonts w:ascii="Arial" w:cs="Arial" w:eastAsia="Arial" w:hAnsi="Arial"/>
                <w:sz w:val="12"/>
                <w:szCs w:val="12"/>
                <w:color w:val="auto"/>
                <w:w w:val="89"/>
              </w:rPr>
              <w:t>07/16/2018</w:t>
            </w:r>
          </w:p>
        </w:tc>
        <w:tc>
          <w:tcPr>
            <w:tcW w:w="192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6.25%</w:t>
            </w:r>
          </w:p>
        </w:tc>
        <w:tc>
          <w:tcPr>
            <w:tcW w:w="860" w:type="dxa"/>
            <w:vAlign w:val="bottom"/>
          </w:tcPr>
          <w:p>
            <w:pPr>
              <w:jc w:val="right"/>
              <w:ind w:right="182"/>
              <w:spacing w:after="0"/>
              <w:rPr>
                <w:sz w:val="20"/>
                <w:szCs w:val="20"/>
                <w:color w:val="auto"/>
              </w:rPr>
            </w:pPr>
            <w:r>
              <w:rPr>
                <w:rFonts w:ascii="Arial" w:cs="Arial" w:eastAsia="Arial" w:hAnsi="Arial"/>
                <w:sz w:val="12"/>
                <w:szCs w:val="12"/>
                <w:color w:val="auto"/>
              </w:rPr>
              <w:t>L+500</w:t>
            </w:r>
          </w:p>
        </w:tc>
        <w:tc>
          <w:tcPr>
            <w:tcW w:w="660" w:type="dxa"/>
            <w:vAlign w:val="bottom"/>
          </w:tcPr>
          <w:p>
            <w:pPr>
              <w:ind w:left="120"/>
              <w:spacing w:after="0"/>
              <w:rPr>
                <w:sz w:val="20"/>
                <w:szCs w:val="20"/>
                <w:color w:val="auto"/>
              </w:rPr>
            </w:pPr>
            <w:r>
              <w:rPr>
                <w:rFonts w:ascii="Arial" w:cs="Arial" w:eastAsia="Arial" w:hAnsi="Arial"/>
                <w:sz w:val="12"/>
                <w:szCs w:val="12"/>
                <w:color w:val="auto"/>
                <w:w w:val="97"/>
              </w:rPr>
              <w:t>4,333,333</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4,299,220</w:t>
            </w:r>
          </w:p>
        </w:tc>
        <w:tc>
          <w:tcPr>
            <w:tcW w:w="740" w:type="dxa"/>
            <w:vAlign w:val="bottom"/>
          </w:tcPr>
          <w:p>
            <w:pPr>
              <w:jc w:val="right"/>
              <w:spacing w:after="0"/>
              <w:rPr>
                <w:sz w:val="20"/>
                <w:szCs w:val="20"/>
                <w:color w:val="auto"/>
              </w:rPr>
            </w:pPr>
            <w:r>
              <w:rPr>
                <w:rFonts w:ascii="Arial" w:cs="Arial" w:eastAsia="Arial" w:hAnsi="Arial"/>
                <w:sz w:val="12"/>
                <w:szCs w:val="12"/>
                <w:color w:val="auto"/>
              </w:rPr>
              <w:t>4,327,917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AP Gaming I, LLC</w:t>
            </w:r>
          </w:p>
        </w:tc>
        <w:tc>
          <w:tcPr>
            <w:tcW w:w="10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9"/>
              </w:rPr>
              <w:t>12/21/2020</w:t>
            </w:r>
          </w:p>
        </w:tc>
        <w:tc>
          <w:tcPr>
            <w:tcW w:w="1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9.25%</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L+825</w:t>
            </w:r>
          </w:p>
        </w:tc>
        <w:tc>
          <w:tcPr>
            <w:tcW w:w="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7"/>
              </w:rPr>
              <w:t>1,389,500</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1,351,463</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1,396,447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line="129" w:lineRule="exact"/>
              <w:rPr>
                <w:sz w:val="20"/>
                <w:szCs w:val="20"/>
                <w:color w:val="auto"/>
              </w:rPr>
            </w:pPr>
            <w:r>
              <w:rPr>
                <w:rFonts w:ascii="Arial" w:cs="Arial" w:eastAsia="Arial" w:hAnsi="Arial"/>
                <w:sz w:val="12"/>
                <w:szCs w:val="12"/>
                <w:color w:val="auto"/>
              </w:rPr>
              <w:t>Ascend Learning, LLC</w:t>
            </w:r>
          </w:p>
        </w:tc>
        <w:tc>
          <w:tcPr>
            <w:tcW w:w="1040" w:type="dxa"/>
            <w:vAlign w:val="bottom"/>
          </w:tcPr>
          <w:p>
            <w:pPr>
              <w:jc w:val="center"/>
              <w:ind w:left="42"/>
              <w:spacing w:after="0" w:line="129" w:lineRule="exact"/>
              <w:rPr>
                <w:sz w:val="20"/>
                <w:szCs w:val="20"/>
                <w:color w:val="auto"/>
              </w:rPr>
            </w:pPr>
            <w:r>
              <w:rPr>
                <w:rFonts w:ascii="Arial" w:cs="Arial" w:eastAsia="Arial" w:hAnsi="Arial"/>
                <w:sz w:val="12"/>
                <w:szCs w:val="12"/>
                <w:color w:val="auto"/>
                <w:w w:val="89"/>
              </w:rPr>
              <w:t>07/31/2019</w:t>
            </w:r>
          </w:p>
        </w:tc>
        <w:tc>
          <w:tcPr>
            <w:tcW w:w="1920" w:type="dxa"/>
            <w:vAlign w:val="bottom"/>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6.00%</w:t>
            </w:r>
          </w:p>
        </w:tc>
        <w:tc>
          <w:tcPr>
            <w:tcW w:w="8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L+500</w:t>
            </w:r>
          </w:p>
        </w:tc>
        <w:tc>
          <w:tcPr>
            <w:tcW w:w="660" w:type="dxa"/>
            <w:vAlign w:val="bottom"/>
          </w:tcPr>
          <w:p>
            <w:pPr>
              <w:ind w:left="120"/>
              <w:spacing w:after="0" w:line="129" w:lineRule="exact"/>
              <w:rPr>
                <w:sz w:val="20"/>
                <w:szCs w:val="20"/>
                <w:color w:val="auto"/>
              </w:rPr>
            </w:pPr>
            <w:r>
              <w:rPr>
                <w:rFonts w:ascii="Arial" w:cs="Arial" w:eastAsia="Arial" w:hAnsi="Arial"/>
                <w:sz w:val="12"/>
                <w:szCs w:val="12"/>
                <w:color w:val="auto"/>
                <w:w w:val="97"/>
              </w:rPr>
              <w:t>3,476,244</w:t>
            </w:r>
          </w:p>
        </w:tc>
        <w:tc>
          <w:tcPr>
            <w:tcW w:w="760" w:type="dxa"/>
            <w:vAlign w:val="bottom"/>
          </w:tcPr>
          <w:p>
            <w:pPr>
              <w:jc w:val="right"/>
              <w:ind w:right="22"/>
              <w:spacing w:after="0" w:line="129" w:lineRule="exact"/>
              <w:rPr>
                <w:sz w:val="20"/>
                <w:szCs w:val="20"/>
                <w:color w:val="auto"/>
              </w:rPr>
            </w:pPr>
            <w:r>
              <w:rPr>
                <w:rFonts w:ascii="Arial" w:cs="Arial" w:eastAsia="Arial" w:hAnsi="Arial"/>
                <w:sz w:val="12"/>
                <w:szCs w:val="12"/>
                <w:color w:val="auto"/>
              </w:rPr>
              <w:t>3,463,094</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3,479,720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2"/>
                <w:szCs w:val="12"/>
                <w:color w:val="auto"/>
                <w:w w:val="87"/>
              </w:rPr>
              <w:t>Subscription</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48"/>
        </w:trPr>
        <w:tc>
          <w:tcPr>
            <w:tcW w:w="3600" w:type="dxa"/>
            <w:vAlign w:val="bottom"/>
          </w:tcPr>
          <w:p>
            <w:pPr>
              <w:spacing w:after="0"/>
              <w:rPr>
                <w:sz w:val="20"/>
                <w:szCs w:val="20"/>
                <w:color w:val="auto"/>
              </w:rPr>
            </w:pPr>
            <w:r>
              <w:rPr>
                <w:rFonts w:ascii="Arial" w:cs="Arial" w:eastAsia="Arial" w:hAnsi="Arial"/>
                <w:sz w:val="12"/>
                <w:szCs w:val="12"/>
                <w:color w:val="auto"/>
              </w:rPr>
              <w:t>Aspen Dental Management, Inc.</w:t>
            </w:r>
          </w:p>
        </w:tc>
        <w:tc>
          <w:tcPr>
            <w:tcW w:w="1720" w:type="dxa"/>
            <w:vAlign w:val="bottom"/>
          </w:tcPr>
          <w:p>
            <w:pPr>
              <w:jc w:val="right"/>
              <w:spacing w:after="0"/>
              <w:rPr>
                <w:sz w:val="20"/>
                <w:szCs w:val="20"/>
                <w:color w:val="auto"/>
              </w:rPr>
            </w:pPr>
            <w:r>
              <w:rPr>
                <w:rFonts w:ascii="Arial" w:cs="Arial" w:eastAsia="Arial" w:hAnsi="Arial"/>
                <w:sz w:val="12"/>
                <w:szCs w:val="12"/>
                <w:color w:val="auto"/>
              </w:rPr>
              <w:t>10/06/2016</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ATI Holdings, Inc.</w:t>
            </w:r>
          </w:p>
        </w:tc>
        <w:tc>
          <w:tcPr>
            <w:tcW w:w="1720" w:type="dxa"/>
            <w:vAlign w:val="bottom"/>
          </w:tcPr>
          <w:p>
            <w:pPr>
              <w:jc w:val="right"/>
              <w:spacing w:after="0"/>
              <w:rPr>
                <w:sz w:val="20"/>
                <w:szCs w:val="20"/>
                <w:color w:val="auto"/>
              </w:rPr>
            </w:pPr>
            <w:r>
              <w:rPr>
                <w:rFonts w:ascii="Arial" w:cs="Arial" w:eastAsia="Arial" w:hAnsi="Arial"/>
                <w:sz w:val="12"/>
                <w:szCs w:val="12"/>
                <w:color w:val="auto"/>
              </w:rPr>
              <w:t>12/20/2019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Azure Midstream Energy LLC</w:t>
            </w:r>
          </w:p>
        </w:tc>
        <w:tc>
          <w:tcPr>
            <w:tcW w:w="1720" w:type="dxa"/>
            <w:vAlign w:val="bottom"/>
          </w:tcPr>
          <w:p>
            <w:pPr>
              <w:jc w:val="right"/>
              <w:spacing w:after="0"/>
              <w:rPr>
                <w:sz w:val="20"/>
                <w:szCs w:val="20"/>
                <w:color w:val="auto"/>
              </w:rPr>
            </w:pPr>
            <w:r>
              <w:rPr>
                <w:rFonts w:ascii="Arial" w:cs="Arial" w:eastAsia="Arial" w:hAnsi="Arial"/>
                <w:sz w:val="12"/>
                <w:szCs w:val="12"/>
                <w:color w:val="auto"/>
              </w:rPr>
              <w:t>11/15/2018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BBB Industries, LLC</w:t>
            </w:r>
          </w:p>
        </w:tc>
        <w:tc>
          <w:tcPr>
            <w:tcW w:w="1720" w:type="dxa"/>
            <w:vAlign w:val="bottom"/>
          </w:tcPr>
          <w:p>
            <w:pPr>
              <w:jc w:val="right"/>
              <w:spacing w:after="0"/>
              <w:rPr>
                <w:sz w:val="20"/>
                <w:szCs w:val="20"/>
                <w:color w:val="auto"/>
              </w:rPr>
            </w:pPr>
            <w:r>
              <w:rPr>
                <w:rFonts w:ascii="Arial" w:cs="Arial" w:eastAsia="Arial" w:hAnsi="Arial"/>
                <w:sz w:val="12"/>
                <w:szCs w:val="12"/>
                <w:color w:val="auto"/>
              </w:rPr>
              <w:t>03/27/2019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Blue Bird Body Company</w:t>
            </w:r>
          </w:p>
        </w:tc>
        <w:tc>
          <w:tcPr>
            <w:tcW w:w="1720" w:type="dxa"/>
            <w:vAlign w:val="bottom"/>
          </w:tcPr>
          <w:p>
            <w:pPr>
              <w:jc w:val="right"/>
              <w:spacing w:after="0"/>
              <w:rPr>
                <w:sz w:val="20"/>
                <w:szCs w:val="20"/>
                <w:color w:val="auto"/>
              </w:rPr>
            </w:pPr>
            <w:r>
              <w:rPr>
                <w:rFonts w:ascii="Arial" w:cs="Arial" w:eastAsia="Arial" w:hAnsi="Arial"/>
                <w:sz w:val="12"/>
                <w:szCs w:val="12"/>
                <w:color w:val="auto"/>
              </w:rPr>
              <w:t>06/29/2020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Bowlmor AMF, Corp.</w:t>
            </w:r>
          </w:p>
        </w:tc>
        <w:tc>
          <w:tcPr>
            <w:tcW w:w="1720" w:type="dxa"/>
            <w:vAlign w:val="bottom"/>
          </w:tcPr>
          <w:p>
            <w:pPr>
              <w:jc w:val="right"/>
              <w:spacing w:after="0"/>
              <w:rPr>
                <w:sz w:val="20"/>
                <w:szCs w:val="20"/>
                <w:color w:val="auto"/>
              </w:rPr>
            </w:pPr>
            <w:r>
              <w:rPr>
                <w:rFonts w:ascii="Arial" w:cs="Arial" w:eastAsia="Arial" w:hAnsi="Arial"/>
                <w:sz w:val="12"/>
                <w:szCs w:val="12"/>
                <w:color w:val="auto"/>
              </w:rPr>
              <w:t>09/17/2021</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720" w:type="dxa"/>
            <w:vAlign w:val="bottom"/>
          </w:tcPr>
          <w:p>
            <w:pPr>
              <w:jc w:val="right"/>
              <w:spacing w:after="0"/>
              <w:rPr>
                <w:sz w:val="20"/>
                <w:szCs w:val="20"/>
                <w:color w:val="auto"/>
              </w:rPr>
            </w:pPr>
            <w:r>
              <w:rPr>
                <w:rFonts w:ascii="Arial" w:cs="Arial" w:eastAsia="Arial" w:hAnsi="Arial"/>
                <w:sz w:val="12"/>
                <w:szCs w:val="12"/>
                <w:color w:val="auto"/>
              </w:rPr>
              <w:t>07/02/2020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Charming Charlie LLC</w:t>
            </w:r>
          </w:p>
        </w:tc>
        <w:tc>
          <w:tcPr>
            <w:tcW w:w="1720" w:type="dxa"/>
            <w:vAlign w:val="bottom"/>
          </w:tcPr>
          <w:p>
            <w:pPr>
              <w:jc w:val="right"/>
              <w:spacing w:after="0"/>
              <w:rPr>
                <w:sz w:val="20"/>
                <w:szCs w:val="20"/>
                <w:color w:val="auto"/>
              </w:rPr>
            </w:pPr>
            <w:r>
              <w:rPr>
                <w:rFonts w:ascii="Arial" w:cs="Arial" w:eastAsia="Arial" w:hAnsi="Arial"/>
                <w:sz w:val="12"/>
                <w:szCs w:val="12"/>
                <w:color w:val="auto"/>
              </w:rPr>
              <w:t>12/24/2019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720" w:type="dxa"/>
            <w:vAlign w:val="bottom"/>
          </w:tcPr>
          <w:p>
            <w:pPr>
              <w:jc w:val="right"/>
              <w:spacing w:after="0"/>
              <w:rPr>
                <w:sz w:val="20"/>
                <w:szCs w:val="20"/>
                <w:color w:val="auto"/>
              </w:rPr>
            </w:pPr>
            <w:r>
              <w:rPr>
                <w:rFonts w:ascii="Arial" w:cs="Arial" w:eastAsia="Arial" w:hAnsi="Arial"/>
                <w:sz w:val="12"/>
                <w:szCs w:val="12"/>
                <w:color w:val="auto"/>
              </w:rPr>
              <w:t>01/08/2019</w:t>
            </w:r>
          </w:p>
        </w:tc>
      </w:tr>
      <w:tr>
        <w:trPr>
          <w:trHeight w:val="270"/>
        </w:trPr>
        <w:tc>
          <w:tcPr>
            <w:tcW w:w="3600" w:type="dxa"/>
            <w:vAlign w:val="bottom"/>
          </w:tcPr>
          <w:p>
            <w:pPr>
              <w:spacing w:after="0"/>
              <w:rPr>
                <w:sz w:val="20"/>
                <w:szCs w:val="20"/>
                <w:color w:val="auto"/>
              </w:rPr>
            </w:pPr>
            <w:r>
              <w:rPr>
                <w:rFonts w:ascii="Arial" w:cs="Arial" w:eastAsia="Arial" w:hAnsi="Arial"/>
                <w:sz w:val="12"/>
                <w:szCs w:val="12"/>
                <w:color w:val="auto"/>
              </w:rPr>
              <w:t>Creative Circle, LLC</w:t>
            </w:r>
          </w:p>
        </w:tc>
        <w:tc>
          <w:tcPr>
            <w:tcW w:w="1720" w:type="dxa"/>
            <w:vAlign w:val="bottom"/>
          </w:tcPr>
          <w:p>
            <w:pPr>
              <w:jc w:val="right"/>
              <w:spacing w:after="0"/>
              <w:rPr>
                <w:sz w:val="20"/>
                <w:szCs w:val="20"/>
                <w:color w:val="auto"/>
              </w:rPr>
            </w:pPr>
            <w:r>
              <w:rPr>
                <w:rFonts w:ascii="Arial" w:cs="Arial" w:eastAsia="Arial" w:hAnsi="Arial"/>
                <w:sz w:val="12"/>
                <w:szCs w:val="12"/>
                <w:color w:val="auto"/>
              </w:rPr>
              <w:t>06/25/2020</w:t>
            </w:r>
          </w:p>
        </w:tc>
      </w:tr>
      <w:tr>
        <w:trPr>
          <w:trHeight w:val="270"/>
        </w:trPr>
        <w:tc>
          <w:tcPr>
            <w:tcW w:w="3600" w:type="dxa"/>
            <w:vAlign w:val="bottom"/>
          </w:tcPr>
          <w:p>
            <w:pPr>
              <w:spacing w:after="0"/>
              <w:rPr>
                <w:sz w:val="20"/>
                <w:szCs w:val="20"/>
                <w:color w:val="auto"/>
              </w:rPr>
            </w:pPr>
            <w:r>
              <w:rPr>
                <w:rFonts w:ascii="Arial" w:cs="Arial" w:eastAsia="Arial" w:hAnsi="Arial"/>
                <w:sz w:val="12"/>
                <w:szCs w:val="12"/>
                <w:color w:val="auto"/>
              </w:rPr>
              <w:t>Curo Health Services, LLC</w:t>
            </w:r>
          </w:p>
        </w:tc>
        <w:tc>
          <w:tcPr>
            <w:tcW w:w="1720" w:type="dxa"/>
            <w:vAlign w:val="bottom"/>
          </w:tcPr>
          <w:p>
            <w:pPr>
              <w:jc w:val="right"/>
              <w:spacing w:after="0"/>
              <w:rPr>
                <w:sz w:val="20"/>
                <w:szCs w:val="20"/>
                <w:color w:val="auto"/>
              </w:rPr>
            </w:pPr>
            <w:r>
              <w:rPr>
                <w:rFonts w:ascii="Arial" w:cs="Arial" w:eastAsia="Arial" w:hAnsi="Arial"/>
                <w:sz w:val="12"/>
                <w:szCs w:val="12"/>
                <w:color w:val="auto"/>
              </w:rPr>
              <w:t>06/08/2020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DCS Business Services,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03/19/2018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Edmentum, Inc.</w:t>
            </w:r>
          </w:p>
        </w:tc>
        <w:tc>
          <w:tcPr>
            <w:tcW w:w="1720" w:type="dxa"/>
            <w:vAlign w:val="bottom"/>
          </w:tcPr>
          <w:p>
            <w:pPr>
              <w:jc w:val="right"/>
              <w:spacing w:after="0"/>
              <w:rPr>
                <w:sz w:val="20"/>
                <w:szCs w:val="20"/>
                <w:color w:val="auto"/>
              </w:rPr>
            </w:pPr>
            <w:r>
              <w:rPr>
                <w:rFonts w:ascii="Arial" w:cs="Arial" w:eastAsia="Arial" w:hAnsi="Arial"/>
                <w:sz w:val="12"/>
                <w:szCs w:val="12"/>
                <w:color w:val="auto"/>
              </w:rPr>
              <w:t>05/17/2018</w:t>
            </w:r>
          </w:p>
        </w:tc>
      </w:tr>
      <w:tr>
        <w:trPr>
          <w:trHeight w:val="270"/>
        </w:trPr>
        <w:tc>
          <w:tcPr>
            <w:tcW w:w="3600" w:type="dxa"/>
            <w:vAlign w:val="bottom"/>
          </w:tcPr>
          <w:p>
            <w:pPr>
              <w:spacing w:after="0"/>
              <w:rPr>
                <w:sz w:val="20"/>
                <w:szCs w:val="20"/>
                <w:color w:val="auto"/>
              </w:rPr>
            </w:pPr>
            <w:r>
              <w:rPr>
                <w:rFonts w:ascii="Arial" w:cs="Arial" w:eastAsia="Arial" w:hAnsi="Arial"/>
                <w:sz w:val="12"/>
                <w:szCs w:val="12"/>
                <w:color w:val="auto"/>
              </w:rPr>
              <w:t>eResearchTechnology, Inc.</w:t>
            </w:r>
          </w:p>
        </w:tc>
        <w:tc>
          <w:tcPr>
            <w:tcW w:w="1720" w:type="dxa"/>
            <w:vAlign w:val="bottom"/>
          </w:tcPr>
          <w:p>
            <w:pPr>
              <w:jc w:val="right"/>
              <w:spacing w:after="0"/>
              <w:rPr>
                <w:sz w:val="20"/>
                <w:szCs w:val="20"/>
                <w:color w:val="auto"/>
              </w:rPr>
            </w:pPr>
            <w:r>
              <w:rPr>
                <w:rFonts w:ascii="Arial" w:cs="Arial" w:eastAsia="Arial" w:hAnsi="Arial"/>
                <w:sz w:val="12"/>
                <w:szCs w:val="12"/>
                <w:color w:val="auto"/>
              </w:rPr>
              <w:t>05/02/2018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e-Rewards, Inc.</w:t>
            </w:r>
          </w:p>
        </w:tc>
        <w:tc>
          <w:tcPr>
            <w:tcW w:w="1720" w:type="dxa"/>
            <w:vAlign w:val="bottom"/>
          </w:tcPr>
          <w:p>
            <w:pPr>
              <w:jc w:val="right"/>
              <w:spacing w:after="0"/>
              <w:rPr>
                <w:sz w:val="20"/>
                <w:szCs w:val="20"/>
                <w:color w:val="auto"/>
              </w:rPr>
            </w:pPr>
            <w:r>
              <w:rPr>
                <w:rFonts w:ascii="Arial" w:cs="Arial" w:eastAsia="Arial" w:hAnsi="Arial"/>
                <w:sz w:val="12"/>
                <w:szCs w:val="12"/>
                <w:color w:val="auto"/>
              </w:rPr>
              <w:t>10/29/2018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FHC Health Systems,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01/09/2018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Fishnet Security, Inc.</w:t>
            </w:r>
          </w:p>
        </w:tc>
        <w:tc>
          <w:tcPr>
            <w:tcW w:w="1720" w:type="dxa"/>
            <w:vAlign w:val="bottom"/>
          </w:tcPr>
          <w:p>
            <w:pPr>
              <w:jc w:val="right"/>
              <w:spacing w:after="0"/>
              <w:rPr>
                <w:sz w:val="20"/>
                <w:szCs w:val="20"/>
                <w:color w:val="auto"/>
              </w:rPr>
            </w:pPr>
            <w:r>
              <w:rPr>
                <w:rFonts w:ascii="Arial" w:cs="Arial" w:eastAsia="Arial" w:hAnsi="Arial"/>
                <w:sz w:val="12"/>
                <w:szCs w:val="12"/>
                <w:color w:val="auto"/>
              </w:rPr>
              <w:t>11/30/2017</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GlobalLogic Holdings,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05/31/2019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Granite Broadcasting Corporation</w:t>
            </w:r>
          </w:p>
        </w:tc>
        <w:tc>
          <w:tcPr>
            <w:tcW w:w="1720" w:type="dxa"/>
            <w:vAlign w:val="bottom"/>
          </w:tcPr>
          <w:p>
            <w:pPr>
              <w:jc w:val="right"/>
              <w:spacing w:after="0"/>
              <w:rPr>
                <w:sz w:val="20"/>
                <w:szCs w:val="20"/>
                <w:color w:val="auto"/>
              </w:rPr>
            </w:pPr>
            <w:r>
              <w:rPr>
                <w:rFonts w:ascii="Arial" w:cs="Arial" w:eastAsia="Arial" w:hAnsi="Arial"/>
                <w:sz w:val="12"/>
                <w:szCs w:val="12"/>
                <w:color w:val="auto"/>
              </w:rPr>
              <w:t>05/23/2018</w:t>
            </w:r>
          </w:p>
        </w:tc>
      </w:tr>
      <w:tr>
        <w:trPr>
          <w:trHeight w:val="284"/>
        </w:trPr>
        <w:tc>
          <w:tcPr>
            <w:tcW w:w="3600" w:type="dxa"/>
            <w:vAlign w:val="bottom"/>
          </w:tcPr>
          <w:p>
            <w:pPr>
              <w:spacing w:after="0"/>
              <w:rPr>
                <w:sz w:val="20"/>
                <w:szCs w:val="20"/>
                <w:color w:val="auto"/>
              </w:rPr>
            </w:pPr>
            <w:r>
              <w:rPr>
                <w:rFonts w:ascii="Arial" w:cs="Arial" w:eastAsia="Arial" w:hAnsi="Arial"/>
                <w:sz w:val="12"/>
                <w:szCs w:val="12"/>
                <w:color w:val="auto"/>
              </w:rPr>
              <w:t>Greenway Health, LLC</w:t>
            </w:r>
          </w:p>
        </w:tc>
        <w:tc>
          <w:tcPr>
            <w:tcW w:w="1720" w:type="dxa"/>
            <w:vAlign w:val="bottom"/>
          </w:tcPr>
          <w:p>
            <w:pPr>
              <w:jc w:val="right"/>
              <w:spacing w:after="0"/>
              <w:rPr>
                <w:sz w:val="20"/>
                <w:szCs w:val="20"/>
                <w:color w:val="auto"/>
              </w:rPr>
            </w:pPr>
            <w:r>
              <w:rPr>
                <w:rFonts w:ascii="Arial" w:cs="Arial" w:eastAsia="Arial" w:hAnsi="Arial"/>
                <w:sz w:val="12"/>
                <w:szCs w:val="12"/>
                <w:color w:val="auto"/>
              </w:rPr>
              <w:t>11/04/2020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Help/Systems Holdings,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06/28/2019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720" w:type="dxa"/>
            <w:vAlign w:val="bottom"/>
          </w:tcPr>
          <w:p>
            <w:pPr>
              <w:jc w:val="right"/>
              <w:spacing w:after="0"/>
              <w:rPr>
                <w:sz w:val="20"/>
                <w:szCs w:val="20"/>
                <w:color w:val="auto"/>
              </w:rPr>
            </w:pPr>
            <w:r>
              <w:rPr>
                <w:rFonts w:ascii="Arial" w:cs="Arial" w:eastAsia="Arial" w:hAnsi="Arial"/>
                <w:sz w:val="12"/>
                <w:szCs w:val="12"/>
                <w:color w:val="auto"/>
              </w:rPr>
              <w:t>10/20/2020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Hostway Corporation</w:t>
            </w:r>
          </w:p>
        </w:tc>
        <w:tc>
          <w:tcPr>
            <w:tcW w:w="1720" w:type="dxa"/>
            <w:vAlign w:val="bottom"/>
          </w:tcPr>
          <w:p>
            <w:pPr>
              <w:jc w:val="right"/>
              <w:spacing w:after="0"/>
              <w:rPr>
                <w:sz w:val="20"/>
                <w:szCs w:val="20"/>
                <w:color w:val="auto"/>
              </w:rPr>
            </w:pPr>
            <w:r>
              <w:rPr>
                <w:rFonts w:ascii="Arial" w:cs="Arial" w:eastAsia="Arial" w:hAnsi="Arial"/>
                <w:sz w:val="12"/>
                <w:szCs w:val="12"/>
                <w:color w:val="auto"/>
              </w:rPr>
              <w:t>12/13/2019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Hunter Defense Technologies,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08/05/2019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 (8)</w:t>
            </w:r>
          </w:p>
        </w:tc>
        <w:tc>
          <w:tcPr>
            <w:tcW w:w="1720" w:type="dxa"/>
            <w:vAlign w:val="bottom"/>
          </w:tcPr>
          <w:p>
            <w:pPr>
              <w:jc w:val="right"/>
              <w:spacing w:after="0"/>
              <w:rPr>
                <w:sz w:val="20"/>
                <w:szCs w:val="20"/>
                <w:color w:val="auto"/>
              </w:rPr>
            </w:pPr>
            <w:r>
              <w:rPr>
                <w:rFonts w:ascii="Arial" w:cs="Arial" w:eastAsia="Arial" w:hAnsi="Arial"/>
                <w:sz w:val="12"/>
                <w:szCs w:val="12"/>
                <w:color w:val="auto"/>
              </w:rPr>
              <w:t>03/30/2017</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w:t>
            </w:r>
          </w:p>
        </w:tc>
        <w:tc>
          <w:tcPr>
            <w:tcW w:w="1720" w:type="dxa"/>
            <w:vAlign w:val="bottom"/>
          </w:tcPr>
          <w:p>
            <w:pPr>
              <w:jc w:val="right"/>
              <w:spacing w:after="0"/>
              <w:rPr>
                <w:sz w:val="20"/>
                <w:szCs w:val="20"/>
                <w:color w:val="auto"/>
              </w:rPr>
            </w:pPr>
            <w:r>
              <w:rPr>
                <w:rFonts w:ascii="Arial" w:cs="Arial" w:eastAsia="Arial" w:hAnsi="Arial"/>
                <w:sz w:val="12"/>
                <w:szCs w:val="12"/>
                <w:color w:val="auto"/>
              </w:rPr>
              <w:t>05/01/2019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InfuSystem Holdings, Inc.</w:t>
            </w:r>
          </w:p>
        </w:tc>
        <w:tc>
          <w:tcPr>
            <w:tcW w:w="1720" w:type="dxa"/>
            <w:vAlign w:val="bottom"/>
          </w:tcPr>
          <w:p>
            <w:pPr>
              <w:jc w:val="right"/>
              <w:spacing w:after="0"/>
              <w:rPr>
                <w:sz w:val="20"/>
                <w:szCs w:val="20"/>
                <w:color w:val="auto"/>
              </w:rPr>
            </w:pPr>
            <w:r>
              <w:rPr>
                <w:rFonts w:ascii="Arial" w:cs="Arial" w:eastAsia="Arial" w:hAnsi="Arial"/>
                <w:sz w:val="12"/>
                <w:szCs w:val="12"/>
                <w:color w:val="auto"/>
              </w:rPr>
              <w:t>11/30/2016</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Instant Web, LLC, Term Loan A</w:t>
            </w:r>
          </w:p>
        </w:tc>
        <w:tc>
          <w:tcPr>
            <w:tcW w:w="1720" w:type="dxa"/>
            <w:vAlign w:val="bottom"/>
          </w:tcPr>
          <w:p>
            <w:pPr>
              <w:jc w:val="right"/>
              <w:spacing w:after="0"/>
              <w:rPr>
                <w:sz w:val="20"/>
                <w:szCs w:val="20"/>
                <w:color w:val="auto"/>
              </w:rPr>
            </w:pPr>
            <w:r>
              <w:rPr>
                <w:rFonts w:ascii="Arial" w:cs="Arial" w:eastAsia="Arial" w:hAnsi="Arial"/>
                <w:sz w:val="12"/>
                <w:szCs w:val="12"/>
                <w:color w:val="auto"/>
              </w:rPr>
              <w:t>03/28/2019</w:t>
            </w:r>
          </w:p>
        </w:tc>
      </w:tr>
      <w:tr>
        <w:trPr>
          <w:trHeight w:val="270"/>
        </w:trPr>
        <w:tc>
          <w:tcPr>
            <w:tcW w:w="360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720" w:type="dxa"/>
            <w:vAlign w:val="bottom"/>
          </w:tcPr>
          <w:p>
            <w:pPr>
              <w:jc w:val="right"/>
              <w:spacing w:after="0"/>
              <w:rPr>
                <w:sz w:val="20"/>
                <w:szCs w:val="20"/>
                <w:color w:val="auto"/>
              </w:rPr>
            </w:pPr>
            <w:r>
              <w:rPr>
                <w:rFonts w:ascii="Arial" w:cs="Arial" w:eastAsia="Arial" w:hAnsi="Arial"/>
                <w:sz w:val="12"/>
                <w:szCs w:val="12"/>
                <w:color w:val="auto"/>
              </w:rPr>
              <w:t>03/28/2019</w:t>
            </w:r>
          </w:p>
        </w:tc>
      </w:tr>
      <w:tr>
        <w:trPr>
          <w:trHeight w:val="270"/>
        </w:trPr>
        <w:tc>
          <w:tcPr>
            <w:tcW w:w="3600" w:type="dxa"/>
            <w:vAlign w:val="bottom"/>
          </w:tcPr>
          <w:p>
            <w:pPr>
              <w:spacing w:after="0"/>
              <w:rPr>
                <w:sz w:val="20"/>
                <w:szCs w:val="20"/>
                <w:color w:val="auto"/>
              </w:rPr>
            </w:pPr>
            <w:r>
              <w:rPr>
                <w:rFonts w:ascii="Arial" w:cs="Arial" w:eastAsia="Arial" w:hAnsi="Arial"/>
                <w:sz w:val="12"/>
                <w:szCs w:val="12"/>
                <w:color w:val="auto"/>
              </w:rPr>
              <w:t>Jackson Hewitt Tax Service Inc.</w:t>
            </w:r>
          </w:p>
        </w:tc>
        <w:tc>
          <w:tcPr>
            <w:tcW w:w="1720" w:type="dxa"/>
            <w:vAlign w:val="bottom"/>
          </w:tcPr>
          <w:p>
            <w:pPr>
              <w:jc w:val="right"/>
              <w:spacing w:after="0"/>
              <w:rPr>
                <w:sz w:val="20"/>
                <w:szCs w:val="20"/>
                <w:color w:val="auto"/>
              </w:rPr>
            </w:pPr>
            <w:r>
              <w:rPr>
                <w:rFonts w:ascii="Arial" w:cs="Arial" w:eastAsia="Arial" w:hAnsi="Arial"/>
                <w:sz w:val="12"/>
                <w:szCs w:val="12"/>
                <w:color w:val="auto"/>
              </w:rPr>
              <w:t>10/16/2017</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720" w:type="dxa"/>
            <w:vAlign w:val="bottom"/>
          </w:tcPr>
          <w:p>
            <w:pPr>
              <w:jc w:val="right"/>
              <w:spacing w:after="0"/>
              <w:rPr>
                <w:sz w:val="20"/>
                <w:szCs w:val="20"/>
                <w:color w:val="auto"/>
              </w:rPr>
            </w:pPr>
            <w:r>
              <w:rPr>
                <w:rFonts w:ascii="Arial" w:cs="Arial" w:eastAsia="Arial" w:hAnsi="Arial"/>
                <w:sz w:val="12"/>
                <w:szCs w:val="12"/>
                <w:color w:val="auto"/>
              </w:rPr>
              <w:t>08/19/2019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Lanyon Solutions, Inc.</w:t>
            </w:r>
          </w:p>
        </w:tc>
        <w:tc>
          <w:tcPr>
            <w:tcW w:w="1720" w:type="dxa"/>
            <w:vAlign w:val="bottom"/>
          </w:tcPr>
          <w:p>
            <w:pPr>
              <w:jc w:val="right"/>
              <w:spacing w:after="0"/>
              <w:rPr>
                <w:sz w:val="20"/>
                <w:szCs w:val="20"/>
                <w:color w:val="auto"/>
              </w:rPr>
            </w:pPr>
            <w:r>
              <w:rPr>
                <w:rFonts w:ascii="Arial" w:cs="Arial" w:eastAsia="Arial" w:hAnsi="Arial"/>
                <w:sz w:val="12"/>
                <w:szCs w:val="12"/>
                <w:color w:val="auto"/>
              </w:rPr>
              <w:t>11/13/2020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720" w:type="dxa"/>
            <w:vAlign w:val="bottom"/>
          </w:tcPr>
          <w:p>
            <w:pPr>
              <w:jc w:val="right"/>
              <w:spacing w:after="0"/>
              <w:rPr>
                <w:sz w:val="20"/>
                <w:szCs w:val="20"/>
                <w:color w:val="auto"/>
              </w:rPr>
            </w:pPr>
            <w:r>
              <w:rPr>
                <w:rFonts w:ascii="Arial" w:cs="Arial" w:eastAsia="Arial" w:hAnsi="Arial"/>
                <w:sz w:val="12"/>
                <w:szCs w:val="12"/>
                <w:color w:val="auto"/>
              </w:rPr>
              <w:t>11/30/2018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Meritas Schools Holdings, LLC</w:t>
            </w:r>
          </w:p>
        </w:tc>
        <w:tc>
          <w:tcPr>
            <w:tcW w:w="1720" w:type="dxa"/>
            <w:vAlign w:val="bottom"/>
          </w:tcPr>
          <w:p>
            <w:pPr>
              <w:jc w:val="right"/>
              <w:spacing w:after="0"/>
              <w:rPr>
                <w:sz w:val="20"/>
                <w:szCs w:val="20"/>
                <w:color w:val="auto"/>
              </w:rPr>
            </w:pPr>
            <w:r>
              <w:rPr>
                <w:rFonts w:ascii="Arial" w:cs="Arial" w:eastAsia="Arial" w:hAnsi="Arial"/>
                <w:sz w:val="12"/>
                <w:szCs w:val="12"/>
                <w:color w:val="auto"/>
              </w:rPr>
              <w:t>06/25/2019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National Surgical Hospitals,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08/01/2019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1720" w:type="dxa"/>
            <w:vAlign w:val="bottom"/>
          </w:tcPr>
          <w:p>
            <w:pPr>
              <w:jc w:val="right"/>
              <w:spacing w:after="0"/>
              <w:rPr>
                <w:sz w:val="20"/>
                <w:szCs w:val="20"/>
                <w:color w:val="auto"/>
              </w:rPr>
            </w:pPr>
            <w:r>
              <w:rPr>
                <w:rFonts w:ascii="Arial" w:cs="Arial" w:eastAsia="Arial" w:hAnsi="Arial"/>
                <w:sz w:val="12"/>
                <w:szCs w:val="12"/>
                <w:color w:val="auto"/>
              </w:rPr>
              <w:t>07/31/2019</w:t>
            </w:r>
          </w:p>
        </w:tc>
      </w:tr>
      <w:tr>
        <w:trPr>
          <w:trHeight w:val="135"/>
        </w:trPr>
        <w:tc>
          <w:tcPr>
            <w:tcW w:w="3600" w:type="dxa"/>
            <w:vAlign w:val="bottom"/>
          </w:tcPr>
          <w:p>
            <w:pPr>
              <w:spacing w:after="0" w:line="136" w:lineRule="exact"/>
              <w:rPr>
                <w:sz w:val="20"/>
                <w:szCs w:val="20"/>
                <w:color w:val="auto"/>
              </w:rPr>
            </w:pPr>
            <w:r>
              <w:rPr>
                <w:rFonts w:ascii="Arial" w:cs="Arial" w:eastAsia="Arial" w:hAnsi="Arial"/>
                <w:sz w:val="12"/>
                <w:szCs w:val="12"/>
                <w:color w:val="auto"/>
              </w:rPr>
              <w:t>Patriot National, Inc.</w:t>
            </w:r>
          </w:p>
        </w:tc>
        <w:tc>
          <w:tcPr>
            <w:tcW w:w="1720" w:type="dxa"/>
            <w:vAlign w:val="bottom"/>
          </w:tcPr>
          <w:p>
            <w:pPr>
              <w:spacing w:after="0"/>
              <w:rPr>
                <w:sz w:val="11"/>
                <w:szCs w:val="11"/>
                <w:color w:val="auto"/>
              </w:rPr>
            </w:pPr>
          </w:p>
        </w:tc>
      </w:tr>
      <w:tr>
        <w:trPr>
          <w:trHeight w:val="135"/>
        </w:trPr>
        <w:tc>
          <w:tcPr>
            <w:tcW w:w="3600" w:type="dxa"/>
            <w:vAlign w:val="bottom"/>
          </w:tcPr>
          <w:p>
            <w:pPr>
              <w:ind w:left="120"/>
              <w:spacing w:after="0" w:line="135" w:lineRule="exact"/>
              <w:rPr>
                <w:sz w:val="20"/>
                <w:szCs w:val="20"/>
                <w:color w:val="auto"/>
              </w:rPr>
            </w:pPr>
            <w:r>
              <w:rPr>
                <w:rFonts w:ascii="Arial" w:cs="Arial" w:eastAsia="Arial" w:hAnsi="Arial"/>
                <w:sz w:val="12"/>
                <w:szCs w:val="12"/>
                <w:color w:val="auto"/>
              </w:rPr>
              <w:t>(f/k/a Old Guard Risk Services, Inc.)</w:t>
            </w:r>
          </w:p>
        </w:tc>
        <w:tc>
          <w:tcPr>
            <w:tcW w:w="1720" w:type="dxa"/>
            <w:vAlign w:val="bottom"/>
          </w:tcPr>
          <w:p>
            <w:pPr>
              <w:jc w:val="right"/>
              <w:spacing w:after="0" w:line="135" w:lineRule="exact"/>
              <w:rPr>
                <w:sz w:val="20"/>
                <w:szCs w:val="20"/>
                <w:color w:val="auto"/>
              </w:rPr>
            </w:pPr>
            <w:r>
              <w:rPr>
                <w:rFonts w:ascii="Arial" w:cs="Arial" w:eastAsia="Arial" w:hAnsi="Arial"/>
                <w:sz w:val="12"/>
                <w:szCs w:val="12"/>
                <w:color w:val="auto"/>
              </w:rPr>
              <w:t>11/27/2018</w:t>
            </w:r>
          </w:p>
        </w:tc>
      </w:tr>
      <w:tr>
        <w:trPr>
          <w:trHeight w:val="148"/>
        </w:trPr>
        <w:tc>
          <w:tcPr>
            <w:tcW w:w="3600" w:type="dxa"/>
            <w:vAlign w:val="bottom"/>
          </w:tcPr>
          <w:p>
            <w:pPr>
              <w:spacing w:after="0"/>
              <w:rPr>
                <w:sz w:val="20"/>
                <w:szCs w:val="20"/>
                <w:color w:val="auto"/>
              </w:rPr>
            </w:pPr>
            <w:r>
              <w:rPr>
                <w:rFonts w:ascii="Arial" w:cs="Arial" w:eastAsia="Arial" w:hAnsi="Arial"/>
                <w:sz w:val="12"/>
                <w:szCs w:val="12"/>
                <w:color w:val="auto"/>
              </w:rPr>
              <w:t>Polyconcept Finance B.V.</w:t>
            </w:r>
          </w:p>
        </w:tc>
        <w:tc>
          <w:tcPr>
            <w:tcW w:w="1720" w:type="dxa"/>
            <w:vAlign w:val="bottom"/>
          </w:tcPr>
          <w:p>
            <w:pPr>
              <w:jc w:val="right"/>
              <w:spacing w:after="0"/>
              <w:rPr>
                <w:sz w:val="20"/>
                <w:szCs w:val="20"/>
                <w:color w:val="auto"/>
              </w:rPr>
            </w:pPr>
            <w:r>
              <w:rPr>
                <w:rFonts w:ascii="Arial" w:cs="Arial" w:eastAsia="Arial" w:hAnsi="Arial"/>
                <w:sz w:val="12"/>
                <w:szCs w:val="12"/>
                <w:color w:val="auto"/>
              </w:rPr>
              <w:t>06/28/2019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Premier Dental Services, Inc.</w:t>
            </w:r>
          </w:p>
        </w:tc>
        <w:tc>
          <w:tcPr>
            <w:tcW w:w="1720" w:type="dxa"/>
            <w:vAlign w:val="bottom"/>
          </w:tcPr>
          <w:p>
            <w:pPr>
              <w:jc w:val="right"/>
              <w:spacing w:after="0"/>
              <w:rPr>
                <w:sz w:val="20"/>
                <w:szCs w:val="20"/>
                <w:color w:val="auto"/>
              </w:rPr>
            </w:pPr>
            <w:r>
              <w:rPr>
                <w:rFonts w:ascii="Arial" w:cs="Arial" w:eastAsia="Arial" w:hAnsi="Arial"/>
                <w:sz w:val="12"/>
                <w:szCs w:val="12"/>
                <w:color w:val="auto"/>
              </w:rPr>
              <w:t>11/01/2018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Quality Home Brands Holdings LLC</w:t>
            </w:r>
          </w:p>
        </w:tc>
        <w:tc>
          <w:tcPr>
            <w:tcW w:w="1720" w:type="dxa"/>
            <w:vAlign w:val="bottom"/>
          </w:tcPr>
          <w:p>
            <w:pPr>
              <w:jc w:val="right"/>
              <w:spacing w:after="0"/>
              <w:rPr>
                <w:sz w:val="20"/>
                <w:szCs w:val="20"/>
                <w:color w:val="auto"/>
              </w:rPr>
            </w:pPr>
            <w:r>
              <w:rPr>
                <w:rFonts w:ascii="Arial" w:cs="Arial" w:eastAsia="Arial" w:hAnsi="Arial"/>
                <w:sz w:val="12"/>
                <w:szCs w:val="12"/>
                <w:color w:val="auto"/>
              </w:rPr>
              <w:t>12/17/2018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RCS Capital Corporation</w:t>
            </w:r>
          </w:p>
        </w:tc>
        <w:tc>
          <w:tcPr>
            <w:tcW w:w="1720" w:type="dxa"/>
            <w:vAlign w:val="bottom"/>
          </w:tcPr>
          <w:p>
            <w:pPr>
              <w:jc w:val="right"/>
              <w:spacing w:after="0"/>
              <w:rPr>
                <w:sz w:val="20"/>
                <w:szCs w:val="20"/>
                <w:color w:val="auto"/>
              </w:rPr>
            </w:pPr>
            <w:r>
              <w:rPr>
                <w:rFonts w:ascii="Arial" w:cs="Arial" w:eastAsia="Arial" w:hAnsi="Arial"/>
                <w:sz w:val="12"/>
                <w:szCs w:val="12"/>
                <w:color w:val="auto"/>
              </w:rPr>
              <w:t>04/29/2019</w:t>
            </w:r>
          </w:p>
        </w:tc>
      </w:tr>
      <w:tr>
        <w:trPr>
          <w:trHeight w:val="257"/>
        </w:trPr>
        <w:tc>
          <w:tcPr>
            <w:tcW w:w="3600" w:type="dxa"/>
            <w:vAlign w:val="bottom"/>
          </w:tcPr>
          <w:p>
            <w:pPr>
              <w:spacing w:after="0"/>
              <w:rPr>
                <w:sz w:val="20"/>
                <w:szCs w:val="20"/>
                <w:color w:val="auto"/>
              </w:rPr>
            </w:pPr>
            <w:r>
              <w:rPr>
                <w:rFonts w:ascii="Arial" w:cs="Arial" w:eastAsia="Arial" w:hAnsi="Arial"/>
                <w:sz w:val="12"/>
                <w:szCs w:val="12"/>
                <w:color w:val="auto"/>
              </w:rPr>
              <w:t>Robertshaw US Holding Corp.</w:t>
            </w:r>
          </w:p>
        </w:tc>
        <w:tc>
          <w:tcPr>
            <w:tcW w:w="1720" w:type="dxa"/>
            <w:vAlign w:val="bottom"/>
          </w:tcPr>
          <w:p>
            <w:pPr>
              <w:jc w:val="right"/>
              <w:spacing w:after="0"/>
              <w:rPr>
                <w:sz w:val="20"/>
                <w:szCs w:val="20"/>
                <w:color w:val="auto"/>
              </w:rPr>
            </w:pPr>
            <w:r>
              <w:rPr>
                <w:rFonts w:ascii="Arial" w:cs="Arial" w:eastAsia="Arial" w:hAnsi="Arial"/>
                <w:sz w:val="12"/>
                <w:szCs w:val="12"/>
                <w:color w:val="auto"/>
              </w:rPr>
              <w:t>06/18/2019</w:t>
            </w:r>
          </w:p>
        </w:tc>
      </w:tr>
      <w:tr>
        <w:trPr>
          <w:trHeight w:val="135"/>
        </w:trPr>
        <w:tc>
          <w:tcPr>
            <w:tcW w:w="3600" w:type="dxa"/>
            <w:vAlign w:val="bottom"/>
          </w:tcPr>
          <w:p>
            <w:pPr>
              <w:ind w:left="120"/>
              <w:spacing w:after="0" w:line="135" w:lineRule="exact"/>
              <w:rPr>
                <w:sz w:val="20"/>
                <w:szCs w:val="20"/>
                <w:color w:val="auto"/>
              </w:rPr>
            </w:pPr>
            <w:r>
              <w:rPr>
                <w:rFonts w:ascii="Arial" w:cs="Arial" w:eastAsia="Arial" w:hAnsi="Arial"/>
                <w:sz w:val="12"/>
                <w:szCs w:val="12"/>
                <w:color w:val="auto"/>
              </w:rPr>
              <w:t>(f/k/a Fox US Bidco Corp.)</w:t>
            </w:r>
          </w:p>
        </w:tc>
        <w:tc>
          <w:tcPr>
            <w:tcW w:w="1720" w:type="dxa"/>
            <w:vAlign w:val="bottom"/>
          </w:tcPr>
          <w:p>
            <w:pPr>
              <w:spacing w:after="0"/>
              <w:rPr>
                <w:sz w:val="11"/>
                <w:szCs w:val="11"/>
                <w:color w:val="auto"/>
              </w:rPr>
            </w:pP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1720" w:type="dxa"/>
            <w:vAlign w:val="bottom"/>
          </w:tcPr>
          <w:p>
            <w:pPr>
              <w:jc w:val="right"/>
              <w:spacing w:after="0" w:line="135" w:lineRule="exact"/>
              <w:rPr>
                <w:sz w:val="20"/>
                <w:szCs w:val="20"/>
                <w:color w:val="auto"/>
              </w:rPr>
            </w:pPr>
            <w:r>
              <w:rPr>
                <w:rFonts w:ascii="Arial" w:cs="Arial" w:eastAsia="Arial" w:hAnsi="Arial"/>
                <w:sz w:val="12"/>
                <w:szCs w:val="12"/>
                <w:color w:val="auto"/>
              </w:rPr>
              <w:t>06/18/2019</w:t>
            </w:r>
          </w:p>
        </w:tc>
      </w:tr>
      <w:tr>
        <w:trPr>
          <w:trHeight w:val="135"/>
        </w:trPr>
        <w:tc>
          <w:tcPr>
            <w:tcW w:w="3600" w:type="dxa"/>
            <w:vAlign w:val="bottom"/>
          </w:tcPr>
          <w:p>
            <w:pPr>
              <w:ind w:left="120"/>
              <w:spacing w:after="0" w:line="135" w:lineRule="exact"/>
              <w:rPr>
                <w:sz w:val="20"/>
                <w:szCs w:val="20"/>
                <w:color w:val="auto"/>
              </w:rPr>
            </w:pPr>
            <w:r>
              <w:rPr>
                <w:rFonts w:ascii="Arial" w:cs="Arial" w:eastAsia="Arial" w:hAnsi="Arial"/>
                <w:sz w:val="12"/>
                <w:szCs w:val="12"/>
                <w:color w:val="auto"/>
              </w:rPr>
              <w:t xml:space="preserve">(f/k/a Fox US Bidco Corp.) </w:t>
            </w:r>
            <w:r>
              <w:rPr>
                <w:rFonts w:ascii="Arial" w:cs="Arial" w:eastAsia="Arial" w:hAnsi="Arial"/>
                <w:sz w:val="9"/>
                <w:szCs w:val="9"/>
                <w:color w:val="auto"/>
              </w:rPr>
              <w:t>(10)</w:t>
            </w:r>
          </w:p>
        </w:tc>
        <w:tc>
          <w:tcPr>
            <w:tcW w:w="1720" w:type="dxa"/>
            <w:vAlign w:val="bottom"/>
          </w:tcPr>
          <w:p>
            <w:pPr>
              <w:spacing w:after="0"/>
              <w:rPr>
                <w:sz w:val="11"/>
                <w:szCs w:val="11"/>
                <w:color w:val="auto"/>
              </w:rPr>
            </w:pPr>
          </w:p>
        </w:tc>
      </w:tr>
      <w:tr>
        <w:trPr>
          <w:trHeight w:val="148"/>
        </w:trPr>
        <w:tc>
          <w:tcPr>
            <w:tcW w:w="3600" w:type="dxa"/>
            <w:vAlign w:val="bottom"/>
          </w:tcPr>
          <w:p>
            <w:pPr>
              <w:spacing w:after="0"/>
              <w:rPr>
                <w:sz w:val="20"/>
                <w:szCs w:val="20"/>
                <w:color w:val="auto"/>
              </w:rPr>
            </w:pPr>
            <w:r>
              <w:rPr>
                <w:rFonts w:ascii="Arial" w:cs="Arial" w:eastAsia="Arial" w:hAnsi="Arial"/>
                <w:sz w:val="12"/>
                <w:szCs w:val="12"/>
                <w:color w:val="auto"/>
              </w:rPr>
              <w:t>SCE Partners, LLC</w:t>
            </w:r>
          </w:p>
        </w:tc>
        <w:tc>
          <w:tcPr>
            <w:tcW w:w="1720" w:type="dxa"/>
            <w:vAlign w:val="bottom"/>
          </w:tcPr>
          <w:p>
            <w:pPr>
              <w:jc w:val="right"/>
              <w:spacing w:after="0"/>
              <w:rPr>
                <w:sz w:val="20"/>
                <w:szCs w:val="20"/>
                <w:color w:val="auto"/>
              </w:rPr>
            </w:pPr>
            <w:r>
              <w:rPr>
                <w:rFonts w:ascii="Arial" w:cs="Arial" w:eastAsia="Arial" w:hAnsi="Arial"/>
                <w:sz w:val="12"/>
                <w:szCs w:val="12"/>
                <w:color w:val="auto"/>
              </w:rPr>
              <w:t>08/14/2019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Securus Technologies Holdings,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04/30/2020</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04/21/2017</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w:t>
            </w:r>
          </w:p>
        </w:tc>
        <w:tc>
          <w:tcPr>
            <w:tcW w:w="1720" w:type="dxa"/>
            <w:vAlign w:val="bottom"/>
          </w:tcPr>
          <w:p>
            <w:pPr>
              <w:jc w:val="right"/>
              <w:spacing w:after="0"/>
              <w:rPr>
                <w:sz w:val="20"/>
                <w:szCs w:val="20"/>
                <w:color w:val="auto"/>
              </w:rPr>
            </w:pPr>
            <w:r>
              <w:rPr>
                <w:rFonts w:ascii="Arial" w:cs="Arial" w:eastAsia="Arial" w:hAnsi="Arial"/>
                <w:sz w:val="12"/>
                <w:szCs w:val="12"/>
                <w:color w:val="auto"/>
              </w:rPr>
              <w:t>08/09/2021</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Surgical Specialties Corporation (US),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08/22/2018</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Sutherland Global Services,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03/06/2019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Systems Maintenance Services Holding, Inc.</w:t>
            </w:r>
          </w:p>
        </w:tc>
        <w:tc>
          <w:tcPr>
            <w:tcW w:w="1720" w:type="dxa"/>
            <w:vAlign w:val="bottom"/>
          </w:tcPr>
          <w:p>
            <w:pPr>
              <w:jc w:val="right"/>
              <w:spacing w:after="0"/>
              <w:rPr>
                <w:sz w:val="20"/>
                <w:szCs w:val="20"/>
                <w:color w:val="auto"/>
              </w:rPr>
            </w:pPr>
            <w:r>
              <w:rPr>
                <w:rFonts w:ascii="Arial" w:cs="Arial" w:eastAsia="Arial" w:hAnsi="Arial"/>
                <w:sz w:val="12"/>
                <w:szCs w:val="12"/>
                <w:color w:val="auto"/>
              </w:rPr>
              <w:t>10/18/2019</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Tensar Corporation</w:t>
            </w:r>
          </w:p>
        </w:tc>
        <w:tc>
          <w:tcPr>
            <w:tcW w:w="1720" w:type="dxa"/>
            <w:vAlign w:val="bottom"/>
          </w:tcPr>
          <w:p>
            <w:pPr>
              <w:jc w:val="right"/>
              <w:spacing w:after="0"/>
              <w:rPr>
                <w:sz w:val="20"/>
                <w:szCs w:val="20"/>
                <w:color w:val="auto"/>
              </w:rPr>
            </w:pPr>
            <w:r>
              <w:rPr>
                <w:rFonts w:ascii="Arial" w:cs="Arial" w:eastAsia="Arial" w:hAnsi="Arial"/>
                <w:sz w:val="12"/>
                <w:szCs w:val="12"/>
                <w:color w:val="auto"/>
              </w:rPr>
              <w:t>07/09/2021</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Therakos, Inc.</w:t>
            </w:r>
          </w:p>
        </w:tc>
        <w:tc>
          <w:tcPr>
            <w:tcW w:w="1720" w:type="dxa"/>
            <w:vAlign w:val="bottom"/>
          </w:tcPr>
          <w:p>
            <w:pPr>
              <w:jc w:val="right"/>
              <w:spacing w:after="0"/>
              <w:rPr>
                <w:sz w:val="20"/>
                <w:szCs w:val="20"/>
                <w:color w:val="auto"/>
              </w:rPr>
            </w:pPr>
            <w:r>
              <w:rPr>
                <w:rFonts w:ascii="Arial" w:cs="Arial" w:eastAsia="Arial" w:hAnsi="Arial"/>
                <w:sz w:val="12"/>
                <w:szCs w:val="12"/>
                <w:color w:val="auto"/>
              </w:rPr>
              <w:t>12/27/2017</w:t>
            </w:r>
          </w:p>
        </w:tc>
      </w:tr>
      <w:tr>
        <w:trPr>
          <w:trHeight w:val="149"/>
        </w:trPr>
        <w:tc>
          <w:tcPr>
            <w:tcW w:w="360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720" w:type="dxa"/>
            <w:vAlign w:val="bottom"/>
          </w:tcPr>
          <w:p>
            <w:pPr>
              <w:jc w:val="right"/>
              <w:spacing w:after="0"/>
              <w:rPr>
                <w:sz w:val="20"/>
                <w:szCs w:val="20"/>
                <w:color w:val="auto"/>
              </w:rPr>
            </w:pPr>
            <w:r>
              <w:rPr>
                <w:rFonts w:ascii="Arial" w:cs="Arial" w:eastAsia="Arial" w:hAnsi="Arial"/>
                <w:sz w:val="12"/>
                <w:szCs w:val="12"/>
                <w:color w:val="auto"/>
              </w:rPr>
              <w:t>04/15/2016</w:t>
            </w:r>
          </w:p>
        </w:tc>
      </w:tr>
      <w:tr>
        <w:trPr>
          <w:trHeight w:val="284"/>
        </w:trPr>
        <w:tc>
          <w:tcPr>
            <w:tcW w:w="360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1720" w:type="dxa"/>
            <w:vAlign w:val="bottom"/>
          </w:tcPr>
          <w:p>
            <w:pPr>
              <w:jc w:val="right"/>
              <w:spacing w:after="0"/>
              <w:rPr>
                <w:sz w:val="20"/>
                <w:szCs w:val="20"/>
                <w:color w:val="auto"/>
              </w:rPr>
            </w:pPr>
            <w:r>
              <w:rPr>
                <w:rFonts w:ascii="Arial" w:cs="Arial" w:eastAsia="Arial" w:hAnsi="Arial"/>
                <w:sz w:val="12"/>
                <w:szCs w:val="12"/>
                <w:color w:val="auto"/>
              </w:rPr>
              <w:t>04/16/2018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5"/>
              </w:rPr>
              <w:t>Consumer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2,917,500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2,900,680</w:t>
            </w:r>
          </w:p>
        </w:tc>
        <w:tc>
          <w:tcPr>
            <w:tcW w:w="680" w:type="dxa"/>
            <w:vAlign w:val="bottom"/>
          </w:tcPr>
          <w:p>
            <w:pPr>
              <w:jc w:val="right"/>
              <w:spacing w:after="0"/>
              <w:rPr>
                <w:sz w:val="20"/>
                <w:szCs w:val="20"/>
                <w:color w:val="auto"/>
              </w:rPr>
            </w:pPr>
            <w:r>
              <w:rPr>
                <w:rFonts w:ascii="Arial" w:cs="Arial" w:eastAsia="Arial" w:hAnsi="Arial"/>
                <w:sz w:val="12"/>
                <w:szCs w:val="12"/>
                <w:color w:val="auto"/>
              </w:rPr>
              <w:t>2,902,912</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2,947,500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2,924,974</w:t>
            </w:r>
          </w:p>
        </w:tc>
        <w:tc>
          <w:tcPr>
            <w:tcW w:w="680" w:type="dxa"/>
            <w:vAlign w:val="bottom"/>
          </w:tcPr>
          <w:p>
            <w:pPr>
              <w:jc w:val="right"/>
              <w:spacing w:after="0"/>
              <w:rPr>
                <w:sz w:val="20"/>
                <w:szCs w:val="20"/>
                <w:color w:val="auto"/>
              </w:rPr>
            </w:pPr>
            <w:r>
              <w:rPr>
                <w:rFonts w:ascii="Arial" w:cs="Arial" w:eastAsia="Arial" w:hAnsi="Arial"/>
                <w:sz w:val="12"/>
                <w:szCs w:val="12"/>
                <w:color w:val="auto"/>
              </w:rPr>
              <w:t>2,956,107</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Energy: Oil and Gas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5,293,750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5,228,951</w:t>
            </w:r>
          </w:p>
        </w:tc>
        <w:tc>
          <w:tcPr>
            <w:tcW w:w="680" w:type="dxa"/>
            <w:vAlign w:val="bottom"/>
          </w:tcPr>
          <w:p>
            <w:pPr>
              <w:jc w:val="right"/>
              <w:spacing w:after="0"/>
              <w:rPr>
                <w:sz w:val="20"/>
                <w:szCs w:val="20"/>
                <w:color w:val="auto"/>
              </w:rPr>
            </w:pPr>
            <w:r>
              <w:rPr>
                <w:rFonts w:ascii="Arial" w:cs="Arial" w:eastAsia="Arial" w:hAnsi="Arial"/>
                <w:sz w:val="12"/>
                <w:szCs w:val="12"/>
                <w:color w:val="auto"/>
              </w:rPr>
              <w:t>5,240,812</w:t>
            </w:r>
          </w:p>
        </w:tc>
      </w:tr>
      <w:tr>
        <w:trPr>
          <w:trHeight w:val="149"/>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93"/>
              </w:rPr>
              <w:t>Automotive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3,023,140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3,004,531</w:t>
            </w:r>
          </w:p>
        </w:tc>
        <w:tc>
          <w:tcPr>
            <w:tcW w:w="680" w:type="dxa"/>
            <w:vAlign w:val="bottom"/>
          </w:tcPr>
          <w:p>
            <w:pPr>
              <w:jc w:val="right"/>
              <w:spacing w:after="0"/>
              <w:rPr>
                <w:sz w:val="20"/>
                <w:szCs w:val="20"/>
                <w:color w:val="auto"/>
              </w:rPr>
            </w:pPr>
            <w:r>
              <w:rPr>
                <w:rFonts w:ascii="Arial" w:cs="Arial" w:eastAsia="Arial" w:hAnsi="Arial"/>
                <w:sz w:val="12"/>
                <w:szCs w:val="12"/>
                <w:color w:val="auto"/>
              </w:rPr>
              <w:t>3,005,515</w:t>
            </w:r>
          </w:p>
        </w:tc>
      </w:tr>
      <w:tr>
        <w:trPr>
          <w:trHeight w:val="135"/>
        </w:trPr>
        <w:tc>
          <w:tcPr>
            <w:tcW w:w="1900" w:type="dxa"/>
            <w:vAlign w:val="bottom"/>
          </w:tcPr>
          <w:p>
            <w:pPr>
              <w:jc w:val="center"/>
              <w:ind w:right="42"/>
              <w:spacing w:after="0" w:line="136" w:lineRule="exact"/>
              <w:rPr>
                <w:sz w:val="20"/>
                <w:szCs w:val="20"/>
                <w:color w:val="auto"/>
              </w:rPr>
            </w:pPr>
            <w:r>
              <w:rPr>
                <w:rFonts w:ascii="Arial" w:cs="Arial" w:eastAsia="Arial" w:hAnsi="Arial"/>
                <w:sz w:val="12"/>
                <w:szCs w:val="12"/>
                <w:color w:val="auto"/>
                <w:w w:val="93"/>
              </w:rPr>
              <w:t>Automotive</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6.50%</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L+550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5,000,000</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4,927,548</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4,925,000</w:t>
            </w:r>
          </w:p>
        </w:tc>
      </w:tr>
      <w:tr>
        <w:trPr>
          <w:trHeight w:val="148"/>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91"/>
              </w:rPr>
              <w:t>Retail</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L+625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8,000,000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7,880,197</w:t>
            </w:r>
          </w:p>
        </w:tc>
        <w:tc>
          <w:tcPr>
            <w:tcW w:w="680" w:type="dxa"/>
            <w:vAlign w:val="bottom"/>
          </w:tcPr>
          <w:p>
            <w:pPr>
              <w:jc w:val="right"/>
              <w:spacing w:after="0"/>
              <w:rPr>
                <w:sz w:val="20"/>
                <w:szCs w:val="20"/>
                <w:color w:val="auto"/>
              </w:rPr>
            </w:pPr>
            <w:r>
              <w:rPr>
                <w:rFonts w:ascii="Arial" w:cs="Arial" w:eastAsia="Arial" w:hAnsi="Arial"/>
                <w:sz w:val="12"/>
                <w:szCs w:val="12"/>
                <w:color w:val="auto"/>
              </w:rPr>
              <w:t>7,970,000</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Hotel, Gaming and Leisure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8.25%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L+700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5,000,000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4,957,132</w:t>
            </w:r>
          </w:p>
        </w:tc>
        <w:tc>
          <w:tcPr>
            <w:tcW w:w="680" w:type="dxa"/>
            <w:vAlign w:val="bottom"/>
          </w:tcPr>
          <w:p>
            <w:pPr>
              <w:jc w:val="right"/>
              <w:spacing w:after="0"/>
              <w:rPr>
                <w:sz w:val="20"/>
                <w:szCs w:val="20"/>
                <w:color w:val="auto"/>
              </w:rPr>
            </w:pPr>
            <w:r>
              <w:rPr>
                <w:rFonts w:ascii="Arial" w:cs="Arial" w:eastAsia="Arial" w:hAnsi="Arial"/>
                <w:sz w:val="12"/>
                <w:szCs w:val="12"/>
                <w:color w:val="auto"/>
              </w:rPr>
              <w:t>5,087,500</w:t>
            </w:r>
          </w:p>
        </w:tc>
      </w:tr>
      <w:tr>
        <w:trPr>
          <w:trHeight w:val="149"/>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91"/>
              </w:rPr>
              <w:t>Retail</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9.00%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L+800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4,477,500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4,416,233</w:t>
            </w:r>
          </w:p>
        </w:tc>
        <w:tc>
          <w:tcPr>
            <w:tcW w:w="680" w:type="dxa"/>
            <w:vAlign w:val="bottom"/>
          </w:tcPr>
          <w:p>
            <w:pPr>
              <w:jc w:val="right"/>
              <w:spacing w:after="0"/>
              <w:rPr>
                <w:sz w:val="20"/>
                <w:szCs w:val="20"/>
                <w:color w:val="auto"/>
              </w:rPr>
            </w:pPr>
            <w:r>
              <w:rPr>
                <w:rFonts w:ascii="Arial" w:cs="Arial" w:eastAsia="Arial" w:hAnsi="Arial"/>
                <w:sz w:val="12"/>
                <w:szCs w:val="12"/>
                <w:color w:val="auto"/>
              </w:rPr>
              <w:t>4,477,500</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90"/>
              </w:rPr>
              <w:t>Media: Advertising, Printing and</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7.25%</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L+600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4,975,000</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4,928,906</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4,975,000</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90"/>
              </w:rPr>
              <w:t>Publishing</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90"/>
              </w:rPr>
              <w:t>Media: Advertising, Printing and</w:t>
            </w:r>
          </w:p>
        </w:tc>
        <w:tc>
          <w:tcPr>
            <w:tcW w:w="88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5.50%</w:t>
            </w:r>
          </w:p>
        </w:tc>
        <w:tc>
          <w:tcPr>
            <w:tcW w:w="6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L+450</w:t>
            </w:r>
          </w:p>
        </w:tc>
        <w:tc>
          <w:tcPr>
            <w:tcW w:w="7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5,900,000</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5,843,227</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5,811,500</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90"/>
              </w:rPr>
              <w:t>Publishing</w:t>
            </w: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5.75%</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1,995,000</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1,947,166</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1,963,419</w:t>
            </w:r>
          </w:p>
        </w:tc>
      </w:tr>
      <w:tr>
        <w:trPr>
          <w:trHeight w:val="148"/>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3,253,740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3,218,698</w:t>
            </w:r>
          </w:p>
        </w:tc>
        <w:tc>
          <w:tcPr>
            <w:tcW w:w="680" w:type="dxa"/>
            <w:vAlign w:val="bottom"/>
          </w:tcPr>
          <w:p>
            <w:pPr>
              <w:jc w:val="right"/>
              <w:spacing w:after="0"/>
              <w:rPr>
                <w:sz w:val="20"/>
                <w:szCs w:val="20"/>
                <w:color w:val="auto"/>
              </w:rPr>
            </w:pPr>
            <w:r>
              <w:rPr>
                <w:rFonts w:ascii="Arial" w:cs="Arial" w:eastAsia="Arial" w:hAnsi="Arial"/>
                <w:sz w:val="12"/>
                <w:szCs w:val="12"/>
                <w:color w:val="auto"/>
              </w:rPr>
              <w:t>3,172,396</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88"/>
              </w:rPr>
              <w:t>Media: Broadcasting and</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5.50%</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L+450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924,982</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924,982</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915,732</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87"/>
              </w:rPr>
              <w:t>Subscription</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2,858,864</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2,847,367</w:t>
            </w:r>
          </w:p>
        </w:tc>
        <w:tc>
          <w:tcPr>
            <w:tcW w:w="680" w:type="dxa"/>
            <w:vAlign w:val="bottom"/>
          </w:tcPr>
          <w:p>
            <w:pPr>
              <w:jc w:val="right"/>
              <w:spacing w:after="0"/>
              <w:rPr>
                <w:sz w:val="20"/>
                <w:szCs w:val="20"/>
                <w:color w:val="auto"/>
              </w:rPr>
            </w:pPr>
            <w:r>
              <w:rPr>
                <w:rFonts w:ascii="Arial" w:cs="Arial" w:eastAsia="Arial" w:hAnsi="Arial"/>
                <w:sz w:val="12"/>
                <w:szCs w:val="12"/>
                <w:color w:val="auto"/>
              </w:rPr>
              <w:t>2,855,291</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9,812,500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9,652,736</w:t>
            </w:r>
          </w:p>
        </w:tc>
        <w:tc>
          <w:tcPr>
            <w:tcW w:w="680" w:type="dxa"/>
            <w:vAlign w:val="bottom"/>
          </w:tcPr>
          <w:p>
            <w:pPr>
              <w:jc w:val="right"/>
              <w:spacing w:after="0"/>
              <w:rPr>
                <w:sz w:val="20"/>
                <w:szCs w:val="20"/>
                <w:color w:val="auto"/>
              </w:rPr>
            </w:pPr>
            <w:r>
              <w:rPr>
                <w:rFonts w:ascii="Arial" w:cs="Arial" w:eastAsia="Arial" w:hAnsi="Arial"/>
                <w:sz w:val="12"/>
                <w:szCs w:val="12"/>
                <w:color w:val="auto"/>
              </w:rPr>
              <w:t>9,665,312</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5.75%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4,258,929</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4,226,747</w:t>
            </w:r>
          </w:p>
        </w:tc>
        <w:tc>
          <w:tcPr>
            <w:tcW w:w="680" w:type="dxa"/>
            <w:vAlign w:val="bottom"/>
          </w:tcPr>
          <w:p>
            <w:pPr>
              <w:jc w:val="right"/>
              <w:spacing w:after="0"/>
              <w:rPr>
                <w:sz w:val="20"/>
                <w:szCs w:val="20"/>
                <w:color w:val="auto"/>
              </w:rPr>
            </w:pPr>
            <w:r>
              <w:rPr>
                <w:rFonts w:ascii="Arial" w:cs="Arial" w:eastAsia="Arial" w:hAnsi="Arial"/>
                <w:sz w:val="12"/>
                <w:szCs w:val="12"/>
                <w:color w:val="auto"/>
              </w:rPr>
              <w:t>4,258,929</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3,610,688</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3,591,818</w:t>
            </w:r>
          </w:p>
        </w:tc>
        <w:tc>
          <w:tcPr>
            <w:tcW w:w="680" w:type="dxa"/>
            <w:vAlign w:val="bottom"/>
          </w:tcPr>
          <w:p>
            <w:pPr>
              <w:jc w:val="right"/>
              <w:spacing w:after="0"/>
              <w:rPr>
                <w:sz w:val="20"/>
                <w:szCs w:val="20"/>
                <w:color w:val="auto"/>
              </w:rPr>
            </w:pPr>
            <w:r>
              <w:rPr>
                <w:rFonts w:ascii="Arial" w:cs="Arial" w:eastAsia="Arial" w:hAnsi="Arial"/>
                <w:sz w:val="12"/>
                <w:szCs w:val="12"/>
                <w:color w:val="auto"/>
              </w:rPr>
              <w:t>3,592,634</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3,970,000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3,934,577</w:t>
            </w:r>
          </w:p>
        </w:tc>
        <w:tc>
          <w:tcPr>
            <w:tcW w:w="680" w:type="dxa"/>
            <w:vAlign w:val="bottom"/>
          </w:tcPr>
          <w:p>
            <w:pPr>
              <w:jc w:val="right"/>
              <w:spacing w:after="0"/>
              <w:rPr>
                <w:sz w:val="20"/>
                <w:szCs w:val="20"/>
                <w:color w:val="auto"/>
              </w:rPr>
            </w:pPr>
            <w:r>
              <w:rPr>
                <w:rFonts w:ascii="Arial" w:cs="Arial" w:eastAsia="Arial" w:hAnsi="Arial"/>
                <w:sz w:val="12"/>
                <w:szCs w:val="12"/>
                <w:color w:val="auto"/>
              </w:rPr>
              <w:t>3,840,975</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88"/>
              </w:rPr>
              <w:t>Media: Broadcasting and</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6.75%</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L+550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1,096,930</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1,094,839</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1,094,188</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7"/>
              </w:rPr>
              <w:t>Subscription</w:t>
            </w: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6,947,500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6,888,768</w:t>
            </w:r>
          </w:p>
        </w:tc>
        <w:tc>
          <w:tcPr>
            <w:tcW w:w="680" w:type="dxa"/>
            <w:vAlign w:val="bottom"/>
          </w:tcPr>
          <w:p>
            <w:pPr>
              <w:jc w:val="right"/>
              <w:spacing w:after="0"/>
              <w:rPr>
                <w:sz w:val="20"/>
                <w:szCs w:val="20"/>
                <w:color w:val="auto"/>
              </w:rPr>
            </w:pPr>
            <w:r>
              <w:rPr>
                <w:rFonts w:ascii="Arial" w:cs="Arial" w:eastAsia="Arial" w:hAnsi="Arial"/>
                <w:sz w:val="12"/>
                <w:szCs w:val="12"/>
                <w:color w:val="auto"/>
              </w:rPr>
              <w:t>6,912,762</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4,950,000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4,909,380</w:t>
            </w:r>
          </w:p>
        </w:tc>
        <w:tc>
          <w:tcPr>
            <w:tcW w:w="680" w:type="dxa"/>
            <w:vAlign w:val="bottom"/>
          </w:tcPr>
          <w:p>
            <w:pPr>
              <w:jc w:val="right"/>
              <w:spacing w:after="0"/>
              <w:rPr>
                <w:sz w:val="20"/>
                <w:szCs w:val="20"/>
                <w:color w:val="auto"/>
              </w:rPr>
            </w:pPr>
            <w:r>
              <w:rPr>
                <w:rFonts w:ascii="Arial" w:cs="Arial" w:eastAsia="Arial" w:hAnsi="Arial"/>
                <w:sz w:val="12"/>
                <w:szCs w:val="12"/>
                <w:color w:val="auto"/>
              </w:rPr>
              <w:t>4,894,312</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Consumer Goods: Non-Durable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9.00%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L+800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1,200,000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1,182,000</w:t>
            </w:r>
          </w:p>
        </w:tc>
        <w:tc>
          <w:tcPr>
            <w:tcW w:w="680" w:type="dxa"/>
            <w:vAlign w:val="bottom"/>
          </w:tcPr>
          <w:p>
            <w:pPr>
              <w:jc w:val="right"/>
              <w:spacing w:after="0"/>
              <w:rPr>
                <w:sz w:val="20"/>
                <w:szCs w:val="20"/>
                <w:color w:val="auto"/>
              </w:rPr>
            </w:pPr>
            <w:r>
              <w:rPr>
                <w:rFonts w:ascii="Arial" w:cs="Arial" w:eastAsia="Arial" w:hAnsi="Arial"/>
                <w:sz w:val="12"/>
                <w:szCs w:val="12"/>
                <w:color w:val="auto"/>
              </w:rPr>
              <w:t>1,182,000</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4,906,250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4,864,869</w:t>
            </w:r>
          </w:p>
        </w:tc>
        <w:tc>
          <w:tcPr>
            <w:tcW w:w="680" w:type="dxa"/>
            <w:vAlign w:val="bottom"/>
          </w:tcPr>
          <w:p>
            <w:pPr>
              <w:jc w:val="right"/>
              <w:spacing w:after="0"/>
              <w:rPr>
                <w:sz w:val="20"/>
                <w:szCs w:val="20"/>
                <w:color w:val="auto"/>
              </w:rPr>
            </w:pPr>
            <w:r>
              <w:rPr>
                <w:rFonts w:ascii="Arial" w:cs="Arial" w:eastAsia="Arial" w:hAnsi="Arial"/>
                <w:sz w:val="12"/>
                <w:szCs w:val="12"/>
                <w:color w:val="auto"/>
              </w:rPr>
              <w:t>4,881,719</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5"/>
              </w:rPr>
              <w:t>Aerospace and Defense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7,000,000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6,931,037</w:t>
            </w:r>
          </w:p>
        </w:tc>
        <w:tc>
          <w:tcPr>
            <w:tcW w:w="680" w:type="dxa"/>
            <w:vAlign w:val="bottom"/>
          </w:tcPr>
          <w:p>
            <w:pPr>
              <w:jc w:val="right"/>
              <w:spacing w:after="0"/>
              <w:rPr>
                <w:sz w:val="20"/>
                <w:szCs w:val="20"/>
                <w:color w:val="auto"/>
              </w:rPr>
            </w:pPr>
            <w:r>
              <w:rPr>
                <w:rFonts w:ascii="Arial" w:cs="Arial" w:eastAsia="Arial" w:hAnsi="Arial"/>
                <w:sz w:val="12"/>
                <w:szCs w:val="12"/>
                <w:color w:val="auto"/>
              </w:rPr>
              <w:t>6,912,500</w:t>
            </w:r>
          </w:p>
        </w:tc>
      </w:tr>
      <w:tr>
        <w:trPr>
          <w:trHeight w:val="149"/>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93"/>
              </w:rPr>
              <w:t>Automotive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11.50%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2,000,000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1,977,245</w:t>
            </w:r>
          </w:p>
        </w:tc>
        <w:tc>
          <w:tcPr>
            <w:tcW w:w="680" w:type="dxa"/>
            <w:vAlign w:val="bottom"/>
          </w:tcPr>
          <w:p>
            <w:pPr>
              <w:jc w:val="right"/>
              <w:spacing w:after="0"/>
              <w:rPr>
                <w:sz w:val="20"/>
                <w:szCs w:val="20"/>
                <w:color w:val="auto"/>
              </w:rPr>
            </w:pPr>
            <w:r>
              <w:rPr>
                <w:rFonts w:ascii="Arial" w:cs="Arial" w:eastAsia="Arial" w:hAnsi="Arial"/>
                <w:sz w:val="12"/>
                <w:szCs w:val="12"/>
                <w:color w:val="auto"/>
              </w:rPr>
              <w:t>2,167,500</w:t>
            </w:r>
          </w:p>
        </w:tc>
      </w:tr>
      <w:tr>
        <w:trPr>
          <w:trHeight w:val="149"/>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L+600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12,409,413</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12,270,960</w:t>
            </w:r>
          </w:p>
        </w:tc>
        <w:tc>
          <w:tcPr>
            <w:tcW w:w="680" w:type="dxa"/>
            <w:vAlign w:val="bottom"/>
          </w:tcPr>
          <w:p>
            <w:pPr>
              <w:jc w:val="right"/>
              <w:spacing w:after="0"/>
              <w:rPr>
                <w:sz w:val="20"/>
                <w:szCs w:val="20"/>
                <w:color w:val="auto"/>
              </w:rPr>
            </w:pPr>
            <w:r>
              <w:rPr>
                <w:rFonts w:ascii="Arial" w:cs="Arial" w:eastAsia="Arial" w:hAnsi="Arial"/>
                <w:sz w:val="12"/>
                <w:szCs w:val="12"/>
                <w:color w:val="auto"/>
              </w:rPr>
              <w:t>11,788,942</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13.16%</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P+992</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1,500,000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1,500,000</w:t>
            </w:r>
          </w:p>
        </w:tc>
        <w:tc>
          <w:tcPr>
            <w:tcW w:w="680" w:type="dxa"/>
            <w:vAlign w:val="bottom"/>
          </w:tcPr>
          <w:p>
            <w:pPr>
              <w:jc w:val="right"/>
              <w:spacing w:after="0"/>
              <w:rPr>
                <w:sz w:val="20"/>
                <w:szCs w:val="20"/>
                <w:color w:val="auto"/>
              </w:rPr>
            </w:pPr>
            <w:r>
              <w:rPr>
                <w:rFonts w:ascii="Arial" w:cs="Arial" w:eastAsia="Arial" w:hAnsi="Arial"/>
                <w:sz w:val="12"/>
                <w:szCs w:val="12"/>
                <w:color w:val="auto"/>
              </w:rPr>
              <w:t>1,535,715</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90"/>
              </w:rPr>
              <w:t>Media: Advertising, Printing and</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5.50%</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L+450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5,453,617</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5,377,967</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5,453,617</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90"/>
              </w:rPr>
              <w:t>Publishing</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90"/>
              </w:rPr>
              <w:t>Media: Advertising, Printing and</w:t>
            </w:r>
          </w:p>
        </w:tc>
        <w:tc>
          <w:tcPr>
            <w:tcW w:w="88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12.00%</w:t>
            </w:r>
          </w:p>
        </w:tc>
        <w:tc>
          <w:tcPr>
            <w:tcW w:w="6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L+1,100</w:t>
            </w:r>
          </w:p>
        </w:tc>
        <w:tc>
          <w:tcPr>
            <w:tcW w:w="7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4,500,000</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4,436,038</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4,500,000</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90"/>
              </w:rPr>
              <w:t>Publishing</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5"/>
              </w:rPr>
              <w:t>Consumer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10.00%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L+850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5,140,179</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5,059,028</w:t>
            </w:r>
          </w:p>
        </w:tc>
        <w:tc>
          <w:tcPr>
            <w:tcW w:w="680" w:type="dxa"/>
            <w:vAlign w:val="bottom"/>
          </w:tcPr>
          <w:p>
            <w:pPr>
              <w:jc w:val="right"/>
              <w:spacing w:after="0"/>
              <w:rPr>
                <w:sz w:val="20"/>
                <w:szCs w:val="20"/>
                <w:color w:val="auto"/>
              </w:rPr>
            </w:pPr>
            <w:r>
              <w:rPr>
                <w:rFonts w:ascii="Arial" w:cs="Arial" w:eastAsia="Arial" w:hAnsi="Arial"/>
                <w:sz w:val="12"/>
                <w:szCs w:val="12"/>
                <w:color w:val="auto"/>
              </w:rPr>
              <w:t>5,114,478</w:t>
            </w:r>
          </w:p>
        </w:tc>
      </w:tr>
      <w:tr>
        <w:trPr>
          <w:trHeight w:val="162"/>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87"/>
              </w:rPr>
              <w:t>Chemicals, Plastics and Rubber</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10.00%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L+900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6,157,648</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6,048,214</w:t>
            </w:r>
          </w:p>
        </w:tc>
        <w:tc>
          <w:tcPr>
            <w:tcW w:w="680" w:type="dxa"/>
            <w:vAlign w:val="bottom"/>
          </w:tcPr>
          <w:p>
            <w:pPr>
              <w:jc w:val="right"/>
              <w:spacing w:after="0"/>
              <w:rPr>
                <w:sz w:val="20"/>
                <w:szCs w:val="20"/>
                <w:color w:val="auto"/>
              </w:rPr>
            </w:pPr>
            <w:r>
              <w:rPr>
                <w:rFonts w:ascii="Arial" w:cs="Arial" w:eastAsia="Arial" w:hAnsi="Arial"/>
                <w:sz w:val="12"/>
                <w:szCs w:val="12"/>
                <w:color w:val="auto"/>
              </w:rPr>
              <w:t>6,064,275</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1,985,004</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1,977,359</w:t>
            </w:r>
          </w:p>
        </w:tc>
        <w:tc>
          <w:tcPr>
            <w:tcW w:w="680" w:type="dxa"/>
            <w:vAlign w:val="bottom"/>
          </w:tcPr>
          <w:p>
            <w:pPr>
              <w:jc w:val="right"/>
              <w:spacing w:after="0"/>
              <w:rPr>
                <w:sz w:val="20"/>
                <w:szCs w:val="20"/>
                <w:color w:val="auto"/>
              </w:rPr>
            </w:pPr>
            <w:r>
              <w:rPr>
                <w:rFonts w:ascii="Arial" w:cs="Arial" w:eastAsia="Arial" w:hAnsi="Arial"/>
                <w:sz w:val="12"/>
                <w:szCs w:val="12"/>
                <w:color w:val="auto"/>
              </w:rPr>
              <w:t>1,967,635</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5,925,000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5,855,212</w:t>
            </w:r>
          </w:p>
        </w:tc>
        <w:tc>
          <w:tcPr>
            <w:tcW w:w="680" w:type="dxa"/>
            <w:vAlign w:val="bottom"/>
          </w:tcPr>
          <w:p>
            <w:pPr>
              <w:jc w:val="right"/>
              <w:spacing w:after="0"/>
              <w:rPr>
                <w:sz w:val="20"/>
                <w:szCs w:val="20"/>
                <w:color w:val="auto"/>
              </w:rPr>
            </w:pPr>
            <w:r>
              <w:rPr>
                <w:rFonts w:ascii="Arial" w:cs="Arial" w:eastAsia="Arial" w:hAnsi="Arial"/>
                <w:sz w:val="12"/>
                <w:szCs w:val="12"/>
                <w:color w:val="auto"/>
              </w:rPr>
              <w:t>5,821,312</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85"/>
              </w:rPr>
              <w:t>Consumer Services</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7.00%</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L+575</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2,505,285</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2,484,597</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2,506,864</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8,130,872</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8,111,416</w:t>
            </w:r>
          </w:p>
        </w:tc>
        <w:tc>
          <w:tcPr>
            <w:tcW w:w="680" w:type="dxa"/>
            <w:vAlign w:val="bottom"/>
          </w:tcPr>
          <w:p>
            <w:pPr>
              <w:jc w:val="right"/>
              <w:spacing w:after="0"/>
              <w:rPr>
                <w:sz w:val="20"/>
                <w:szCs w:val="20"/>
                <w:color w:val="auto"/>
              </w:rPr>
            </w:pPr>
            <w:r>
              <w:rPr>
                <w:rFonts w:ascii="Arial" w:cs="Arial" w:eastAsia="Arial" w:hAnsi="Arial"/>
                <w:sz w:val="12"/>
                <w:szCs w:val="12"/>
                <w:color w:val="auto"/>
              </w:rPr>
              <w:t>8,090,218</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9,900,000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9,817,130</w:t>
            </w:r>
          </w:p>
        </w:tc>
        <w:tc>
          <w:tcPr>
            <w:tcW w:w="680" w:type="dxa"/>
            <w:vAlign w:val="bottom"/>
          </w:tcPr>
          <w:p>
            <w:pPr>
              <w:jc w:val="right"/>
              <w:spacing w:after="0"/>
              <w:rPr>
                <w:sz w:val="20"/>
                <w:szCs w:val="20"/>
                <w:color w:val="auto"/>
              </w:rPr>
            </w:pPr>
            <w:r>
              <w:rPr>
                <w:rFonts w:ascii="Arial" w:cs="Arial" w:eastAsia="Arial" w:hAnsi="Arial"/>
                <w:sz w:val="12"/>
                <w:szCs w:val="12"/>
                <w:color w:val="auto"/>
              </w:rPr>
              <w:t>9,809,217</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87"/>
              </w:rPr>
              <w:t>Banking, Finance, Insurance and Real</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12.50%</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L+1,150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13,293,846</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12,716,069</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13,426,785</w:t>
            </w: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Estate</w:t>
            </w: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Consumer Goods: Non-Durable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7,717,766</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7,653,621</w:t>
            </w:r>
          </w:p>
        </w:tc>
        <w:tc>
          <w:tcPr>
            <w:tcW w:w="680" w:type="dxa"/>
            <w:vAlign w:val="bottom"/>
          </w:tcPr>
          <w:p>
            <w:pPr>
              <w:jc w:val="right"/>
              <w:spacing w:after="0"/>
              <w:rPr>
                <w:sz w:val="20"/>
                <w:szCs w:val="20"/>
                <w:color w:val="auto"/>
              </w:rPr>
            </w:pPr>
            <w:r>
              <w:rPr>
                <w:rFonts w:ascii="Arial" w:cs="Arial" w:eastAsia="Arial" w:hAnsi="Arial"/>
                <w:sz w:val="12"/>
                <w:szCs w:val="12"/>
                <w:color w:val="auto"/>
              </w:rPr>
              <w:t>7,669,530</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5"/>
              </w:rPr>
              <w:t>Consumer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8,303,261</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8,187,838</w:t>
            </w:r>
          </w:p>
        </w:tc>
        <w:tc>
          <w:tcPr>
            <w:tcW w:w="680" w:type="dxa"/>
            <w:vAlign w:val="bottom"/>
          </w:tcPr>
          <w:p>
            <w:pPr>
              <w:jc w:val="right"/>
              <w:spacing w:after="0"/>
              <w:rPr>
                <w:sz w:val="20"/>
                <w:szCs w:val="20"/>
                <w:color w:val="auto"/>
              </w:rPr>
            </w:pPr>
            <w:r>
              <w:rPr>
                <w:rFonts w:ascii="Arial" w:cs="Arial" w:eastAsia="Arial" w:hAnsi="Arial"/>
                <w:sz w:val="12"/>
                <w:szCs w:val="12"/>
                <w:color w:val="auto"/>
              </w:rPr>
              <w:t>8,220,228</w:t>
            </w:r>
          </w:p>
        </w:tc>
      </w:tr>
      <w:tr>
        <w:trPr>
          <w:trHeight w:val="135"/>
        </w:trPr>
        <w:tc>
          <w:tcPr>
            <w:tcW w:w="1900" w:type="dxa"/>
            <w:vAlign w:val="bottom"/>
          </w:tcPr>
          <w:p>
            <w:pPr>
              <w:jc w:val="center"/>
              <w:ind w:right="62"/>
              <w:spacing w:after="0" w:line="136" w:lineRule="exact"/>
              <w:rPr>
                <w:sz w:val="20"/>
                <w:szCs w:val="20"/>
                <w:color w:val="auto"/>
              </w:rPr>
            </w:pPr>
            <w:r>
              <w:rPr>
                <w:rFonts w:ascii="Arial" w:cs="Arial" w:eastAsia="Arial" w:hAnsi="Arial"/>
                <w:sz w:val="12"/>
                <w:szCs w:val="12"/>
                <w:color w:val="auto"/>
                <w:w w:val="88"/>
              </w:rPr>
              <w:t>Consumer Goods: Durable</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7.75%</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L+650</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4,962,500</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4,921,444</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4,970,787</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87"/>
              </w:rPr>
              <w:t>Banking, Finance, Insurance and Real</w:t>
            </w:r>
          </w:p>
        </w:tc>
        <w:tc>
          <w:tcPr>
            <w:tcW w:w="88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6.50%</w:t>
            </w:r>
          </w:p>
        </w:tc>
        <w:tc>
          <w:tcPr>
            <w:tcW w:w="6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L+550</w:t>
            </w:r>
          </w:p>
        </w:tc>
        <w:tc>
          <w:tcPr>
            <w:tcW w:w="7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4,937,500</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4,891,688</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4,956,016</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88"/>
              </w:rPr>
              <w:t>Estate</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Consumer Goods: Durable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9.00%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L+750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3,294,118</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3,262,700</w:t>
            </w:r>
          </w:p>
        </w:tc>
        <w:tc>
          <w:tcPr>
            <w:tcW w:w="680" w:type="dxa"/>
            <w:vAlign w:val="bottom"/>
          </w:tcPr>
          <w:p>
            <w:pPr>
              <w:jc w:val="right"/>
              <w:spacing w:after="0"/>
              <w:rPr>
                <w:sz w:val="20"/>
                <w:szCs w:val="20"/>
                <w:color w:val="auto"/>
              </w:rPr>
            </w:pPr>
            <w:r>
              <w:rPr>
                <w:rFonts w:ascii="Arial" w:cs="Arial" w:eastAsia="Arial" w:hAnsi="Arial"/>
                <w:sz w:val="12"/>
                <w:szCs w:val="12"/>
                <w:color w:val="auto"/>
              </w:rPr>
              <w:t>3,288,278</w:t>
            </w:r>
          </w:p>
        </w:tc>
      </w:tr>
      <w:tr>
        <w:trPr>
          <w:trHeight w:val="270"/>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Consumer Goods: Durable</w:t>
            </w:r>
          </w:p>
        </w:tc>
        <w:tc>
          <w:tcPr>
            <w:tcW w:w="88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705,882</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705,882</w:t>
            </w:r>
          </w:p>
        </w:tc>
        <w:tc>
          <w:tcPr>
            <w:tcW w:w="680" w:type="dxa"/>
            <w:vAlign w:val="bottom"/>
          </w:tcPr>
          <w:p>
            <w:pPr>
              <w:jc w:val="right"/>
              <w:spacing w:after="0"/>
              <w:rPr>
                <w:sz w:val="20"/>
                <w:szCs w:val="20"/>
                <w:color w:val="auto"/>
              </w:rPr>
            </w:pPr>
            <w:r>
              <w:rPr>
                <w:rFonts w:ascii="Arial" w:cs="Arial" w:eastAsia="Arial" w:hAnsi="Arial"/>
                <w:sz w:val="12"/>
                <w:szCs w:val="12"/>
                <w:color w:val="auto"/>
              </w:rPr>
              <w:t>704,631</w:t>
            </w:r>
          </w:p>
        </w:tc>
      </w:tr>
      <w:tr>
        <w:trPr>
          <w:trHeight w:val="270"/>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8"/>
              </w:rPr>
              <w:t>Hotel, Gaming and Leisure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8.25%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L+725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12,000,000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11,898,121</w:t>
            </w:r>
          </w:p>
        </w:tc>
        <w:tc>
          <w:tcPr>
            <w:tcW w:w="680" w:type="dxa"/>
            <w:vAlign w:val="bottom"/>
          </w:tcPr>
          <w:p>
            <w:pPr>
              <w:jc w:val="right"/>
              <w:spacing w:after="0"/>
              <w:rPr>
                <w:sz w:val="20"/>
                <w:szCs w:val="20"/>
                <w:color w:val="auto"/>
              </w:rPr>
            </w:pPr>
            <w:r>
              <w:rPr>
                <w:rFonts w:ascii="Arial" w:cs="Arial" w:eastAsia="Arial" w:hAnsi="Arial"/>
                <w:sz w:val="12"/>
                <w:szCs w:val="12"/>
                <w:color w:val="auto"/>
              </w:rPr>
              <w:t>12,000,000</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Telecommunications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4.75%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L+350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1,980,002</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1,963,277</w:t>
            </w:r>
          </w:p>
        </w:tc>
        <w:tc>
          <w:tcPr>
            <w:tcW w:w="680" w:type="dxa"/>
            <w:vAlign w:val="bottom"/>
          </w:tcPr>
          <w:p>
            <w:pPr>
              <w:jc w:val="right"/>
              <w:spacing w:after="0"/>
              <w:rPr>
                <w:sz w:val="20"/>
                <w:szCs w:val="20"/>
                <w:color w:val="auto"/>
              </w:rPr>
            </w:pPr>
            <w:r>
              <w:rPr>
                <w:rFonts w:ascii="Arial" w:cs="Arial" w:eastAsia="Arial" w:hAnsi="Arial"/>
                <w:sz w:val="12"/>
                <w:szCs w:val="12"/>
                <w:color w:val="auto"/>
              </w:rPr>
              <w:t>1,955,252</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5"/>
              </w:rPr>
              <w:t>Aerospace and Defense</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9.00%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L+750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6,643,409</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6,382,042</w:t>
            </w:r>
          </w:p>
        </w:tc>
        <w:tc>
          <w:tcPr>
            <w:tcW w:w="680" w:type="dxa"/>
            <w:vAlign w:val="bottom"/>
          </w:tcPr>
          <w:p>
            <w:pPr>
              <w:jc w:val="right"/>
              <w:spacing w:after="0"/>
              <w:rPr>
                <w:sz w:val="20"/>
                <w:szCs w:val="20"/>
                <w:color w:val="auto"/>
              </w:rPr>
            </w:pPr>
            <w:r>
              <w:rPr>
                <w:rFonts w:ascii="Arial" w:cs="Arial" w:eastAsia="Arial" w:hAnsi="Arial"/>
                <w:sz w:val="12"/>
                <w:szCs w:val="12"/>
                <w:color w:val="auto"/>
              </w:rPr>
              <w:t>5,979,068</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5"/>
              </w:rPr>
              <w:t>Consumer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5.75%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2,000,000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1,990,000</w:t>
            </w:r>
          </w:p>
        </w:tc>
        <w:tc>
          <w:tcPr>
            <w:tcW w:w="680" w:type="dxa"/>
            <w:vAlign w:val="bottom"/>
          </w:tcPr>
          <w:p>
            <w:pPr>
              <w:jc w:val="right"/>
              <w:spacing w:after="0"/>
              <w:rPr>
                <w:sz w:val="20"/>
                <w:szCs w:val="20"/>
                <w:color w:val="auto"/>
              </w:rPr>
            </w:pPr>
            <w:r>
              <w:rPr>
                <w:rFonts w:ascii="Arial" w:cs="Arial" w:eastAsia="Arial" w:hAnsi="Arial"/>
                <w:sz w:val="12"/>
                <w:szCs w:val="12"/>
                <w:color w:val="auto"/>
              </w:rPr>
              <w:t>2,002,500</w:t>
            </w:r>
          </w:p>
        </w:tc>
      </w:tr>
      <w:tr>
        <w:trPr>
          <w:trHeight w:val="162"/>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L+575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3,375,000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3,347,830</w:t>
            </w:r>
          </w:p>
        </w:tc>
        <w:tc>
          <w:tcPr>
            <w:tcW w:w="680" w:type="dxa"/>
            <w:vAlign w:val="bottom"/>
          </w:tcPr>
          <w:p>
            <w:pPr>
              <w:jc w:val="right"/>
              <w:spacing w:after="0"/>
              <w:rPr>
                <w:sz w:val="20"/>
                <w:szCs w:val="20"/>
                <w:color w:val="auto"/>
              </w:rPr>
            </w:pPr>
            <w:r>
              <w:rPr>
                <w:rFonts w:ascii="Arial" w:cs="Arial" w:eastAsia="Arial" w:hAnsi="Arial"/>
                <w:sz w:val="12"/>
                <w:szCs w:val="12"/>
                <w:color w:val="auto"/>
              </w:rPr>
              <w:t>3,366,563</w:t>
            </w:r>
          </w:p>
        </w:tc>
      </w:tr>
      <w:tr>
        <w:trPr>
          <w:trHeight w:val="149"/>
        </w:trPr>
        <w:tc>
          <w:tcPr>
            <w:tcW w:w="1900" w:type="dxa"/>
            <w:vAlign w:val="bottom"/>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7.25%</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L+600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925,000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910,694</w:t>
            </w:r>
          </w:p>
        </w:tc>
        <w:tc>
          <w:tcPr>
            <w:tcW w:w="680" w:type="dxa"/>
            <w:vAlign w:val="bottom"/>
          </w:tcPr>
          <w:p>
            <w:pPr>
              <w:jc w:val="right"/>
              <w:spacing w:after="0"/>
              <w:rPr>
                <w:sz w:val="20"/>
                <w:szCs w:val="20"/>
                <w:color w:val="auto"/>
              </w:rPr>
            </w:pPr>
            <w:r>
              <w:rPr>
                <w:rFonts w:ascii="Arial" w:cs="Arial" w:eastAsia="Arial" w:hAnsi="Arial"/>
                <w:sz w:val="12"/>
                <w:szCs w:val="12"/>
                <w:color w:val="auto"/>
              </w:rPr>
              <w:t>922,688</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High Tech Industries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5.00%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L+400</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5,955,000</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5,931,546</w:t>
            </w:r>
          </w:p>
        </w:tc>
        <w:tc>
          <w:tcPr>
            <w:tcW w:w="680" w:type="dxa"/>
            <w:vAlign w:val="bottom"/>
          </w:tcPr>
          <w:p>
            <w:pPr>
              <w:jc w:val="right"/>
              <w:spacing w:after="0"/>
              <w:rPr>
                <w:sz w:val="20"/>
                <w:szCs w:val="20"/>
                <w:color w:val="auto"/>
              </w:rPr>
            </w:pPr>
            <w:r>
              <w:rPr>
                <w:rFonts w:ascii="Arial" w:cs="Arial" w:eastAsia="Arial" w:hAnsi="Arial"/>
                <w:sz w:val="12"/>
                <w:szCs w:val="12"/>
                <w:color w:val="auto"/>
              </w:rPr>
              <w:t>5,910,338</w:t>
            </w:r>
          </w:p>
        </w:tc>
      </w:tr>
      <w:tr>
        <w:trPr>
          <w:trHeight w:val="135"/>
        </w:trPr>
        <w:tc>
          <w:tcPr>
            <w:tcW w:w="1900" w:type="dxa"/>
            <w:vAlign w:val="bottom"/>
          </w:tcPr>
          <w:p>
            <w:pPr>
              <w:jc w:val="center"/>
              <w:ind w:right="42"/>
              <w:spacing w:after="0" w:line="136" w:lineRule="exact"/>
              <w:rPr>
                <w:sz w:val="20"/>
                <w:szCs w:val="20"/>
                <w:color w:val="auto"/>
              </w:rPr>
            </w:pPr>
            <w:r>
              <w:rPr>
                <w:rFonts w:ascii="Arial" w:cs="Arial" w:eastAsia="Arial" w:hAnsi="Arial"/>
                <w:sz w:val="12"/>
                <w:szCs w:val="12"/>
                <w:color w:val="auto"/>
                <w:w w:val="90"/>
              </w:rPr>
              <w:t>Construction and Building</w:t>
            </w:r>
          </w:p>
        </w:tc>
        <w:tc>
          <w:tcPr>
            <w:tcW w:w="880" w:type="dxa"/>
            <w:vAlign w:val="bottom"/>
          </w:tcPr>
          <w:p>
            <w:pPr>
              <w:jc w:val="right"/>
              <w:ind w:right="122"/>
              <w:spacing w:after="0" w:line="136" w:lineRule="exact"/>
              <w:rPr>
                <w:sz w:val="20"/>
                <w:szCs w:val="20"/>
                <w:color w:val="auto"/>
              </w:rPr>
            </w:pPr>
            <w:r>
              <w:rPr>
                <w:rFonts w:ascii="Arial" w:cs="Arial" w:eastAsia="Arial" w:hAnsi="Arial"/>
                <w:sz w:val="12"/>
                <w:szCs w:val="12"/>
                <w:color w:val="auto"/>
              </w:rPr>
              <w:t>5.75%</w:t>
            </w:r>
          </w:p>
        </w:tc>
        <w:tc>
          <w:tcPr>
            <w:tcW w:w="680" w:type="dxa"/>
            <w:vAlign w:val="bottom"/>
          </w:tcPr>
          <w:p>
            <w:pPr>
              <w:jc w:val="right"/>
              <w:ind w:right="102"/>
              <w:spacing w:after="0" w:line="136" w:lineRule="exact"/>
              <w:rPr>
                <w:sz w:val="20"/>
                <w:szCs w:val="20"/>
                <w:color w:val="auto"/>
              </w:rPr>
            </w:pPr>
            <w:r>
              <w:rPr>
                <w:rFonts w:ascii="Arial" w:cs="Arial" w:eastAsia="Arial" w:hAnsi="Arial"/>
                <w:sz w:val="12"/>
                <w:szCs w:val="12"/>
                <w:color w:val="auto"/>
              </w:rPr>
              <w:t>L+475</w:t>
            </w:r>
          </w:p>
        </w:tc>
        <w:tc>
          <w:tcPr>
            <w:tcW w:w="780" w:type="dxa"/>
            <w:vAlign w:val="bottom"/>
          </w:tcPr>
          <w:p>
            <w:pPr>
              <w:jc w:val="right"/>
              <w:ind w:right="62"/>
              <w:spacing w:after="0" w:line="136" w:lineRule="exact"/>
              <w:rPr>
                <w:sz w:val="20"/>
                <w:szCs w:val="20"/>
                <w:color w:val="auto"/>
              </w:rPr>
            </w:pPr>
            <w:r>
              <w:rPr>
                <w:rFonts w:ascii="Arial" w:cs="Arial" w:eastAsia="Arial" w:hAnsi="Arial"/>
                <w:sz w:val="12"/>
                <w:szCs w:val="12"/>
                <w:color w:val="auto"/>
              </w:rPr>
              <w:t>5,000,000</w:t>
            </w:r>
          </w:p>
        </w:tc>
        <w:tc>
          <w:tcPr>
            <w:tcW w:w="7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4,950,448</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4,968,750</w:t>
            </w:r>
          </w:p>
        </w:tc>
      </w:tr>
      <w:tr>
        <w:trPr>
          <w:trHeight w:val="149"/>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6"/>
              </w:rPr>
              <w:t>Healthcare and Pharmaceuticals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7.50%</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L+625</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4,843,177</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4,775,215</w:t>
            </w:r>
          </w:p>
        </w:tc>
        <w:tc>
          <w:tcPr>
            <w:tcW w:w="680" w:type="dxa"/>
            <w:vAlign w:val="bottom"/>
          </w:tcPr>
          <w:p>
            <w:pPr>
              <w:jc w:val="right"/>
              <w:spacing w:after="0"/>
              <w:rPr>
                <w:sz w:val="20"/>
                <w:szCs w:val="20"/>
                <w:color w:val="auto"/>
              </w:rPr>
            </w:pPr>
            <w:r>
              <w:rPr>
                <w:rFonts w:ascii="Arial" w:cs="Arial" w:eastAsia="Arial" w:hAnsi="Arial"/>
                <w:sz w:val="12"/>
                <w:szCs w:val="12"/>
                <w:color w:val="auto"/>
              </w:rPr>
              <w:t>4,861,339</w:t>
            </w:r>
          </w:p>
        </w:tc>
      </w:tr>
      <w:tr>
        <w:trPr>
          <w:trHeight w:val="135"/>
        </w:trPr>
        <w:tc>
          <w:tcPr>
            <w:tcW w:w="1900" w:type="dxa"/>
            <w:vAlign w:val="bottom"/>
          </w:tcPr>
          <w:p>
            <w:pPr>
              <w:jc w:val="center"/>
              <w:ind w:right="62"/>
              <w:spacing w:after="0" w:line="135" w:lineRule="exact"/>
              <w:rPr>
                <w:sz w:val="20"/>
                <w:szCs w:val="20"/>
                <w:color w:val="auto"/>
              </w:rPr>
            </w:pPr>
            <w:r>
              <w:rPr>
                <w:rFonts w:ascii="Arial" w:cs="Arial" w:eastAsia="Arial" w:hAnsi="Arial"/>
                <w:sz w:val="12"/>
                <w:szCs w:val="12"/>
                <w:color w:val="auto"/>
                <w:w w:val="89"/>
              </w:rPr>
              <w:t>Telecommunications</w:t>
            </w:r>
          </w:p>
        </w:tc>
        <w:tc>
          <w:tcPr>
            <w:tcW w:w="88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12.25%</w:t>
            </w:r>
          </w:p>
        </w:tc>
        <w:tc>
          <w:tcPr>
            <w:tcW w:w="6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L+1,125</w:t>
            </w:r>
          </w:p>
        </w:tc>
        <w:tc>
          <w:tcPr>
            <w:tcW w:w="7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135,817</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135,817</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135,817</w:t>
            </w:r>
          </w:p>
        </w:tc>
      </w:tr>
      <w:tr>
        <w:trPr>
          <w:trHeight w:val="148"/>
        </w:trPr>
        <w:tc>
          <w:tcPr>
            <w:tcW w:w="1900" w:type="dxa"/>
            <w:vAlign w:val="bottom"/>
          </w:tcPr>
          <w:p>
            <w:pPr>
              <w:spacing w:after="0"/>
              <w:rPr>
                <w:sz w:val="12"/>
                <w:szCs w:val="12"/>
                <w:color w:val="auto"/>
              </w:rPr>
            </w:pPr>
          </w:p>
        </w:tc>
        <w:tc>
          <w:tcPr>
            <w:tcW w:w="880" w:type="dxa"/>
            <w:vAlign w:val="bottom"/>
          </w:tcPr>
          <w:p>
            <w:pPr>
              <w:jc w:val="right"/>
              <w:ind w:right="82"/>
              <w:spacing w:after="0"/>
              <w:rPr>
                <w:sz w:val="20"/>
                <w:szCs w:val="20"/>
                <w:color w:val="auto"/>
              </w:rPr>
            </w:pPr>
            <w:r>
              <w:rPr>
                <w:rFonts w:ascii="Arial" w:cs="Arial" w:eastAsia="Arial" w:hAnsi="Arial"/>
                <w:sz w:val="12"/>
                <w:szCs w:val="12"/>
                <w:color w:val="auto"/>
              </w:rPr>
              <w:t>(PIK 7.25%)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2"/>
        </w:trPr>
        <w:tc>
          <w:tcPr>
            <w:tcW w:w="1900" w:type="dxa"/>
            <w:vAlign w:val="bottom"/>
          </w:tcPr>
          <w:p>
            <w:pPr>
              <w:jc w:val="center"/>
              <w:ind w:right="62"/>
              <w:spacing w:after="0"/>
              <w:rPr>
                <w:sz w:val="20"/>
                <w:szCs w:val="20"/>
                <w:color w:val="auto"/>
              </w:rPr>
            </w:pPr>
            <w:r>
              <w:rPr>
                <w:rFonts w:ascii="Arial" w:cs="Arial" w:eastAsia="Arial" w:hAnsi="Arial"/>
                <w:sz w:val="12"/>
                <w:szCs w:val="12"/>
                <w:color w:val="auto"/>
                <w:w w:val="89"/>
              </w:rPr>
              <w:t>Telecommunications</w:t>
            </w:r>
          </w:p>
        </w:tc>
        <w:tc>
          <w:tcPr>
            <w:tcW w:w="880" w:type="dxa"/>
            <w:vAlign w:val="bottom"/>
          </w:tcPr>
          <w:p>
            <w:pPr>
              <w:jc w:val="right"/>
              <w:ind w:right="102"/>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(7)</w:t>
            </w: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2,184,319</w:t>
            </w:r>
          </w:p>
        </w:tc>
        <w:tc>
          <w:tcPr>
            <w:tcW w:w="780" w:type="dxa"/>
            <w:vAlign w:val="bottom"/>
          </w:tcPr>
          <w:p>
            <w:pPr>
              <w:jc w:val="right"/>
              <w:ind w:right="82"/>
              <w:spacing w:after="0"/>
              <w:rPr>
                <w:sz w:val="20"/>
                <w:szCs w:val="20"/>
                <w:color w:val="auto"/>
              </w:rPr>
            </w:pPr>
            <w:r>
              <w:rPr>
                <w:rFonts w:ascii="Arial" w:cs="Arial" w:eastAsia="Arial" w:hAnsi="Arial"/>
                <w:sz w:val="12"/>
                <w:szCs w:val="12"/>
                <w:color w:val="auto"/>
              </w:rPr>
              <w:t>2,150,875</w:t>
            </w:r>
          </w:p>
        </w:tc>
        <w:tc>
          <w:tcPr>
            <w:tcW w:w="680" w:type="dxa"/>
            <w:vAlign w:val="bottom"/>
          </w:tcPr>
          <w:p>
            <w:pPr>
              <w:jc w:val="right"/>
              <w:spacing w:after="0"/>
              <w:rPr>
                <w:sz w:val="20"/>
                <w:szCs w:val="20"/>
                <w:color w:val="auto"/>
              </w:rPr>
            </w:pPr>
            <w:r>
              <w:rPr>
                <w:rFonts w:ascii="Arial" w:cs="Arial" w:eastAsia="Arial" w:hAnsi="Arial"/>
                <w:sz w:val="12"/>
                <w:szCs w:val="12"/>
                <w:color w:val="auto"/>
              </w:rPr>
              <w:t>1,332,435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-5963920</wp:posOffset>
            </wp:positionV>
            <wp:extent cx="724662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-5775325</wp:posOffset>
            </wp:positionV>
            <wp:extent cx="7246620" cy="94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-5586730</wp:posOffset>
            </wp:positionV>
            <wp:extent cx="7246620" cy="94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-5398135</wp:posOffset>
            </wp:positionV>
            <wp:extent cx="724662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-5209540</wp:posOffset>
            </wp:positionV>
            <wp:extent cx="72466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-4866005</wp:posOffset>
            </wp:positionV>
            <wp:extent cx="724662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-4677410</wp:posOffset>
            </wp:positionV>
            <wp:extent cx="72466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-4411980</wp:posOffset>
            </wp:positionV>
            <wp:extent cx="7246620" cy="94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-4223385</wp:posOffset>
            </wp:positionV>
            <wp:extent cx="724662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-4034155</wp:posOffset>
            </wp:positionV>
            <wp:extent cx="724662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-3759835</wp:posOffset>
            </wp:positionV>
            <wp:extent cx="724662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-3571240</wp:posOffset>
            </wp:positionV>
            <wp:extent cx="724662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-3382645</wp:posOffset>
            </wp:positionV>
            <wp:extent cx="7246620"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-3194050</wp:posOffset>
            </wp:positionV>
            <wp:extent cx="7246620" cy="94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-2927985</wp:posOffset>
            </wp:positionV>
            <wp:extent cx="72466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-2662555</wp:posOffset>
            </wp:positionV>
            <wp:extent cx="724662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-2473325</wp:posOffset>
            </wp:positionV>
            <wp:extent cx="724662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-2284730</wp:posOffset>
            </wp:positionV>
            <wp:extent cx="7246620" cy="94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-2096135</wp:posOffset>
            </wp:positionV>
            <wp:extent cx="72466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-1830705</wp:posOffset>
            </wp:positionV>
            <wp:extent cx="724662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-1641475</wp:posOffset>
            </wp:positionV>
            <wp:extent cx="724662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-1298575</wp:posOffset>
            </wp:positionV>
            <wp:extent cx="72466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-1033145</wp:posOffset>
            </wp:positionV>
            <wp:extent cx="724662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-844550</wp:posOffset>
            </wp:positionV>
            <wp:extent cx="724662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-655320</wp:posOffset>
            </wp:positionV>
            <wp:extent cx="7246620" cy="946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-466725</wp:posOffset>
            </wp:positionV>
            <wp:extent cx="724662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-278130</wp:posOffset>
            </wp:positionV>
            <wp:extent cx="724662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5320" w:space="280"/>
            <w:col w:w="58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SCHEDULE OF INVESTMENTS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Issuer Name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r>
      <w:tr>
        <w:trPr>
          <w:trHeight w:val="122"/>
        </w:trPr>
        <w:tc>
          <w:tcPr>
            <w:tcW w:w="20" w:type="dxa"/>
            <w:vAlign w:val="bottom"/>
          </w:tcPr>
          <w:p>
            <w:pPr>
              <w:spacing w:after="0"/>
              <w:rPr>
                <w:sz w:val="10"/>
                <w:szCs w:val="10"/>
                <w:color w:val="auto"/>
              </w:rPr>
            </w:pPr>
          </w:p>
        </w:tc>
        <w:tc>
          <w:tcPr>
            <w:tcW w:w="426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color w:val="auto"/>
              </w:rPr>
              <w:t xml:space="preserve">Virtual Radiologic Corporation </w:t>
            </w:r>
            <w:r>
              <w:rPr>
                <w:rFonts w:ascii="Arial" w:cs="Arial" w:eastAsia="Arial" w:hAnsi="Arial"/>
                <w:sz w:val="9"/>
                <w:szCs w:val="9"/>
                <w:color w:val="auto"/>
              </w:rPr>
              <w:t>(8)</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2"/>
                <w:szCs w:val="12"/>
                <w:color w:val="auto"/>
              </w:rPr>
              <w:t>12/22/2016</w:t>
            </w:r>
          </w:p>
        </w:tc>
        <w:tc>
          <w:tcPr>
            <w:tcW w:w="20" w:type="dxa"/>
            <w:vAlign w:val="bottom"/>
          </w:tcPr>
          <w:p>
            <w:pPr>
              <w:spacing w:after="0"/>
              <w:rPr>
                <w:sz w:val="10"/>
                <w:szCs w:val="10"/>
                <w:color w:val="auto"/>
              </w:rPr>
            </w:pPr>
          </w:p>
        </w:tc>
      </w:tr>
      <w:tr>
        <w:trPr>
          <w:trHeight w:val="148"/>
        </w:trPr>
        <w:tc>
          <w:tcPr>
            <w:tcW w:w="4380" w:type="dxa"/>
            <w:vAlign w:val="bottom"/>
            <w:gridSpan w:val="3"/>
          </w:tcPr>
          <w:p>
            <w:pPr>
              <w:spacing w:after="0"/>
              <w:rPr>
                <w:sz w:val="20"/>
                <w:szCs w:val="20"/>
                <w:color w:val="auto"/>
              </w:rPr>
            </w:pPr>
            <w:r>
              <w:rPr>
                <w:rFonts w:ascii="Arial" w:cs="Arial" w:eastAsia="Arial" w:hAnsi="Arial"/>
                <w:sz w:val="12"/>
                <w:szCs w:val="12"/>
                <w:color w:val="auto"/>
              </w:rPr>
              <w:t>Wilton Brands,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08/30/2018</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YP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06/04/2018</w:t>
            </w:r>
          </w:p>
        </w:tc>
      </w:tr>
      <w:tr>
        <w:trPr>
          <w:trHeight w:val="270"/>
        </w:trPr>
        <w:tc>
          <w:tcPr>
            <w:tcW w:w="4380" w:type="dxa"/>
            <w:vAlign w:val="bottom"/>
            <w:gridSpan w:val="3"/>
          </w:tcPr>
          <w:p>
            <w:pPr>
              <w:spacing w:after="0"/>
              <w:rPr>
                <w:sz w:val="20"/>
                <w:szCs w:val="20"/>
                <w:color w:val="auto"/>
              </w:rPr>
            </w:pPr>
            <w:r>
              <w:rPr>
                <w:rFonts w:ascii="Arial" w:cs="Arial" w:eastAsia="Arial" w:hAnsi="Arial"/>
                <w:sz w:val="12"/>
                <w:szCs w:val="12"/>
                <w:color w:val="auto"/>
              </w:rPr>
              <w:t>Zest Holdings,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08/17/2020</w:t>
            </w: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Debt—17.0%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09/01/2017</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Cannery Casino Resorts, LLC </w:t>
            </w:r>
            <w:r>
              <w:rPr>
                <w:rFonts w:ascii="Arial" w:cs="Arial" w:eastAsia="Arial" w:hAnsi="Arial"/>
                <w:sz w:val="9"/>
                <w:szCs w:val="9"/>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10/02/2019</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Carolina Beverage Group, LLC </w:t>
            </w:r>
            <w:r>
              <w:rPr>
                <w:rFonts w:ascii="Arial" w:cs="Arial" w:eastAsia="Arial" w:hAnsi="Arial"/>
                <w:sz w:val="9"/>
                <w:szCs w:val="9"/>
                <w:color w:val="auto"/>
              </w:rPr>
              <w:t>(5), (8)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08/01/2018</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07/31/2019</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Language Line,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12/20/2016</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Novitex Acquisition, LLC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07/07/2021</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10/02/2020</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08/01/2017</w:t>
            </w: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Notes—3.3% </w:t>
            </w:r>
            <w:r>
              <w:rPr>
                <w:rFonts w:ascii="Arial" w:cs="Arial" w:eastAsia="Arial" w:hAnsi="Arial"/>
                <w:sz w:val="9"/>
                <w:szCs w:val="9"/>
                <w:b w:val="1"/>
                <w:bCs w:val="1"/>
                <w:color w:val="auto"/>
              </w:rPr>
              <w:t>(8)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09/14/2018</w:t>
            </w:r>
          </w:p>
        </w:tc>
      </w:tr>
      <w:tr>
        <w:trPr>
          <w:trHeight w:val="284"/>
        </w:trPr>
        <w:tc>
          <w:tcPr>
            <w:tcW w:w="4380" w:type="dxa"/>
            <w:vAlign w:val="bottom"/>
            <w:gridSpan w:val="3"/>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08/15/2018</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Credit Infonet, Inc.</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10/26/2018</w:t>
            </w:r>
          </w:p>
        </w:tc>
      </w:tr>
      <w:tr>
        <w:trPr>
          <w:trHeight w:val="311"/>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Equity—0.2% </w:t>
            </w:r>
            <w:r>
              <w:rPr>
                <w:rFonts w:ascii="Arial" w:cs="Arial" w:eastAsia="Arial" w:hAnsi="Arial"/>
                <w:sz w:val="9"/>
                <w:szCs w:val="9"/>
                <w:b w:val="1"/>
                <w:bCs w:val="1"/>
                <w:color w:val="auto"/>
              </w:rPr>
              <w:t>(7), (8)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4380" w:type="dxa"/>
            <w:vAlign w:val="bottom"/>
            <w:gridSpan w:val="3"/>
          </w:tcPr>
          <w:p>
            <w:pPr>
              <w:spacing w:after="0" w:line="136" w:lineRule="exact"/>
              <w:rPr>
                <w:sz w:val="20"/>
                <w:szCs w:val="20"/>
                <w:color w:val="auto"/>
              </w:rPr>
            </w:pPr>
            <w:r>
              <w:rPr>
                <w:rFonts w:ascii="Arial" w:cs="Arial" w:eastAsia="Arial" w:hAnsi="Arial"/>
                <w:sz w:val="12"/>
                <w:szCs w:val="12"/>
                <w:color w:val="auto"/>
              </w:rPr>
              <w:t>J.A. Cosmetics US, Inc.</w:t>
            </w:r>
          </w:p>
        </w:tc>
        <w:tc>
          <w:tcPr>
            <w:tcW w:w="72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r>
      <w:tr>
        <w:trPr>
          <w:trHeight w:val="148"/>
        </w:trPr>
        <w:tc>
          <w:tcPr>
            <w:tcW w:w="20" w:type="dxa"/>
            <w:vAlign w:val="bottom"/>
          </w:tcPr>
          <w:p>
            <w:pPr>
              <w:spacing w:after="0"/>
              <w:rPr>
                <w:sz w:val="12"/>
                <w:szCs w:val="12"/>
                <w:color w:val="auto"/>
              </w:rPr>
            </w:pPr>
          </w:p>
        </w:tc>
        <w:tc>
          <w:tcPr>
            <w:tcW w:w="4360" w:type="dxa"/>
            <w:vAlign w:val="bottom"/>
            <w:gridSpan w:val="2"/>
          </w:tcPr>
          <w:p>
            <w:pPr>
              <w:ind w:left="100"/>
              <w:spacing w:after="0"/>
              <w:rPr>
                <w:sz w:val="20"/>
                <w:szCs w:val="20"/>
                <w:color w:val="auto"/>
              </w:rPr>
            </w:pPr>
            <w:r>
              <w:rPr>
                <w:rFonts w:ascii="Arial" w:cs="Arial" w:eastAsia="Arial" w:hAnsi="Arial"/>
                <w:sz w:val="12"/>
                <w:szCs w:val="12"/>
                <w:color w:val="auto"/>
              </w:rPr>
              <w:t>(J.A. Cosmetics Holdings, Inc.)</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Equity/Warrants—0.9% </w:t>
            </w:r>
            <w:r>
              <w:rPr>
                <w:rFonts w:ascii="Arial" w:cs="Arial" w:eastAsia="Arial" w:hAnsi="Arial"/>
                <w:sz w:val="9"/>
                <w:szCs w:val="9"/>
                <w:b w:val="1"/>
                <w:bCs w:val="1"/>
                <w:color w:val="auto"/>
              </w:rPr>
              <w:t>(7), (8)</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Affinion Group Holdings, Inc., Series A (Warrants)</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12/12/2023</w:t>
            </w: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color w:val="auto"/>
              </w:rPr>
              <w:t>Affinion Group Holdings, Inc., Series B (Warrants)</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12/12/2023</w:t>
            </w:r>
          </w:p>
        </w:tc>
      </w:tr>
      <w:tr>
        <w:trPr>
          <w:trHeight w:val="135"/>
        </w:trPr>
        <w:tc>
          <w:tcPr>
            <w:tcW w:w="4380" w:type="dxa"/>
            <w:vAlign w:val="bottom"/>
            <w:gridSpan w:val="3"/>
          </w:tcPr>
          <w:p>
            <w:pPr>
              <w:spacing w:after="0" w:line="136" w:lineRule="exact"/>
              <w:rPr>
                <w:sz w:val="20"/>
                <w:szCs w:val="20"/>
                <w:color w:val="auto"/>
              </w:rPr>
            </w:pPr>
            <w:r>
              <w:rPr>
                <w:rFonts w:ascii="Arial" w:cs="Arial" w:eastAsia="Arial" w:hAnsi="Arial"/>
                <w:sz w:val="12"/>
                <w:szCs w:val="12"/>
                <w:color w:val="auto"/>
              </w:rPr>
              <w:t>J.A. Cosmetics US, Inc.</w:t>
            </w:r>
          </w:p>
        </w:tc>
        <w:tc>
          <w:tcPr>
            <w:tcW w:w="72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(J.A. Cosmetics Holdings, Inc.)</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380" w:type="dxa"/>
            <w:vAlign w:val="bottom"/>
            <w:gridSpan w:val="3"/>
          </w:tcPr>
          <w:p>
            <w:pPr>
              <w:spacing w:after="0" w:line="135" w:lineRule="exact"/>
              <w:rPr>
                <w:sz w:val="20"/>
                <w:szCs w:val="20"/>
                <w:color w:val="auto"/>
              </w:rPr>
            </w:pPr>
            <w:r>
              <w:rPr>
                <w:rFonts w:ascii="Arial" w:cs="Arial" w:eastAsia="Arial" w:hAnsi="Arial"/>
                <w:sz w:val="12"/>
                <w:szCs w:val="12"/>
                <w:color w:val="auto"/>
              </w:rPr>
              <w:t>Patriot National, Inc.</w:t>
            </w: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11/27/2023</w:t>
            </w:r>
          </w:p>
        </w:tc>
      </w:tr>
      <w:tr>
        <w:trPr>
          <w:trHeight w:val="135"/>
        </w:trPr>
        <w:tc>
          <w:tcPr>
            <w:tcW w:w="20" w:type="dxa"/>
            <w:vAlign w:val="bottom"/>
          </w:tcPr>
          <w:p>
            <w:pPr>
              <w:spacing w:after="0"/>
              <w:rPr>
                <w:sz w:val="11"/>
                <w:szCs w:val="11"/>
                <w:color w:val="auto"/>
              </w:rPr>
            </w:pPr>
          </w:p>
        </w:tc>
        <w:tc>
          <w:tcPr>
            <w:tcW w:w="4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(f/k/a Old Guard Risk Services, Inc.) (Warrants)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4380" w:type="dxa"/>
            <w:vAlign w:val="bottom"/>
            <w:gridSpan w:val="3"/>
          </w:tcPr>
          <w:p>
            <w:pPr>
              <w:spacing w:after="0"/>
              <w:rPr>
                <w:sz w:val="20"/>
                <w:szCs w:val="20"/>
                <w:color w:val="auto"/>
              </w:rPr>
            </w:pPr>
            <w:r>
              <w:rPr>
                <w:rFonts w:ascii="Arial" w:cs="Arial" w:eastAsia="Arial" w:hAnsi="Arial"/>
                <w:sz w:val="12"/>
                <w:szCs w:val="12"/>
                <w:color w:val="auto"/>
              </w:rPr>
              <w:t>UniTek Global Services, Inc. (Warrants)</w:t>
            </w: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N/A</w:t>
            </w:r>
          </w:p>
        </w:tc>
      </w:tr>
      <w:tr>
        <w:trPr>
          <w:trHeight w:val="135"/>
        </w:trPr>
        <w:tc>
          <w:tcPr>
            <w:tcW w:w="4380" w:type="dxa"/>
            <w:vAlign w:val="bottom"/>
            <w:gridSpan w:val="3"/>
          </w:tcPr>
          <w:p>
            <w:pPr>
              <w:spacing w:after="0" w:line="136" w:lineRule="exact"/>
              <w:rPr>
                <w:sz w:val="20"/>
                <w:szCs w:val="20"/>
                <w:color w:val="auto"/>
              </w:rPr>
            </w:pPr>
            <w:r>
              <w:rPr>
                <w:rFonts w:ascii="Arial" w:cs="Arial" w:eastAsia="Arial" w:hAnsi="Arial"/>
                <w:sz w:val="12"/>
                <w:szCs w:val="12"/>
                <w:color w:val="auto"/>
              </w:rPr>
              <w:t>Vestcom Parent Holdings, Inc.</w:t>
            </w:r>
          </w:p>
        </w:tc>
        <w:tc>
          <w:tcPr>
            <w:tcW w:w="72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(Vestcom International, Inc.)</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4380" w:type="dxa"/>
            <w:vAlign w:val="bottom"/>
            <w:gridSpan w:val="3"/>
          </w:tcPr>
          <w:p>
            <w:pPr>
              <w:spacing w:after="0"/>
              <w:rPr>
                <w:sz w:val="20"/>
                <w:szCs w:val="20"/>
                <w:color w:val="auto"/>
              </w:rPr>
            </w:pPr>
            <w:r>
              <w:rPr>
                <w:rFonts w:ascii="Arial" w:cs="Arial" w:eastAsia="Arial" w:hAnsi="Arial"/>
                <w:sz w:val="12"/>
                <w:szCs w:val="12"/>
                <w:color w:val="auto"/>
              </w:rPr>
              <w:t>Z Wireless Holdings, Inc. (AKA Diversified</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10/21/2021</w:t>
            </w:r>
          </w:p>
        </w:tc>
      </w:tr>
    </w:tbl>
    <w:p>
      <w:pPr>
        <w:ind w:left="120"/>
        <w:spacing w:after="0"/>
        <w:rPr>
          <w:sz w:val="20"/>
          <w:szCs w:val="20"/>
          <w:color w:val="auto"/>
        </w:rPr>
      </w:pPr>
      <w:r>
        <w:rPr>
          <w:rFonts w:ascii="Arial" w:cs="Arial" w:eastAsia="Arial" w:hAnsi="Arial"/>
          <w:sz w:val="12"/>
          <w:szCs w:val="12"/>
          <w:color w:val="auto"/>
        </w:rPr>
        <w:t>Holdings, Inc.) (Warrants)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Common Equity/Warrants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Equivalents—6.1%</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BlackRock Liquidity Funds, Temp Cash and Temp Fund, Institutional Shares</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Investments and Cash Equivalents—168.5%</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Liabilities in Excess of Other Assets—(68.5)%</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Assets—100.0%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Spread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00" w:type="dxa"/>
            <w:vAlign w:val="bottom"/>
            <w:vMerge w:val="restart"/>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1"/>
              </w:rPr>
              <w:t>Above</w:t>
            </w: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Coupon</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00" w:type="dxa"/>
            <w:vAlign w:val="bottom"/>
          </w:tcPr>
          <w:p>
            <w:pPr>
              <w:jc w:val="center"/>
              <w:spacing w:after="0" w:line="122" w:lineRule="exact"/>
              <w:rPr>
                <w:sz w:val="20"/>
                <w:szCs w:val="20"/>
                <w:color w:val="auto"/>
              </w:rPr>
            </w:pPr>
            <w:r>
              <w:rPr>
                <w:rFonts w:ascii="Arial" w:cs="Arial" w:eastAsia="Arial" w:hAnsi="Arial"/>
                <w:sz w:val="12"/>
                <w:szCs w:val="12"/>
                <w:color w:val="auto"/>
                <w:w w:val="85"/>
              </w:rPr>
              <w:t>Business Services</w:t>
            </w:r>
          </w:p>
        </w:tc>
        <w:tc>
          <w:tcPr>
            <w:tcW w:w="10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Arial" w:cs="Arial" w:eastAsia="Arial" w:hAnsi="Arial"/>
                <w:sz w:val="12"/>
                <w:szCs w:val="12"/>
                <w:color w:val="auto"/>
              </w:rPr>
              <w:t>7.26%</w:t>
            </w:r>
          </w:p>
        </w:tc>
        <w:tc>
          <w:tcPr>
            <w:tcW w:w="580" w:type="dxa"/>
            <w:vAlign w:val="bottom"/>
          </w:tcPr>
          <w:p>
            <w:pPr>
              <w:jc w:val="right"/>
              <w:spacing w:after="0" w:line="122" w:lineRule="exact"/>
              <w:rPr>
                <w:sz w:val="20"/>
                <w:szCs w:val="20"/>
                <w:color w:val="auto"/>
              </w:rPr>
            </w:pPr>
            <w:r>
              <w:rPr>
                <w:rFonts w:ascii="Arial" w:cs="Arial" w:eastAsia="Arial" w:hAnsi="Arial"/>
                <w:sz w:val="12"/>
                <w:szCs w:val="12"/>
                <w:color w:val="auto"/>
              </w:rPr>
              <w:t>L+550</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2"/>
                <w:szCs w:val="12"/>
                <w:color w:val="auto"/>
              </w:rPr>
              <w:t>2,925,663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2" w:lineRule="exact"/>
              <w:rPr>
                <w:sz w:val="20"/>
                <w:szCs w:val="20"/>
                <w:color w:val="auto"/>
              </w:rPr>
            </w:pPr>
            <w:r>
              <w:rPr>
                <w:rFonts w:ascii="Arial" w:cs="Arial" w:eastAsia="Arial" w:hAnsi="Arial"/>
                <w:sz w:val="12"/>
                <w:szCs w:val="12"/>
                <w:color w:val="auto"/>
              </w:rPr>
              <w:t>2,915,553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line="122" w:lineRule="exact"/>
              <w:rPr>
                <w:sz w:val="20"/>
                <w:szCs w:val="20"/>
                <w:color w:val="auto"/>
              </w:rPr>
            </w:pPr>
            <w:r>
              <w:rPr>
                <w:rFonts w:ascii="Arial" w:cs="Arial" w:eastAsia="Arial" w:hAnsi="Arial"/>
                <w:sz w:val="12"/>
                <w:szCs w:val="12"/>
                <w:color w:val="auto"/>
              </w:rPr>
              <w:t>2,157,677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7.50%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L+625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3,017,653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2,977,186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2,844,138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L+675</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3,224,845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3,160,701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3,230,907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5.25%</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L+425</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8,910,169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8,910,169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8,910,169</w:t>
            </w: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86"/>
              </w:rPr>
              <w:t>302,889,195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302,565,355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Metals and Mining</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11.50%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1,000,000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1,080,000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Hotel, Gaming and Leisure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10.00%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1,700,000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1,675,421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1,687,250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10.63%</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3,500,000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3,500,000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3,613,750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11.00%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L+1,000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4,000,000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3,926,394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4,059,524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Consumer Services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10.50%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7,100,000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7,026,077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7,023,107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100"/>
              <w:spacing w:after="0" w:line="136"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11.75%</w:t>
            </w:r>
          </w:p>
        </w:tc>
        <w:tc>
          <w:tcPr>
            <w:tcW w:w="74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L+1,050</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w w:val="89"/>
              </w:rPr>
              <w:t>11,000,000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96"/>
              </w:rPr>
              <w:t>10,893,446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10,780,000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Media: Diversified and Production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9.00%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L+775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5,600,000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5,527,495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5,593,000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Energy: Oil and Gas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10.00%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2,812,500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2,645,114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2,638,153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6"/>
              </w:rPr>
              <w:t>36,193,947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36,474,784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14.50%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4,161,233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3,639,478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3,537,048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w w:val="96"/>
              </w:rPr>
              <w:t>(PIK 14.50 %)</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13.50%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1,734,000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1,734,000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1,612,620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12.50%</w:t>
            </w: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1,993,762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1,961,974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1,924,017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color w:val="auto"/>
              </w:rPr>
              <w:t>(PIK 1.25 %)</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7,335,452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7,073,685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8.00%</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color w:val="auto"/>
              </w:rPr>
              <w:t>399,704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421,215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554,715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1,186,649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1,040,091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1,135,743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22,715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296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58,055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7,403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color w:val="auto"/>
              </w:rPr>
              <w:t>151,853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399,833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Estate</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ind w:left="4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6"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56,717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95,285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Publishing</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15,179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56,895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244,631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Retail</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color w:val="auto"/>
              </w:rPr>
              <w:t>45,019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121,889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1,535,997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1,893,453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348,354,295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348,428,492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6"/>
              </w:rPr>
              <w:t>13,113,817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13,113,817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361,468,112</w:t>
            </w:r>
          </w:p>
        </w:tc>
        <w:tc>
          <w:tcPr>
            <w:tcW w:w="200" w:type="dxa"/>
            <w:vAlign w:val="bottom"/>
          </w:tcPr>
          <w:p>
            <w:pPr>
              <w:spacing w:after="0"/>
              <w:rPr>
                <w:sz w:val="13"/>
                <w:szCs w:val="13"/>
                <w:color w:val="auto"/>
              </w:rPr>
            </w:pP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361,542,309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2"/>
                <w:szCs w:val="12"/>
                <w:color w:val="auto"/>
                <w:w w:val="88"/>
              </w:rPr>
              <w:t>(147,014,599)</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2"/>
              </w:rPr>
              <w:t>214,527,710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-4356100</wp:posOffset>
            </wp:positionV>
            <wp:extent cx="724662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-4167505</wp:posOffset>
            </wp:positionV>
            <wp:extent cx="72466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-3884295</wp:posOffset>
            </wp:positionV>
            <wp:extent cx="7246620" cy="946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-3678555</wp:posOffset>
            </wp:positionV>
            <wp:extent cx="724662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-3489960</wp:posOffset>
            </wp:positionV>
            <wp:extent cx="7246620"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-3301365</wp:posOffset>
            </wp:positionV>
            <wp:extent cx="7246620" cy="946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-3112135</wp:posOffset>
            </wp:positionV>
            <wp:extent cx="724662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-2906395</wp:posOffset>
            </wp:positionV>
            <wp:extent cx="7246620" cy="94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-2700655</wp:posOffset>
            </wp:positionV>
            <wp:extent cx="7246620"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-2426335</wp:posOffset>
            </wp:positionV>
            <wp:extent cx="724662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-2117725</wp:posOffset>
            </wp:positionV>
            <wp:extent cx="724662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-1834515</wp:posOffset>
            </wp:positionV>
            <wp:extent cx="7246620" cy="946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-1645920</wp:posOffset>
            </wp:positionV>
            <wp:extent cx="724662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-1379855</wp:posOffset>
            </wp:positionV>
            <wp:extent cx="724662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-1114425</wp:posOffset>
            </wp:positionV>
            <wp:extent cx="72466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-753745</wp:posOffset>
            </wp:positionV>
            <wp:extent cx="724662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-548005</wp:posOffset>
            </wp:positionV>
            <wp:extent cx="7246620" cy="946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-342265</wp:posOffset>
            </wp:positionV>
            <wp:extent cx="7246620" cy="94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-119380</wp:posOffset>
            </wp:positionV>
            <wp:extent cx="724662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080" w:space="200"/>
            <w:col w:w="6140"/>
          </w:cols>
          <w:pgMar w:left="240" w:top="459" w:right="239" w:bottom="1440" w:gutter="0" w:footer="0" w:header="0"/>
          <w:type w:val="continuous"/>
        </w:sectPr>
      </w:pPr>
    </w:p>
    <w:p>
      <w:pPr>
        <w:ind w:left="340" w:right="380" w:hanging="332"/>
        <w:spacing w:after="0" w:line="243"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2"/>
          <w:szCs w:val="12"/>
          <w:color w:val="auto"/>
        </w:rPr>
      </w:pPr>
    </w:p>
    <w:p>
      <w:pPr>
        <w:ind w:left="340" w:right="20" w:hanging="332"/>
        <w:spacing w:after="0" w:line="234"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27" w:lineRule="exact"/>
        <w:rPr>
          <w:rFonts w:ascii="Arial" w:cs="Arial" w:eastAsia="Arial" w:hAnsi="Arial"/>
          <w:sz w:val="12"/>
          <w:szCs w:val="12"/>
          <w:color w:val="auto"/>
        </w:rPr>
      </w:pPr>
    </w:p>
    <w:p>
      <w:pPr>
        <w:ind w:left="340" w:hanging="332"/>
        <w:spacing w:after="0"/>
        <w:tabs>
          <w:tab w:leader="none" w:pos="3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2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00" w:type="dxa"/>
            <w:vAlign w:val="bottom"/>
            <w:gridSpan w:val="2"/>
            <w:vMerge w:val="continue"/>
          </w:tcPr>
          <w:p>
            <w:pPr>
              <w:spacing w:after="0"/>
              <w:rPr>
                <w:sz w:val="12"/>
                <w:szCs w:val="12"/>
                <w:color w:val="auto"/>
              </w:rPr>
            </w:pPr>
          </w:p>
        </w:tc>
        <w:tc>
          <w:tcPr>
            <w:tcW w:w="100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940" w:type="dxa"/>
            <w:vAlign w:val="bottom"/>
            <w:gridSpan w:val="2"/>
          </w:tcPr>
          <w:p>
            <w:pPr>
              <w:ind w:left="28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6"/>
              </w:rPr>
              <w:t xml:space="preserve">Investments in Non-Controlled, Non-Affiliated Portfolio Companies—151.3% </w:t>
            </w:r>
            <w:r>
              <w:rPr>
                <w:rFonts w:ascii="Arial" w:cs="Arial" w:eastAsia="Arial" w:hAnsi="Arial"/>
                <w:sz w:val="9"/>
                <w:szCs w:val="9"/>
                <w:b w:val="1"/>
                <w:bCs w:val="1"/>
                <w:color w:val="auto"/>
                <w:w w:val="96"/>
              </w:rPr>
              <w:t>(3),(4)</w:t>
            </w:r>
          </w:p>
        </w:tc>
        <w:tc>
          <w:tcPr>
            <w:tcW w:w="1000" w:type="dxa"/>
            <w:vAlign w:val="bottom"/>
            <w:tcBorders>
              <w:top w:val="single" w:sz="8" w:color="auto"/>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Debt—133.8%</w:t>
            </w:r>
          </w:p>
        </w:tc>
        <w:tc>
          <w:tcPr>
            <w:tcW w:w="10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1000" w:type="dxa"/>
            <w:vAlign w:val="bottom"/>
          </w:tcPr>
          <w:p>
            <w:pPr>
              <w:ind w:left="400"/>
              <w:spacing w:after="0" w:line="129" w:lineRule="exact"/>
              <w:rPr>
                <w:sz w:val="20"/>
                <w:szCs w:val="20"/>
                <w:color w:val="auto"/>
              </w:rPr>
            </w:pPr>
            <w:r>
              <w:rPr>
                <w:rFonts w:ascii="Arial" w:cs="Arial" w:eastAsia="Arial" w:hAnsi="Arial"/>
                <w:sz w:val="12"/>
                <w:szCs w:val="12"/>
                <w:color w:val="auto"/>
                <w:w w:val="96"/>
              </w:rPr>
              <w:t>12/21/2016</w:t>
            </w:r>
          </w:p>
        </w:tc>
        <w:tc>
          <w:tcPr>
            <w:tcW w:w="174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1"/>
              </w:rPr>
              <w:t>Retail</w:t>
            </w:r>
          </w:p>
        </w:tc>
        <w:tc>
          <w:tcPr>
            <w:tcW w:w="8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(9)</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L+1,225</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2,728,141</w:t>
            </w:r>
          </w:p>
        </w:tc>
        <w:tc>
          <w:tcPr>
            <w:tcW w:w="94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  2,684,231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2,755,278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Arial" w:cs="Arial" w:eastAsia="Arial" w:hAnsi="Arial"/>
                <w:sz w:val="12"/>
                <w:szCs w:val="12"/>
                <w:color w:val="auto"/>
              </w:rPr>
              <w:t>(PIK 1.50%)</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ALG USA Holdings, LLC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02/28/2019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8,457,500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8,394,246</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8,457,500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05/23/2018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1,995,000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1,976,374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1,980,037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AMF Bowling Centers, Inc.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06/29/2018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Retail</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7,950,000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7,711,500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7,870,500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Ancile Solutions,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07/16/2018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4,951,516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ARC Automotive Group,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11/15/2018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3"/>
              </w:rPr>
              <w:t>Automotive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2,530,875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2,510,159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Aspen Dental Management,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10/06/2016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2,947,500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2,916,715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2,829,600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ATI Holdings,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12/20/2019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2,977,500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2,951,133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2,999,831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BBB Industries,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03/27/2019</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93"/>
              </w:rPr>
              <w:t>Automotive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2,925,000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2,903,031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2,917,687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BBTS Borrower LP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06/04/2019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Energy: Oil and Gas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6,965,000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6,899,024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7,034,650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Bellisio Foods,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08/01/2019</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85"/>
              </w:rPr>
              <w:t>Beverage, Food and Tobacco</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4,237,288</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4,216,574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4,216,102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Bellisio Foods, Inc. </w:t>
            </w:r>
            <w:r>
              <w:rPr>
                <w:rFonts w:ascii="Arial" w:cs="Arial" w:eastAsia="Arial" w:hAnsi="Arial"/>
                <w:sz w:val="9"/>
                <w:szCs w:val="9"/>
                <w:color w:val="auto"/>
              </w:rPr>
              <w:t>(10)</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08/01/2019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Beverage, Food and Tobacco</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(9)</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762,712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759,021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758,898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BioScrip,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07/31/2020</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1,970,525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07/02/2020</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4,950,774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Cetera Financial Group, Inc. </w:t>
            </w:r>
            <w:r>
              <w:rPr>
                <w:rFonts w:ascii="Arial" w:cs="Arial" w:eastAsia="Arial" w:hAnsi="Arial"/>
                <w:sz w:val="9"/>
                <w:szCs w:val="9"/>
                <w:color w:val="auto"/>
              </w:rPr>
              <w:t>(8)</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3"/>
              </w:rPr>
              <w:t>08/07/2019  Banking, Finance and Real Estate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4,902,298</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4,954,150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CPG International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09/30/2020</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L+375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4,975,000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Cydcor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06/12/2017</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9.75%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1,958,125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1,958,125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1,958,125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DCS Business Services,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03/19/2018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3,603,061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3,554,898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3,603,061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Document Technologies,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12/03/2018</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961,264</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954,199</w:t>
            </w: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961,263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EAG, Inc.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07/28/2017</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888,721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888,721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888,721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Edmenturn, Inc.</w:t>
            </w:r>
          </w:p>
        </w:tc>
        <w:tc>
          <w:tcPr>
            <w:tcW w:w="1000" w:type="dxa"/>
            <w:vAlign w:val="bottom"/>
          </w:tcPr>
          <w:p>
            <w:pPr>
              <w:ind w:left="400"/>
              <w:spacing w:after="0" w:line="129" w:lineRule="exact"/>
              <w:rPr>
                <w:sz w:val="20"/>
                <w:szCs w:val="20"/>
                <w:color w:val="auto"/>
              </w:rPr>
            </w:pPr>
            <w:r>
              <w:rPr>
                <w:rFonts w:ascii="Arial" w:cs="Arial" w:eastAsia="Arial" w:hAnsi="Arial"/>
                <w:sz w:val="12"/>
                <w:szCs w:val="12"/>
                <w:color w:val="auto"/>
                <w:w w:val="96"/>
              </w:rPr>
              <w:t>05/17/2018</w:t>
            </w:r>
          </w:p>
        </w:tc>
        <w:tc>
          <w:tcPr>
            <w:tcW w:w="1740" w:type="dxa"/>
            <w:vAlign w:val="bottom"/>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6.00%</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938,438</w:t>
            </w:r>
          </w:p>
        </w:tc>
        <w:tc>
          <w:tcPr>
            <w:tcW w:w="94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938,438</w:t>
            </w:r>
          </w:p>
        </w:tc>
        <w:tc>
          <w:tcPr>
            <w:tcW w:w="6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941,563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87"/>
              </w:rPr>
              <w:t>Subscription</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EIG Investors Corp.</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11/12/2019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2,209,435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2,191,417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2,216,350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Emerald Performance Materials, LLC</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6"/>
              </w:rPr>
              <w:t>05/18/2018   Chemicals, Plastics and Rubber</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2,469,992</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2,451,906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2,482,342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eResearchtechnology,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05/02/2018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2,970,056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2,955,416</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2,970,056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FHC Health Systems,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01/09/2018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4,937,500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4,890,024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4,962,187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Fishnet Security,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11/30/2017</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3,647,438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3,623,608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3,632,228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1000" w:type="dxa"/>
            <w:vAlign w:val="bottom"/>
          </w:tcPr>
          <w:p>
            <w:pPr>
              <w:ind w:left="400"/>
              <w:spacing w:after="0" w:line="129" w:lineRule="exact"/>
              <w:rPr>
                <w:sz w:val="20"/>
                <w:szCs w:val="20"/>
                <w:color w:val="auto"/>
              </w:rPr>
            </w:pPr>
            <w:r>
              <w:rPr>
                <w:rFonts w:ascii="Arial" w:cs="Arial" w:eastAsia="Arial" w:hAnsi="Arial"/>
                <w:sz w:val="12"/>
                <w:szCs w:val="12"/>
                <w:color w:val="auto"/>
                <w:w w:val="96"/>
              </w:rPr>
              <w:t>05/23/2018</w:t>
            </w:r>
          </w:p>
        </w:tc>
        <w:tc>
          <w:tcPr>
            <w:tcW w:w="1740" w:type="dxa"/>
            <w:vAlign w:val="bottom"/>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6.75%</w:t>
            </w:r>
          </w:p>
        </w:tc>
        <w:tc>
          <w:tcPr>
            <w:tcW w:w="80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2,985,000</w:t>
            </w:r>
          </w:p>
        </w:tc>
        <w:tc>
          <w:tcPr>
            <w:tcW w:w="94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2,978,216</w:t>
            </w: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2,987,478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87"/>
              </w:rPr>
              <w:t>Subscription</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Graton Economic Development Authority </w:t>
            </w:r>
            <w:r>
              <w:rPr>
                <w:rFonts w:ascii="Arial" w:cs="Arial" w:eastAsia="Arial" w:hAnsi="Arial"/>
                <w:sz w:val="9"/>
                <w:szCs w:val="9"/>
                <w:color w:val="auto"/>
              </w:rPr>
              <w:t>(5), (8)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09/02/2019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9.63%</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GSE Environmental,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05/27/2016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Environmental Industries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8.99%</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2,934,372</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2,926,116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2,567,575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GSE Environmental, Inc. </w:t>
            </w:r>
            <w:r>
              <w:rPr>
                <w:rFonts w:ascii="Arial" w:cs="Arial" w:eastAsia="Arial" w:hAnsi="Arial"/>
                <w:sz w:val="9"/>
                <w:szCs w:val="9"/>
                <w:color w:val="auto"/>
              </w:rPr>
              <w:t>(8), (10)</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10/31/2013</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Environmental Industries</w:t>
            </w:r>
          </w:p>
        </w:tc>
        <w:tc>
          <w:tcPr>
            <w:tcW w:w="8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175,657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175,657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Help/Systems Holdings, Inc.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06/28/2019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9"/>
              </w:rPr>
              <w:t>High Tech Industries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4,952,010</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Howard Berger Co. LLC</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08/03/2017</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Wholesale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2,585,993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2,555,979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2,456,693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 (8)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03/30/2017</w:t>
            </w:r>
          </w:p>
        </w:tc>
        <w:tc>
          <w:tcPr>
            <w:tcW w:w="1740" w:type="dxa"/>
            <w:vAlign w:val="bottom"/>
          </w:tcPr>
          <w:p>
            <w:pPr>
              <w:jc w:val="center"/>
              <w:ind w:right="2"/>
              <w:spacing w:after="0"/>
              <w:rPr>
                <w:sz w:val="20"/>
                <w:szCs w:val="20"/>
                <w:color w:val="auto"/>
              </w:rPr>
            </w:pPr>
            <w:r>
              <w:rPr>
                <w:rFonts w:ascii="Arial" w:cs="Arial" w:eastAsia="Arial" w:hAnsi="Arial"/>
                <w:sz w:val="12"/>
                <w:szCs w:val="12"/>
                <w:color w:val="auto"/>
                <w:w w:val="93"/>
              </w:rPr>
              <w:t>Automotive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11.50%</w:t>
            </w:r>
          </w:p>
        </w:tc>
        <w:tc>
          <w:tcPr>
            <w:tcW w:w="8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1,969,758</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05/01/2019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8,775,000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8,632,866</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InfuSystem Holdings,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11/30/2016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11.95%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P+625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2,175,000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2,175,000</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2,195,331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Instant Web, Inc. </w:t>
            </w:r>
            <w:r>
              <w:rPr>
                <w:rFonts w:ascii="Arial" w:cs="Arial" w:eastAsia="Arial" w:hAnsi="Arial"/>
                <w:sz w:val="9"/>
                <w:szCs w:val="9"/>
                <w:color w:val="auto"/>
              </w:rPr>
              <w:t>(8)</w:t>
            </w:r>
          </w:p>
        </w:tc>
        <w:tc>
          <w:tcPr>
            <w:tcW w:w="100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w w:val="96"/>
              </w:rPr>
              <w:t>08/07/2014</w:t>
            </w:r>
          </w:p>
        </w:tc>
        <w:tc>
          <w:tcPr>
            <w:tcW w:w="17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8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3.55%</w:t>
            </w:r>
            <w:r>
              <w:rPr>
                <w:rFonts w:ascii="Arial" w:cs="Arial" w:eastAsia="Arial" w:hAnsi="Arial"/>
                <w:sz w:val="9"/>
                <w:szCs w:val="9"/>
                <w:color w:val="auto"/>
              </w:rPr>
              <w:t>(9)</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L+338</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6,836,389</w:t>
            </w:r>
          </w:p>
        </w:tc>
        <w:tc>
          <w:tcPr>
            <w:tcW w:w="9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6,698,584</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5,469,111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Jackson Hewitt Tax Service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10/16/2017</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L+850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5,521,875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5,406,642</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5,439,047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JHCI Acquisition,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07/11/2019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Transportation: Cargo</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1,995,000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1,965,824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1,981,454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6"/>
              </w:rPr>
              <w:t>08/19/2019   Chemicals, Plastics and Rubber</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L+900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6,157,648</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6,034,495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6,065,283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11/30/2018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5,985,000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5,900,289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5,865,300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Meritas Schools Holdings,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06/25/2019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2,992,500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2,963,605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2,987,503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Milk Specialties Company</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11/09/2018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Consumer Goods: Non-Durable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3,383,000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3,354,728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3,374,542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Mood Media Corporation </w:t>
            </w:r>
            <w:r>
              <w:rPr>
                <w:rFonts w:ascii="Arial" w:cs="Arial" w:eastAsia="Arial" w:hAnsi="Arial"/>
                <w:sz w:val="9"/>
                <w:szCs w:val="9"/>
                <w:color w:val="auto"/>
              </w:rPr>
              <w:t>(6)</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4"/>
              </w:rPr>
              <w:t>05/07/2018  Media: Diversified and Production</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2,348,510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2,344,859</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2,345,574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NAB Holdings, LLC</w:t>
            </w:r>
          </w:p>
        </w:tc>
        <w:tc>
          <w:tcPr>
            <w:tcW w:w="274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w w:val="94"/>
              </w:rPr>
              <w:t>04/24/2018   Banking, Finance, Insurance and</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7.00%</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937,500</w:t>
            </w:r>
          </w:p>
        </w:tc>
        <w:tc>
          <w:tcPr>
            <w:tcW w:w="9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926,724</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941,016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Real Estate</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National Surgical Hospitals,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08/01/2019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6,500,000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6,436,491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6,475,625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New Trident HoldCorp,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07/31/2019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6.50%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99"/>
              </w:rPr>
              <w:t>10,000,000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9,903,508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Northfield Park Associates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12/19/2018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4,500,000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4,421,591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4,635,000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OCI Beaumont LLC, Term B-1 Loan</w:t>
            </w:r>
          </w:p>
        </w:tc>
        <w:tc>
          <w:tcPr>
            <w:tcW w:w="27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w w:val="96"/>
              </w:rPr>
              <w:t>08/20/2019   Chemicals, Plastics and Rubber</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3,125,000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3,079,073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OCI Beaumont LLC, Term B-2 Loan</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6"/>
              </w:rPr>
              <w:t>08/20/2019   Chemicals, Plastics and Rubber</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5,875,000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5,788,657</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5,875,000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Orbitz Worldwide, Inc., Term Loan 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03/25/2019</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Transportation: Consumer</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3,990,000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3,990,000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4,003,287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Packaging Coordinators, Inc.</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3"/>
              </w:rPr>
              <w:t>05/11/2020   Containers, Packaging and Glass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5.50%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2,500,000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2,488,883</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Paladin Brands Holding,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08/16/2019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Capital Equipment</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2,956,071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2,964,390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Pelican Products, Inc.</w:t>
            </w:r>
          </w:p>
        </w:tc>
        <w:tc>
          <w:tcPr>
            <w:tcW w:w="2740" w:type="dxa"/>
            <w:vAlign w:val="bottom"/>
            <w:gridSpan w:val="2"/>
          </w:tcPr>
          <w:p>
            <w:pPr>
              <w:ind w:left="400"/>
              <w:spacing w:after="0"/>
              <w:rPr>
                <w:sz w:val="20"/>
                <w:szCs w:val="20"/>
                <w:color w:val="auto"/>
              </w:rPr>
            </w:pPr>
            <w:r>
              <w:rPr>
                <w:rFonts w:ascii="Arial" w:cs="Arial" w:eastAsia="Arial" w:hAnsi="Arial"/>
                <w:sz w:val="12"/>
                <w:szCs w:val="12"/>
                <w:color w:val="auto"/>
                <w:w w:val="93"/>
              </w:rPr>
              <w:t>07/11/2018   Containers, Packaging and Glass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1,481,250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1,456,674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1,473,844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274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w w:val="94"/>
              </w:rPr>
              <w:t>08/01/2014  Media: Diversified and Production</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7,517,838</w:t>
            </w:r>
          </w:p>
        </w:tc>
        <w:tc>
          <w:tcPr>
            <w:tcW w:w="9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7,234,538</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7,433,263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(PIK 2.00%)</w:t>
            </w: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Polyconcept Finance B.V.</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06/28/2019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Consumer Goods: Non-Durable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6.00%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7,832,755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7,757,882</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7,744,636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Premier Dental Services,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11/01/2018</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3,374,503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3,286,903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3,382,939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 xml:space="preserve">RiverBoat Corporation of Mississippi </w:t>
            </w:r>
            <w:r>
              <w:rPr>
                <w:rFonts w:ascii="Arial" w:cs="Arial" w:eastAsia="Arial" w:hAnsi="Arial"/>
                <w:sz w:val="9"/>
                <w:szCs w:val="9"/>
                <w:color w:val="auto"/>
              </w:rPr>
              <w:t>(8)</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11/29/2016</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L+875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4,250,000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4,188,136</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Sabre Industries,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08/24/2018</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Construction and Building</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4,972,500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4,923,269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5,009,794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SCE Partners, LLC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08/14/2019</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Hotel, Gaming and Leisure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8.25%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w w:val="99"/>
              </w:rPr>
              <w:t>12,000,000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11,881,935</w:t>
            </w: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11,880,000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Securus Technologies Holdings,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04/30/2020</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Telecommunications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4.75%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L+350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2,000,000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1,981,121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04/21/2017</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7.50%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2,646,725</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2,629,647</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2,382,052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St. George’s University Scholastic Services LLC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12/20/2017</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Consumer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8.50%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1,948,471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1,915,350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1,955,778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Surgical Specialties Corporation (US), Inc.</w:t>
            </w:r>
          </w:p>
        </w:tc>
        <w:tc>
          <w:tcPr>
            <w:tcW w:w="1000" w:type="dxa"/>
            <w:vAlign w:val="bottom"/>
          </w:tcPr>
          <w:p>
            <w:pPr>
              <w:ind w:left="400"/>
              <w:spacing w:after="0"/>
              <w:rPr>
                <w:sz w:val="20"/>
                <w:szCs w:val="20"/>
                <w:color w:val="auto"/>
              </w:rPr>
            </w:pPr>
            <w:r>
              <w:rPr>
                <w:rFonts w:ascii="Arial" w:cs="Arial" w:eastAsia="Arial" w:hAnsi="Arial"/>
                <w:sz w:val="12"/>
                <w:szCs w:val="12"/>
                <w:color w:val="auto"/>
                <w:w w:val="96"/>
              </w:rPr>
              <w:t>08/22/2018</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3,555,000</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3,520,302</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3,590,550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Sutherland Global Services, Inc.</w:t>
            </w:r>
          </w:p>
        </w:tc>
        <w:tc>
          <w:tcPr>
            <w:tcW w:w="10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6"/>
              </w:rPr>
              <w:t>03/06/2019</w:t>
            </w:r>
          </w:p>
        </w:tc>
        <w:tc>
          <w:tcPr>
            <w:tcW w:w="174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975,000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957,196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971,344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Basis Point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Par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40" w:type="dxa"/>
            <w:vAlign w:val="bottom"/>
            <w:gridSpan w:val="3"/>
            <w:vMerge w:val="continue"/>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Coupon</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79"/>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The National Underwriter Company</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05/31/2018</w:t>
            </w:r>
          </w:p>
        </w:tc>
        <w:tc>
          <w:tcPr>
            <w:tcW w:w="100" w:type="dxa"/>
            <w:vAlign w:val="bottom"/>
            <w:tcBorders>
              <w:top w:val="single" w:sz="8" w:color="CCEEFF"/>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w w:val="90"/>
              </w:rPr>
              <w:t>Media: Advertising, Printing and</w:t>
            </w: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20"/>
              <w:spacing w:after="0" w:line="122" w:lineRule="exact"/>
              <w:rPr>
                <w:sz w:val="20"/>
                <w:szCs w:val="20"/>
                <w:color w:val="auto"/>
              </w:rPr>
            </w:pPr>
            <w:r>
              <w:rPr>
                <w:rFonts w:ascii="Arial" w:cs="Arial" w:eastAsia="Arial" w:hAnsi="Arial"/>
                <w:sz w:val="12"/>
                <w:szCs w:val="12"/>
                <w:color w:val="auto"/>
                <w:w w:val="76"/>
              </w:rPr>
              <w:t>6.00</w:t>
            </w:r>
          </w:p>
        </w:tc>
        <w:tc>
          <w:tcPr>
            <w:tcW w:w="260" w:type="dxa"/>
            <w:vAlign w:val="bottom"/>
            <w:tcBorders>
              <w:top w:val="single" w:sz="8" w:color="CCEEFF"/>
            </w:tcBorders>
            <w:shd w:val="clear" w:color="auto" w:fill="CCEEFF"/>
          </w:tcPr>
          <w:p>
            <w:pPr>
              <w:jc w:val="right"/>
              <w:ind w:right="102"/>
              <w:spacing w:after="0" w:line="122" w:lineRule="exact"/>
              <w:rPr>
                <w:sz w:val="20"/>
                <w:szCs w:val="20"/>
                <w:color w:val="auto"/>
              </w:rPr>
            </w:pPr>
            <w:r>
              <w:rPr>
                <w:rFonts w:ascii="Arial" w:cs="Arial" w:eastAsia="Arial" w:hAnsi="Arial"/>
                <w:sz w:val="12"/>
                <w:szCs w:val="12"/>
                <w:color w:val="auto"/>
                <w:w w:val="74"/>
              </w:rPr>
              <w:t>%</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L+475</w:t>
            </w: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4,415,625</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4,374,813</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4,393,547</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Therakos, Inc.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12/27/2017</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7.50%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L+625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2,977,500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2,899,121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2,973,778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04/16/2018</w:t>
            </w:r>
          </w:p>
        </w:tc>
        <w:tc>
          <w:tcPr>
            <w:tcW w:w="162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15.00%</w:t>
            </w: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L+1,350</w:t>
            </w: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2,112,349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2,074,200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2,096,507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Univita Health Inc.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06/19/2017</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6.50%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L+500</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2,932,500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2,912,802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2,800,538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Viamedia Services Corp.</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04/19/2016</w:t>
            </w:r>
          </w:p>
        </w:tc>
        <w:tc>
          <w:tcPr>
            <w:tcW w:w="162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91"/>
              </w:rPr>
              <w:t>Media: Advertising, Printing</w:t>
            </w:r>
          </w:p>
        </w:tc>
        <w:tc>
          <w:tcPr>
            <w:tcW w:w="780" w:type="dxa"/>
            <w:vAlign w:val="bottom"/>
            <w:gridSpan w:val="2"/>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7.00%</w:t>
            </w: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L+550</w:t>
            </w: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3,304,277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3,280,480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3,304,277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and</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Virtual Radiologic Corporation </w:t>
            </w:r>
            <w:r>
              <w:rPr>
                <w:rFonts w:ascii="Arial" w:cs="Arial" w:eastAsia="Arial" w:hAnsi="Arial"/>
                <w:sz w:val="9"/>
                <w:szCs w:val="9"/>
                <w:color w:val="auto"/>
              </w:rPr>
              <w:t>(8)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12/22/2016</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7.25%</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L+550</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2,932,500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2,916,949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1,847,475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Wilton Brands, LLC </w:t>
            </w:r>
            <w:r>
              <w:rPr>
                <w:rFonts w:ascii="Arial" w:cs="Arial" w:eastAsia="Arial" w:hAnsi="Arial"/>
                <w:sz w:val="9"/>
                <w:szCs w:val="9"/>
                <w:color w:val="auto"/>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08/30/2018</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7.50%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L+625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3,230,000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3,177,789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3,165,400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YP LLC </w:t>
            </w:r>
            <w:r>
              <w:rPr>
                <w:rFonts w:ascii="Arial" w:cs="Arial" w:eastAsia="Arial" w:hAnsi="Arial"/>
                <w:sz w:val="9"/>
                <w:szCs w:val="9"/>
                <w:color w:val="auto"/>
              </w:rPr>
              <w:t>(8)</w:t>
            </w: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06/04/2018</w:t>
            </w:r>
          </w:p>
        </w:tc>
        <w:tc>
          <w:tcPr>
            <w:tcW w:w="162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1"/>
              </w:rPr>
              <w:t>Media: Advertising, Printing</w:t>
            </w:r>
          </w:p>
        </w:tc>
        <w:tc>
          <w:tcPr>
            <w:tcW w:w="780" w:type="dxa"/>
            <w:vAlign w:val="bottom"/>
            <w:gridSpan w:val="2"/>
          </w:tcPr>
          <w:p>
            <w:pPr>
              <w:jc w:val="right"/>
              <w:ind w:right="102"/>
              <w:spacing w:after="0" w:line="129" w:lineRule="exact"/>
              <w:rPr>
                <w:sz w:val="20"/>
                <w:szCs w:val="20"/>
                <w:color w:val="auto"/>
              </w:rPr>
            </w:pPr>
            <w:r>
              <w:rPr>
                <w:rFonts w:ascii="Arial" w:cs="Arial" w:eastAsia="Arial" w:hAnsi="Arial"/>
                <w:sz w:val="12"/>
                <w:szCs w:val="12"/>
                <w:color w:val="auto"/>
              </w:rPr>
              <w:t>8.06%</w:t>
            </w:r>
          </w:p>
        </w:tc>
        <w:tc>
          <w:tcPr>
            <w:tcW w:w="8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L+675</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5,085,000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4,964,517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5,046,863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and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Zest Anchors, LLC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08/17/2020</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6.50%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L+550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9,000,000</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8,822,056</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8,887,500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281,260,179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281,046,248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Debt—13.1%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09/01/2017</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Metals and Mining</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11.50%</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3,067,500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Arsloane Acquisition, LLC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10/01/2020</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11.75%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L+1,050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4,983,350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Brand Energy and Infrastructure Services, Inc. </w:t>
            </w:r>
            <w:r>
              <w:rPr>
                <w:rFonts w:ascii="Arial" w:cs="Arial" w:eastAsia="Arial" w:hAnsi="Arial"/>
                <w:sz w:val="9"/>
                <w:szCs w:val="9"/>
                <w:color w:val="auto"/>
              </w:rPr>
              <w:t>(8)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10/23/2019</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88"/>
              </w:rPr>
              <w:t>Energy: Oil and Gas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11.00%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L+975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1,906,607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1,861,523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1,946,322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Cannery Casino Resorts, LLC </w:t>
            </w:r>
            <w:r>
              <w:rPr>
                <w:rFonts w:ascii="Arial" w:cs="Arial" w:eastAsia="Arial" w:hAnsi="Arial"/>
                <w:sz w:val="9"/>
                <w:szCs w:val="9"/>
                <w:color w:val="auto"/>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10/02/2019</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1,671,746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1,576,750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Carolina Beverage Group, LLC </w:t>
            </w:r>
            <w:r>
              <w:rPr>
                <w:rFonts w:ascii="Arial" w:cs="Arial" w:eastAsia="Arial" w:hAnsi="Arial"/>
                <w:sz w:val="9"/>
                <w:szCs w:val="9"/>
                <w:color w:val="auto"/>
              </w:rPr>
              <w:t>(5), (8)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08/01/2018</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10.63%</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3,500,000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3,578,750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Gastar Exploration USA, Inc. </w:t>
            </w:r>
            <w:r>
              <w:rPr>
                <w:rFonts w:ascii="Arial" w:cs="Arial" w:eastAsia="Arial" w:hAnsi="Arial"/>
                <w:sz w:val="9"/>
                <w:szCs w:val="9"/>
                <w:color w:val="auto"/>
              </w:rPr>
              <w:t>(5), (8)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05/15/2018</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8"/>
              </w:rPr>
              <w:t>Energy: Oil and Gas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8.63%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1,890,000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ILC Industries, LLC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06/14/2019</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11.50%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L+1,000</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1,920,000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Language Line, LLC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12/20/2016</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10.50%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6,998,223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6,981,643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 xml:space="preserve">Seven Seas Cruises </w:t>
            </w:r>
            <w:r>
              <w:rPr>
                <w:rFonts w:ascii="Arial" w:cs="Arial" w:eastAsia="Arial" w:hAnsi="Arial"/>
                <w:sz w:val="9"/>
                <w:szCs w:val="9"/>
                <w:color w:val="auto"/>
              </w:rPr>
              <w:t>(5), (6), (8)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05/15/2019</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9.13%</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1,500,000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27,351,492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27,499,315</w:t>
            </w:r>
          </w:p>
        </w:tc>
        <w:tc>
          <w:tcPr>
            <w:tcW w:w="0" w:type="dxa"/>
            <w:vAlign w:val="bottom"/>
          </w:tcPr>
          <w:p>
            <w:pPr>
              <w:spacing w:after="0"/>
              <w:rPr>
                <w:sz w:val="1"/>
                <w:szCs w:val="1"/>
                <w:color w:val="auto"/>
              </w:rPr>
            </w:pPr>
          </w:p>
        </w:tc>
      </w:tr>
      <w:tr>
        <w:trPr>
          <w:trHeight w:val="149"/>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Notes—4.3% </w:t>
            </w:r>
            <w:r>
              <w:rPr>
                <w:rFonts w:ascii="Arial" w:cs="Arial" w:eastAsia="Arial" w:hAnsi="Arial"/>
                <w:sz w:val="9"/>
                <w:szCs w:val="9"/>
                <w:b w:val="1"/>
                <w:bCs w:val="1"/>
                <w:color w:val="auto"/>
              </w:rPr>
              <w:t>(8)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11/15/2015</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11.63%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4,100,000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3,873,657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2,357,500</w:t>
            </w:r>
          </w:p>
        </w:tc>
        <w:tc>
          <w:tcPr>
            <w:tcW w:w="0" w:type="dxa"/>
            <w:vAlign w:val="bottom"/>
          </w:tcPr>
          <w:p>
            <w:pPr>
              <w:spacing w:after="0"/>
              <w:rPr>
                <w:sz w:val="1"/>
                <w:szCs w:val="1"/>
                <w:color w:val="auto"/>
              </w:rPr>
            </w:pPr>
          </w:p>
        </w:tc>
      </w:tr>
      <w:tr>
        <w:trPr>
          <w:trHeight w:val="250"/>
        </w:trPr>
        <w:tc>
          <w:tcPr>
            <w:tcW w:w="4540" w:type="dxa"/>
            <w:vAlign w:val="bottom"/>
            <w:gridSpan w:val="3"/>
          </w:tcPr>
          <w:p>
            <w:pPr>
              <w:spacing w:after="0"/>
              <w:rPr>
                <w:sz w:val="20"/>
                <w:szCs w:val="20"/>
                <w:color w:val="auto"/>
              </w:rPr>
            </w:pPr>
            <w:r>
              <w:rPr>
                <w:rFonts w:ascii="Arial" w:cs="Arial" w:eastAsia="Arial" w:hAnsi="Arial"/>
                <w:sz w:val="12"/>
                <w:szCs w:val="12"/>
                <w:color w:val="auto"/>
              </w:rPr>
              <w:t>Credit Infonet, Inc.</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10/26/2018</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02"/>
              <w:spacing w:after="0"/>
              <w:rPr>
                <w:sz w:val="20"/>
                <w:szCs w:val="20"/>
                <w:color w:val="auto"/>
              </w:rPr>
            </w:pPr>
            <w:r>
              <w:rPr>
                <w:rFonts w:ascii="Arial" w:cs="Arial" w:eastAsia="Arial" w:hAnsi="Arial"/>
                <w:sz w:val="12"/>
                <w:szCs w:val="12"/>
                <w:color w:val="auto"/>
              </w:rPr>
              <w:t>12.25%</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1,987,500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1,949,883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1,997,517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Varel International Energy Mezzanine Funding Corp.</w:t>
            </w: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01/15/2018</w:t>
            </w:r>
          </w:p>
        </w:tc>
        <w:tc>
          <w:tcPr>
            <w:tcW w:w="1620" w:type="dxa"/>
            <w:vAlign w:val="bottom"/>
            <w:gridSpan w:val="2"/>
            <w:shd w:val="clear" w:color="auto" w:fill="CCEEFF"/>
          </w:tcPr>
          <w:p>
            <w:pPr>
              <w:jc w:val="center"/>
              <w:ind w:right="60"/>
              <w:spacing w:after="0" w:line="136" w:lineRule="exact"/>
              <w:rPr>
                <w:sz w:val="20"/>
                <w:szCs w:val="20"/>
                <w:color w:val="auto"/>
              </w:rPr>
            </w:pPr>
            <w:r>
              <w:rPr>
                <w:rFonts w:ascii="Arial" w:cs="Arial" w:eastAsia="Arial" w:hAnsi="Arial"/>
                <w:sz w:val="12"/>
                <w:szCs w:val="12"/>
                <w:color w:val="auto"/>
                <w:w w:val="88"/>
              </w:rPr>
              <w:t>Energy: Oil and Gas</w:t>
            </w:r>
          </w:p>
        </w:tc>
        <w:tc>
          <w:tcPr>
            <w:tcW w:w="780" w:type="dxa"/>
            <w:vAlign w:val="bottom"/>
            <w:gridSpan w:val="2"/>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14.00%</w:t>
            </w:r>
          </w:p>
        </w:tc>
        <w:tc>
          <w:tcPr>
            <w:tcW w:w="8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1,810,934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1,780,211</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1,793,834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gridSpan w:val="2"/>
          </w:tcPr>
          <w:p>
            <w:pPr>
              <w:spacing w:after="0" w:line="129" w:lineRule="exact"/>
              <w:rPr>
                <w:sz w:val="20"/>
                <w:szCs w:val="20"/>
                <w:color w:val="auto"/>
              </w:rPr>
            </w:pPr>
            <w:r>
              <w:rPr>
                <w:rFonts w:ascii="Arial" w:cs="Arial" w:eastAsia="Arial" w:hAnsi="Arial"/>
                <w:sz w:val="12"/>
                <w:szCs w:val="12"/>
                <w:color w:val="auto"/>
              </w:rPr>
              <w:t>Vestcom International, Inc.</w:t>
            </w: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06/27/2019</w:t>
            </w:r>
          </w:p>
        </w:tc>
        <w:tc>
          <w:tcPr>
            <w:tcW w:w="162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gridSpan w:val="2"/>
          </w:tcPr>
          <w:p>
            <w:pPr>
              <w:jc w:val="right"/>
              <w:ind w:right="102"/>
              <w:spacing w:after="0" w:line="129" w:lineRule="exact"/>
              <w:rPr>
                <w:sz w:val="20"/>
                <w:szCs w:val="20"/>
                <w:color w:val="auto"/>
              </w:rPr>
            </w:pPr>
            <w:r>
              <w:rPr>
                <w:rFonts w:ascii="Arial" w:cs="Arial" w:eastAsia="Arial" w:hAnsi="Arial"/>
                <w:sz w:val="12"/>
                <w:szCs w:val="12"/>
                <w:color w:val="auto"/>
              </w:rPr>
              <w:t>12.00%</w:t>
            </w: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2,859,027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2,806,095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2,854,319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10,409,846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9,003,170</w:t>
            </w:r>
          </w:p>
        </w:tc>
        <w:tc>
          <w:tcPr>
            <w:tcW w:w="0" w:type="dxa"/>
            <w:vAlign w:val="bottom"/>
          </w:tcPr>
          <w:p>
            <w:pPr>
              <w:spacing w:after="0"/>
              <w:rPr>
                <w:sz w:val="1"/>
                <w:szCs w:val="1"/>
                <w:color w:val="auto"/>
              </w:rPr>
            </w:pPr>
          </w:p>
        </w:tc>
      </w:tr>
      <w:tr>
        <w:trPr>
          <w:trHeight w:val="149"/>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Equity/Warrants—0.1%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UniTek Global Services, Inc. (Warrants)</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56,717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95,284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66,926</w:t>
            </w:r>
          </w:p>
        </w:tc>
        <w:tc>
          <w:tcPr>
            <w:tcW w:w="0" w:type="dxa"/>
            <w:vAlign w:val="bottom"/>
          </w:tcPr>
          <w:p>
            <w:pPr>
              <w:spacing w:after="0"/>
              <w:rPr>
                <w:sz w:val="1"/>
                <w:szCs w:val="1"/>
                <w:color w:val="auto"/>
              </w:rPr>
            </w:pPr>
          </w:p>
        </w:tc>
      </w:tr>
      <w:tr>
        <w:trPr>
          <w:trHeight w:val="237"/>
        </w:trPr>
        <w:tc>
          <w:tcPr>
            <w:tcW w:w="4540" w:type="dxa"/>
            <w:vAlign w:val="bottom"/>
            <w:gridSpan w:val="3"/>
          </w:tcPr>
          <w:p>
            <w:pPr>
              <w:spacing w:after="0"/>
              <w:rPr>
                <w:sz w:val="20"/>
                <w:szCs w:val="20"/>
                <w:color w:val="auto"/>
              </w:rPr>
            </w:pPr>
            <w:r>
              <w:rPr>
                <w:rFonts w:ascii="Arial" w:cs="Arial" w:eastAsia="Arial" w:hAnsi="Arial"/>
                <w:sz w:val="12"/>
                <w:szCs w:val="12"/>
                <w:color w:val="auto"/>
              </w:rPr>
              <w:t>Vestcom Parent Holdings, Inc.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Media: Advertising, Printing and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tcPr>
          <w:p>
            <w:pPr>
              <w:ind w:left="100"/>
              <w:spacing w:after="0"/>
              <w:rPr>
                <w:sz w:val="20"/>
                <w:szCs w:val="20"/>
                <w:color w:val="auto"/>
              </w:rPr>
            </w:pPr>
            <w:r>
              <w:rPr>
                <w:rFonts w:ascii="Arial" w:cs="Arial" w:eastAsia="Arial" w:hAnsi="Arial"/>
                <w:sz w:val="12"/>
                <w:szCs w:val="12"/>
                <w:color w:val="auto"/>
              </w:rPr>
              <w:t>(Vestcom International, Inc.)</w:t>
            </w:r>
          </w:p>
        </w:tc>
        <w:tc>
          <w:tcPr>
            <w:tcW w:w="8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62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780" w:type="dxa"/>
            <w:vAlign w:val="bottom"/>
            <w:gridSpan w:val="2"/>
          </w:tcPr>
          <w:p>
            <w:pPr>
              <w:jc w:val="right"/>
              <w:ind w:right="18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15,179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166,667</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188,235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261,951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255,161</w:t>
            </w:r>
          </w:p>
        </w:tc>
        <w:tc>
          <w:tcPr>
            <w:tcW w:w="0" w:type="dxa"/>
            <w:vAlign w:val="bottom"/>
          </w:tcPr>
          <w:p>
            <w:pPr>
              <w:spacing w:after="0"/>
              <w:rPr>
                <w:sz w:val="1"/>
                <w:szCs w:val="1"/>
                <w:color w:val="auto"/>
              </w:rPr>
            </w:pPr>
          </w:p>
        </w:tc>
      </w:tr>
      <w:tr>
        <w:trPr>
          <w:trHeight w:val="149"/>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319,283,468</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317,803,894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Equivalents—2.2%</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2,747,327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2,747,327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BlackRock Liquidity Funds, Temp Fund, Institutional Shares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1,830,922</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1,830,922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3"/>
          </w:tcPr>
          <w:p>
            <w:pPr>
              <w:spacing w:after="0"/>
              <w:rPr>
                <w:sz w:val="20"/>
                <w:szCs w:val="20"/>
                <w:color w:val="auto"/>
              </w:rPr>
            </w:pPr>
            <w:r>
              <w:rPr>
                <w:rFonts w:ascii="Arial" w:cs="Arial" w:eastAsia="Arial" w:hAnsi="Arial"/>
                <w:sz w:val="12"/>
                <w:szCs w:val="12"/>
                <w:b w:val="1"/>
                <w:bCs w:val="1"/>
                <w:color w:val="auto"/>
              </w:rPr>
              <w:t>Total Cash Equivalents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4,578,249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Equivalents—153.5%</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323,861,717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322,382,143</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Assets—(53.5)%</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54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(112,315,749)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210,066,394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52"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hanging="332"/>
        <w:spacing w:after="0" w:line="252"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20" w:lineRule="exact"/>
        <w:rPr>
          <w:rFonts w:ascii="Arial" w:cs="Arial" w:eastAsia="Arial" w:hAnsi="Arial"/>
          <w:sz w:val="12"/>
          <w:szCs w:val="12"/>
          <w:color w:val="auto"/>
        </w:rPr>
      </w:pPr>
    </w:p>
    <w:p>
      <w:pPr>
        <w:ind w:left="340" w:right="20" w:hanging="332"/>
        <w:spacing w:after="0" w:line="252" w:lineRule="auto"/>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 This security does not have a basis point spread above an index.</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67" w:lineRule="exact"/>
        <w:rPr>
          <w:sz w:val="20"/>
          <w:szCs w:val="20"/>
          <w:color w:val="auto"/>
        </w:rPr>
      </w:pPr>
    </w:p>
    <w:p>
      <w:pPr>
        <w:ind w:right="220" w:firstLine="685"/>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3" w:lineRule="exact"/>
        <w:rPr>
          <w:sz w:val="20"/>
          <w:szCs w:val="20"/>
          <w:color w:val="auto"/>
        </w:rPr>
      </w:pPr>
    </w:p>
    <w:p>
      <w:pPr>
        <w:ind w:right="60" w:firstLine="685"/>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58" w:lineRule="exact"/>
        <w:rPr>
          <w:sz w:val="20"/>
          <w:szCs w:val="20"/>
          <w:color w:val="auto"/>
        </w:rPr>
      </w:pPr>
    </w:p>
    <w:p>
      <w:pPr>
        <w:ind w:right="880" w:firstLine="685"/>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133" w:lineRule="exact"/>
        <w:rPr>
          <w:sz w:val="20"/>
          <w:szCs w:val="20"/>
          <w:color w:val="auto"/>
        </w:rPr>
      </w:pPr>
    </w:p>
    <w:p>
      <w:pPr>
        <w:jc w:val="both"/>
        <w:ind w:right="60" w:firstLine="685"/>
        <w:spacing w:after="0" w:line="256"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10.</w:t>
      </w:r>
    </w:p>
    <w:p>
      <w:pPr>
        <w:spacing w:after="0" w:line="132" w:lineRule="exact"/>
        <w:rPr>
          <w:sz w:val="20"/>
          <w:szCs w:val="20"/>
          <w:color w:val="auto"/>
        </w:rPr>
      </w:pPr>
    </w:p>
    <w:p>
      <w:pPr>
        <w:ind w:right="360" w:firstLine="685"/>
        <w:spacing w:after="0" w:line="253" w:lineRule="auto"/>
        <w:rPr>
          <w:sz w:val="20"/>
          <w:szCs w:val="20"/>
          <w:color w:val="auto"/>
        </w:rPr>
      </w:pPr>
      <w:r>
        <w:rPr>
          <w:rFonts w:ascii="Arial" w:cs="Arial" w:eastAsia="Arial" w:hAnsi="Arial"/>
          <w:sz w:val="14"/>
          <w:szCs w:val="14"/>
          <w:color w:val="auto"/>
        </w:rPr>
        <w:t>In April 2011, we closed our initial public offering and our common stock trades on the NASDAQ Global Select Market under the symbol “PFLT.” From inception to date, we have issued 14,889,367 shares of common stock for gross proceeds of $216.2 million, or $207.5 million after deducting the sales load and underwriting expenses paid by us.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67" w:lineRule="exact"/>
        <w:rPr>
          <w:sz w:val="20"/>
          <w:szCs w:val="20"/>
          <w:color w:val="auto"/>
        </w:rPr>
      </w:pPr>
    </w:p>
    <w:p>
      <w:pPr>
        <w:ind w:right="40" w:firstLine="685"/>
        <w:spacing w:after="0" w:line="251"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50"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77" w:lineRule="exact"/>
        <w:rPr>
          <w:sz w:val="20"/>
          <w:szCs w:val="20"/>
          <w:color w:val="auto"/>
        </w:rPr>
      </w:pPr>
    </w:p>
    <w:p>
      <w:pPr>
        <w:ind w:right="20" w:firstLine="685"/>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8" w:lineRule="exact"/>
        <w:rPr>
          <w:sz w:val="20"/>
          <w:szCs w:val="20"/>
          <w:color w:val="auto"/>
        </w:rPr>
      </w:pPr>
    </w:p>
    <w:p>
      <w:pPr>
        <w:ind w:right="420" w:firstLine="685"/>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4" w:lineRule="exact"/>
        <w:rPr>
          <w:sz w:val="20"/>
          <w:szCs w:val="20"/>
          <w:color w:val="auto"/>
        </w:rPr>
      </w:pPr>
    </w:p>
    <w:p>
      <w:pPr>
        <w:ind w:left="900" w:hanging="446"/>
        <w:spacing w:after="0" w:line="253" w:lineRule="auto"/>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3" w:lineRule="exact"/>
        <w:rPr>
          <w:rFonts w:ascii="Arial" w:cs="Arial" w:eastAsia="Arial" w:hAnsi="Arial"/>
          <w:sz w:val="14"/>
          <w:szCs w:val="14"/>
          <w:color w:val="auto"/>
        </w:rPr>
      </w:pPr>
    </w:p>
    <w:p>
      <w:pPr>
        <w:ind w:left="900" w:hanging="446"/>
        <w:spacing w:after="0"/>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00" w:right="260" w:hanging="446"/>
        <w:spacing w:after="0" w:line="264" w:lineRule="auto"/>
        <w:tabs>
          <w:tab w:leader="none" w:pos="9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jc w:val="both"/>
        <w:ind w:left="900" w:right="320" w:hanging="446"/>
        <w:spacing w:after="0" w:line="238" w:lineRule="auto"/>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2" w:lineRule="exact"/>
        <w:rPr>
          <w:rFonts w:ascii="Arial" w:cs="Arial" w:eastAsia="Arial" w:hAnsi="Arial"/>
          <w:sz w:val="14"/>
          <w:szCs w:val="14"/>
          <w:color w:val="auto"/>
        </w:rPr>
      </w:pPr>
    </w:p>
    <w:p>
      <w:pPr>
        <w:ind w:left="900" w:right="320" w:hanging="446"/>
        <w:spacing w:after="0" w:line="253" w:lineRule="auto"/>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47" w:lineRule="exact"/>
        <w:rPr>
          <w:sz w:val="20"/>
          <w:szCs w:val="20"/>
          <w:color w:val="auto"/>
        </w:rPr>
      </w:pPr>
    </w:p>
    <w:p>
      <w:pPr>
        <w:ind w:right="100" w:firstLine="685"/>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63"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55"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45"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177" w:lineRule="exact"/>
        <w:rPr>
          <w:sz w:val="20"/>
          <w:szCs w:val="20"/>
          <w:color w:val="auto"/>
        </w:rPr>
      </w:pPr>
    </w:p>
    <w:p>
      <w:pPr>
        <w:ind w:right="80" w:firstLine="685"/>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an excise tax of $0.5 million, $0.1 million and less than $0.1 million for the years ended September 30, 2014, 2013 and 2012, respectively.</w:t>
      </w:r>
    </w:p>
    <w:p>
      <w:pPr>
        <w:spacing w:after="0" w:line="137" w:lineRule="exact"/>
        <w:rPr>
          <w:sz w:val="20"/>
          <w:szCs w:val="20"/>
          <w:color w:val="auto"/>
        </w:rPr>
      </w:pPr>
    </w:p>
    <w:p>
      <w:pPr>
        <w:jc w:val="both"/>
        <w:ind w:right="80" w:firstLine="685"/>
        <w:spacing w:after="0" w:line="234"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42"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63" w:lineRule="exact"/>
        <w:rPr>
          <w:sz w:val="20"/>
          <w:szCs w:val="20"/>
          <w:color w:val="auto"/>
        </w:rPr>
      </w:pPr>
    </w:p>
    <w:p>
      <w:pPr>
        <w:ind w:right="26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42" w:lineRule="exact"/>
        <w:rPr>
          <w:sz w:val="20"/>
          <w:szCs w:val="20"/>
          <w:color w:val="auto"/>
        </w:rPr>
      </w:pPr>
    </w:p>
    <w:p>
      <w:pPr>
        <w:ind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Consolidation</w:t>
      </w:r>
    </w:p>
    <w:p>
      <w:pPr>
        <w:spacing w:after="0" w:line="163" w:lineRule="exact"/>
        <w:rPr>
          <w:sz w:val="20"/>
          <w:szCs w:val="20"/>
          <w:color w:val="auto"/>
        </w:rPr>
      </w:pPr>
    </w:p>
    <w:p>
      <w:pPr>
        <w:ind w:right="12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77" w:lineRule="exact"/>
        <w:rPr>
          <w:sz w:val="20"/>
          <w:szCs w:val="20"/>
          <w:color w:val="auto"/>
        </w:rPr>
      </w:pPr>
    </w:p>
    <w:p>
      <w:pPr>
        <w:ind w:right="100" w:firstLine="685"/>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affiliate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81" w:lineRule="exact"/>
        <w:rPr>
          <w:sz w:val="20"/>
          <w:szCs w:val="20"/>
          <w:color w:val="auto"/>
        </w:rPr>
      </w:pPr>
    </w:p>
    <w:p>
      <w:pPr>
        <w:ind w:firstLine="685"/>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2014, 2013 and 2012, the Investment Adviser earned a base management fee of $3.7 million, $2.2 million and $1.5 million, respectively, from us.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163" w:lineRule="exact"/>
        <w:rPr>
          <w:sz w:val="20"/>
          <w:szCs w:val="20"/>
          <w:color w:val="auto"/>
        </w:rPr>
      </w:pPr>
    </w:p>
    <w:p>
      <w:pPr>
        <w:ind w:firstLine="571"/>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w:t>
      </w:r>
    </w:p>
    <w:p>
      <w:pPr>
        <w:spacing w:after="0" w:line="3"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2014, 2013 and 2012, the Investment Adviser earned $2.6 million, $1.5 million and $0.3 million, respectively, in incentive fees on net investment income from us.</w:t>
      </w:r>
    </w:p>
    <w:p>
      <w:pPr>
        <w:spacing w:after="0" w:line="145"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earned an incentive fee on capital gains of approximately $0.8 million, zero and zero, respectively, as calculated under the Investment Management Agreement (as described above).</w:t>
      </w:r>
    </w:p>
    <w:p>
      <w:pPr>
        <w:spacing w:after="0" w:line="157" w:lineRule="exact"/>
        <w:rPr>
          <w:sz w:val="20"/>
          <w:szCs w:val="20"/>
          <w:color w:val="auto"/>
        </w:rPr>
      </w:pPr>
    </w:p>
    <w:p>
      <w:pPr>
        <w:ind w:firstLine="571"/>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2014, 2013 and 2012 was $0.1 million, $0.4 million and $0.3 million, respectively.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2014.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years ended September 30, 2014, 2013 and 2012, the Investment Adviser was reimbursed approximately $0.5 million, $0.3 million and $0.2 million, respectively, from us, including expenses the Investment Adviser incurred on behalf of the Administrator, for services described above.</w:t>
      </w:r>
    </w:p>
    <w:p>
      <w:pPr>
        <w:spacing w:after="0" w:line="152" w:lineRule="exact"/>
        <w:rPr>
          <w:sz w:val="20"/>
          <w:szCs w:val="20"/>
          <w:color w:val="auto"/>
        </w:rPr>
      </w:pPr>
    </w:p>
    <w:p>
      <w:pPr>
        <w:ind w:right="20" w:firstLine="685"/>
        <w:spacing w:after="0" w:line="231" w:lineRule="auto"/>
        <w:rPr>
          <w:sz w:val="20"/>
          <w:szCs w:val="20"/>
          <w:color w:val="auto"/>
        </w:rPr>
      </w:pPr>
      <w:r>
        <w:rPr>
          <w:rFonts w:ascii="Arial" w:cs="Arial" w:eastAsia="Arial" w:hAnsi="Arial"/>
          <w:sz w:val="14"/>
          <w:szCs w:val="14"/>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quarter ended December 31, 2012 and repaid approximately $2.1 million to the Investment Adviser, who then purchased shares of our common stock in the secondary market.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81" w:lineRule="exact"/>
        <w:rPr>
          <w:sz w:val="20"/>
          <w:szCs w:val="20"/>
          <w:color w:val="auto"/>
        </w:rPr>
      </w:pPr>
    </w:p>
    <w:p>
      <w:pPr>
        <w:ind w:right="320" w:firstLine="685"/>
        <w:spacing w:after="0" w:line="253" w:lineRule="auto"/>
        <w:rPr>
          <w:sz w:val="20"/>
          <w:szCs w:val="20"/>
          <w:color w:val="auto"/>
        </w:rPr>
      </w:pPr>
      <w:r>
        <w:rPr>
          <w:rFonts w:ascii="Arial" w:cs="Arial" w:eastAsia="Arial" w:hAnsi="Arial"/>
          <w:sz w:val="14"/>
          <w:szCs w:val="14"/>
          <w:color w:val="auto"/>
        </w:rPr>
        <w:t>Purchases of investments, including PIK, for the years ended September 30, 2014, 2013 and 2012 totaled $248.8 million, $316.9 million and $128.8 million, respectively. Sales and repayments of investments for the same periods totaled $225.6 million, $174.9 million and $71.3 million, respectively.</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43"/>
        </w:trPr>
        <w:tc>
          <w:tcPr>
            <w:tcW w:w="5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Investment Classification</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2"/>
                <w:szCs w:val="12"/>
                <w:b w:val="1"/>
                <w:bCs w:val="1"/>
                <w:color w:val="auto"/>
              </w:rPr>
              <w:t>September 30, 2014</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2"/>
                <w:szCs w:val="12"/>
                <w:b w:val="1"/>
                <w:bCs w:val="1"/>
                <w:color w:val="auto"/>
              </w:rPr>
              <w:t>September 30, 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91"/>
              <w:spacing w:after="0"/>
              <w:rPr>
                <w:sz w:val="20"/>
                <w:szCs w:val="20"/>
                <w:color w:val="auto"/>
              </w:rPr>
            </w:pPr>
            <w:r>
              <w:rPr>
                <w:rFonts w:ascii="Arial" w:cs="Arial" w:eastAsia="Arial" w:hAnsi="Arial"/>
                <w:sz w:val="12"/>
                <w:szCs w:val="12"/>
                <w:b w:val="1"/>
                <w:bCs w:val="1"/>
                <w:color w:val="auto"/>
              </w:rPr>
              <w:t>Cost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0"/>
              <w:spacing w:after="0"/>
              <w:rPr>
                <w:sz w:val="20"/>
                <w:szCs w:val="20"/>
                <w:color w:val="auto"/>
              </w:rPr>
            </w:pPr>
            <w:r>
              <w:rPr>
                <w:rFonts w:ascii="Arial" w:cs="Arial" w:eastAsia="Arial" w:hAnsi="Arial"/>
                <w:sz w:val="12"/>
                <w:szCs w:val="12"/>
                <w:b w:val="1"/>
                <w:bCs w:val="1"/>
                <w:color w:val="auto"/>
              </w:rPr>
              <w:t>Fair Value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91"/>
              <w:spacing w:after="0"/>
              <w:rPr>
                <w:sz w:val="20"/>
                <w:szCs w:val="20"/>
                <w:color w:val="auto"/>
              </w:rPr>
            </w:pPr>
            <w:r>
              <w:rPr>
                <w:rFonts w:ascii="Arial" w:cs="Arial" w:eastAsia="Arial" w:hAnsi="Arial"/>
                <w:sz w:val="12"/>
                <w:szCs w:val="12"/>
                <w:b w:val="1"/>
                <w:bCs w:val="1"/>
                <w:color w:val="auto"/>
              </w:rPr>
              <w:t>Cost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302,889,195</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281,260,179</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36,193,947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27,351,492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27,499,315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7,335,452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10,409,846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9,003,170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261,951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348,354,295</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319,283,468</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317,803,894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4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4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361,468,112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361,542,309</w:t>
            </w:r>
          </w:p>
        </w:tc>
        <w:tc>
          <w:tcPr>
            <w:tcW w:w="5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323,861,717</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3780" w:type="dxa"/>
            <w:vAlign w:val="bottom"/>
            <w:gridSpan w:val="2"/>
          </w:tcPr>
          <w:p>
            <w:pPr>
              <w:spacing w:after="0"/>
              <w:rPr>
                <w:sz w:val="20"/>
                <w:szCs w:val="20"/>
                <w:color w:val="auto"/>
              </w:rPr>
            </w:pPr>
            <w:r>
              <w:rPr>
                <w:rFonts w:ascii="Arial" w:cs="Arial" w:eastAsia="Arial" w:hAnsi="Arial"/>
                <w:sz w:val="12"/>
                <w:szCs w:val="12"/>
                <w:b w:val="1"/>
                <w:bCs w:val="1"/>
                <w:color w:val="auto"/>
              </w:rPr>
              <w:t>Industry Classification</w:t>
            </w:r>
          </w:p>
        </w:tc>
        <w:tc>
          <w:tcPr>
            <w:tcW w:w="2660" w:type="dxa"/>
            <w:vAlign w:val="bottom"/>
          </w:tcPr>
          <w:p>
            <w:pPr>
              <w:spacing w:after="0"/>
              <w:rPr>
                <w:sz w:val="13"/>
                <w:szCs w:val="13"/>
                <w:color w:val="auto"/>
              </w:rPr>
            </w:pPr>
          </w:p>
        </w:tc>
        <w:tc>
          <w:tcPr>
            <w:tcW w:w="232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September 30, 2014</w:t>
            </w:r>
          </w:p>
        </w:tc>
        <w:tc>
          <w:tcPr>
            <w:tcW w:w="15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September 30,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6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16%</w:t>
            </w:r>
          </w:p>
        </w:tc>
        <w:tc>
          <w:tcPr>
            <w:tcW w:w="400" w:type="dxa"/>
            <w:vAlign w:val="bottom"/>
            <w:vMerge w:val="continue"/>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High Tech Industries</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Construction and Building</w:t>
            </w:r>
          </w:p>
        </w:tc>
        <w:tc>
          <w:tcPr>
            <w:tcW w:w="4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4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 and Mining</w:t>
            </w:r>
          </w:p>
        </w:tc>
        <w:tc>
          <w:tcPr>
            <w:tcW w:w="2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2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460" w:type="dxa"/>
            <w:vAlign w:val="bottom"/>
            <w:gridSpan w:val="2"/>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1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80" w:type="dxa"/>
            <w:vAlign w:val="bottom"/>
            <w:gridSpan w:val="4"/>
          </w:tcPr>
          <w:p>
            <w:pPr>
              <w:jc w:val="right"/>
              <w:ind w:right="3480"/>
              <w:spacing w:after="0"/>
              <w:rPr>
                <w:sz w:val="20"/>
                <w:szCs w:val="20"/>
                <w:color w:val="auto"/>
              </w:rPr>
            </w:pPr>
            <w:r>
              <w:rPr>
                <w:rFonts w:ascii="Arial" w:cs="Arial" w:eastAsia="Arial" w:hAnsi="Arial"/>
                <w:sz w:val="14"/>
                <w:szCs w:val="14"/>
                <w:color w:val="auto"/>
              </w:rPr>
              <w:t>F-18</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81" w:lineRule="exact"/>
        <w:rPr>
          <w:sz w:val="20"/>
          <w:szCs w:val="20"/>
          <w:color w:val="auto"/>
        </w:rPr>
      </w:pPr>
    </w:p>
    <w:p>
      <w:pPr>
        <w:ind w:right="160" w:firstLine="685"/>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00" w:right="620" w:hanging="823"/>
        <w:spacing w:after="0" w:line="238" w:lineRule="auto"/>
        <w:tabs>
          <w:tab w:leader="none" w:pos="13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2" w:lineRule="exact"/>
        <w:rPr>
          <w:sz w:val="20"/>
          <w:szCs w:val="20"/>
          <w:color w:val="auto"/>
        </w:rPr>
      </w:pPr>
    </w:p>
    <w:p>
      <w:pPr>
        <w:ind w:left="1400" w:right="1060" w:hanging="823"/>
        <w:spacing w:after="0" w:line="253" w:lineRule="auto"/>
        <w:tabs>
          <w:tab w:leader="none" w:pos="13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33" w:lineRule="exact"/>
        <w:rPr>
          <w:sz w:val="20"/>
          <w:szCs w:val="20"/>
          <w:color w:val="auto"/>
        </w:rPr>
      </w:pPr>
    </w:p>
    <w:p>
      <w:pPr>
        <w:ind w:right="120" w:firstLine="685"/>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41" w:lineRule="exact"/>
        <w:rPr>
          <w:sz w:val="20"/>
          <w:szCs w:val="20"/>
          <w:color w:val="auto"/>
        </w:rPr>
      </w:pPr>
    </w:p>
    <w:p>
      <w:pPr>
        <w:ind w:right="20" w:firstLine="571"/>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40" w:firstLine="685"/>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4"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years ended September 30, 2014 and 2013 has resulted in no and one reclassifications, respectively, from Level 3 to 2 as outlined in the table below.</w:t>
      </w:r>
    </w:p>
    <w:p>
      <w:pPr>
        <w:spacing w:after="0" w:line="155" w:lineRule="exact"/>
        <w:rPr>
          <w:sz w:val="20"/>
          <w:szCs w:val="20"/>
          <w:color w:val="auto"/>
        </w:rPr>
      </w:pPr>
    </w:p>
    <w:p>
      <w:pPr>
        <w:ind w:right="140" w:firstLine="685"/>
        <w:spacing w:after="0" w:line="291"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0" w:lineRule="exact"/>
        <w:rPr>
          <w:sz w:val="20"/>
          <w:szCs w:val="20"/>
          <w:color w:val="auto"/>
        </w:rPr>
      </w:pPr>
    </w:p>
    <w:p>
      <w:pPr>
        <w:ind w:right="120" w:firstLine="685"/>
        <w:spacing w:after="0" w:line="234"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42" w:lineRule="exact"/>
        <w:rPr>
          <w:sz w:val="20"/>
          <w:szCs w:val="20"/>
          <w:color w:val="auto"/>
        </w:rPr>
      </w:pPr>
    </w:p>
    <w:p>
      <w:pPr>
        <w:ind w:firstLine="571"/>
        <w:spacing w:after="0" w:line="246"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 Category</w:t>
            </w:r>
          </w:p>
        </w:tc>
        <w:tc>
          <w:tcPr>
            <w:tcW w:w="160" w:type="dxa"/>
            <w:vAlign w:val="bottom"/>
          </w:tcPr>
          <w:p>
            <w:pPr>
              <w:spacing w:after="0"/>
              <w:rPr>
                <w:sz w:val="12"/>
                <w:szCs w:val="12"/>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Fair Value as of</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0"/>
              </w:rPr>
              <w:t>Range of Input</w:t>
            </w:r>
          </w:p>
        </w:tc>
        <w:tc>
          <w:tcPr>
            <w:tcW w:w="0" w:type="dxa"/>
            <w:vAlign w:val="bottom"/>
          </w:tcPr>
          <w:p>
            <w:pPr>
              <w:spacing w:after="0"/>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September 30, 2014</w:t>
            </w:r>
          </w:p>
        </w:tc>
        <w:tc>
          <w:tcPr>
            <w:tcW w:w="1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Valuation Technique</w:t>
            </w:r>
          </w:p>
        </w:tc>
        <w:tc>
          <w:tcPr>
            <w:tcW w:w="1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Unobservable Input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w:t>
            </w:r>
          </w:p>
        </w:tc>
        <w:tc>
          <w:tcPr>
            <w:tcW w:w="0" w:type="dxa"/>
            <w:vAlign w:val="bottom"/>
          </w:tcPr>
          <w:p>
            <w:pPr>
              <w:spacing w:after="0"/>
              <w:rPr>
                <w:sz w:val="1"/>
                <w:szCs w:val="1"/>
                <w:color w:val="auto"/>
              </w:rPr>
            </w:pPr>
          </w:p>
        </w:tc>
      </w:tr>
      <w:tr>
        <w:trPr>
          <w:trHeight w:val="142"/>
        </w:trPr>
        <w:tc>
          <w:tcPr>
            <w:tcW w:w="4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282,659,683</w:t>
            </w:r>
          </w:p>
        </w:tc>
        <w:tc>
          <w:tcPr>
            <w:tcW w:w="3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5120" w:type="dxa"/>
            <w:vAlign w:val="bottom"/>
            <w:gridSpan w:val="2"/>
          </w:tcPr>
          <w:p>
            <w:pPr>
              <w:spacing w:after="0" w:line="130"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1"/>
                <w:szCs w:val="11"/>
                <w:color w:val="auto"/>
              </w:rPr>
            </w:pPr>
          </w:p>
        </w:tc>
        <w:tc>
          <w:tcPr>
            <w:tcW w:w="16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58,304,473</w:t>
            </w:r>
          </w:p>
        </w:tc>
        <w:tc>
          <w:tcPr>
            <w:tcW w:w="17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4"/>
              </w:rPr>
              <w:t>6.5% – 14.1%</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(11.6%)</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1,062,806</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Broker/Dealer bid quotes</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5120" w:type="dxa"/>
            <w:vAlign w:val="bottom"/>
            <w:gridSpan w:val="2"/>
          </w:tcPr>
          <w:p>
            <w:pPr>
              <w:spacing w:after="0" w:line="130" w:lineRule="exact"/>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1"/>
                <w:szCs w:val="11"/>
                <w:color w:val="auto"/>
              </w:rPr>
            </w:pPr>
          </w:p>
        </w:tc>
        <w:tc>
          <w:tcPr>
            <w:tcW w:w="16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1,245,623</w:t>
            </w:r>
          </w:p>
        </w:tc>
        <w:tc>
          <w:tcPr>
            <w:tcW w:w="17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rPr>
              <w:t>EBITDA multiple</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6"/>
              </w:rPr>
              <w:t>5.0x – 9.5x</w:t>
            </w: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(7.6x)</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Level 3 investments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343,272,585</w:t>
            </w: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line="20" w:lineRule="exact"/>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3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 Category</w:t>
            </w:r>
          </w:p>
        </w:tc>
        <w:tc>
          <w:tcPr>
            <w:tcW w:w="160" w:type="dxa"/>
            <w:vAlign w:val="bottom"/>
          </w:tcPr>
          <w:p>
            <w:pPr>
              <w:spacing w:after="0"/>
              <w:rPr>
                <w:sz w:val="24"/>
                <w:szCs w:val="2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Fair Value as of</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0"/>
              </w:rPr>
              <w:t>Range of Input</w:t>
            </w:r>
          </w:p>
        </w:tc>
        <w:tc>
          <w:tcPr>
            <w:tcW w:w="0" w:type="dxa"/>
            <w:vAlign w:val="bottom"/>
          </w:tcPr>
          <w:p>
            <w:pPr>
              <w:spacing w:after="0"/>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September 30, 2013</w:t>
            </w:r>
          </w:p>
        </w:tc>
        <w:tc>
          <w:tcPr>
            <w:tcW w:w="1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Valuation Technique</w:t>
            </w:r>
          </w:p>
        </w:tc>
        <w:tc>
          <w:tcPr>
            <w:tcW w:w="1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Unobservable Input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w:t>
            </w:r>
          </w:p>
        </w:tc>
        <w:tc>
          <w:tcPr>
            <w:tcW w:w="0" w:type="dxa"/>
            <w:vAlign w:val="bottom"/>
          </w:tcPr>
          <w:p>
            <w:pPr>
              <w:spacing w:after="0"/>
              <w:rPr>
                <w:sz w:val="1"/>
                <w:szCs w:val="1"/>
                <w:color w:val="auto"/>
              </w:rPr>
            </w:pPr>
          </w:p>
        </w:tc>
      </w:tr>
      <w:tr>
        <w:trPr>
          <w:trHeight w:val="142"/>
        </w:trPr>
        <w:tc>
          <w:tcPr>
            <w:tcW w:w="4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298,655,677</w:t>
            </w:r>
          </w:p>
        </w:tc>
        <w:tc>
          <w:tcPr>
            <w:tcW w:w="3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5120" w:type="dxa"/>
            <w:vAlign w:val="bottom"/>
            <w:gridSpan w:val="2"/>
          </w:tcPr>
          <w:p>
            <w:pPr>
              <w:spacing w:after="0" w:line="130"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1"/>
                <w:szCs w:val="11"/>
                <w:color w:val="auto"/>
              </w:rPr>
            </w:pPr>
          </w:p>
        </w:tc>
        <w:tc>
          <w:tcPr>
            <w:tcW w:w="16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14,900,556</w:t>
            </w:r>
          </w:p>
        </w:tc>
        <w:tc>
          <w:tcPr>
            <w:tcW w:w="17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4"/>
              </w:rPr>
              <w:t>7.3% – 15.2%</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(11.7%)</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188,235</w:t>
            </w:r>
          </w:p>
        </w:tc>
        <w:tc>
          <w:tcPr>
            <w:tcW w:w="17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7.0x</w:t>
            </w:r>
          </w:p>
        </w:tc>
        <w:tc>
          <w:tcPr>
            <w:tcW w:w="0" w:type="dxa"/>
            <w:vAlign w:val="bottom"/>
          </w:tcPr>
          <w:p>
            <w:pPr>
              <w:spacing w:after="0"/>
              <w:rPr>
                <w:sz w:val="1"/>
                <w:szCs w:val="1"/>
                <w:color w:val="auto"/>
              </w:rPr>
            </w:pPr>
          </w:p>
        </w:tc>
      </w:tr>
      <w:tr>
        <w:trPr>
          <w:trHeight w:val="156"/>
        </w:trPr>
        <w:tc>
          <w:tcPr>
            <w:tcW w:w="512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313,744,468</w:t>
            </w: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99,600,000</w:t>
            </w:r>
          </w:p>
        </w:tc>
        <w:tc>
          <w:tcPr>
            <w:tcW w:w="17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7"/>
              </w:rPr>
              <w:t>Market Yield</w:t>
            </w:r>
          </w:p>
        </w:tc>
        <w:tc>
          <w:tcPr>
            <w:tcW w:w="10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2"/>
                <w:szCs w:val="12"/>
                <w:b w:val="1"/>
                <w:bCs w:val="1"/>
                <w:color w:val="auto"/>
              </w:rPr>
              <w:t>Fair Value at September 30, 2014</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Level 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36,474,784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36,474,784</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7,073,685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5,149,668</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1,924,017</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2,314,668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6,239</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2,308,429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5,155,907</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343,272,585</w:t>
            </w:r>
          </w:p>
        </w:tc>
        <w:tc>
          <w:tcPr>
            <w:tcW w:w="0" w:type="dxa"/>
            <w:vAlign w:val="bottom"/>
          </w:tcPr>
          <w:p>
            <w:pPr>
              <w:spacing w:after="0"/>
              <w:rPr>
                <w:sz w:val="1"/>
                <w:szCs w:val="1"/>
                <w:color w:val="auto"/>
              </w:rPr>
            </w:pPr>
          </w:p>
        </w:tc>
      </w:tr>
      <w:tr>
        <w:trPr>
          <w:trHeight w:val="163"/>
        </w:trPr>
        <w:tc>
          <w:tcPr>
            <w:tcW w:w="438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15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361,542,309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13,113,817</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5,155,907</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343,272,585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2"/>
                <w:szCs w:val="12"/>
                <w:b w:val="1"/>
                <w:bCs w:val="1"/>
                <w:color w:val="auto"/>
              </w:rPr>
              <w:t>Fair Value at September 30, 2013</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Level 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27,499,315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1,635,000</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25,864,315</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9,003,170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2,357,500</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6,645,670</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255,161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66,926</w:t>
            </w:r>
          </w:p>
        </w:tc>
        <w:tc>
          <w:tcPr>
            <w:tcW w:w="30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188,235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317,803,894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4,059,426</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313,744,468</w:t>
            </w:r>
          </w:p>
        </w:tc>
        <w:tc>
          <w:tcPr>
            <w:tcW w:w="0" w:type="dxa"/>
            <w:vAlign w:val="bottom"/>
          </w:tcPr>
          <w:p>
            <w:pPr>
              <w:spacing w:after="0"/>
              <w:rPr>
                <w:sz w:val="1"/>
                <w:szCs w:val="1"/>
                <w:color w:val="auto"/>
              </w:rPr>
            </w:pPr>
          </w:p>
        </w:tc>
      </w:tr>
      <w:tr>
        <w:trPr>
          <w:trHeight w:val="163"/>
        </w:trPr>
        <w:tc>
          <w:tcPr>
            <w:tcW w:w="438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15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322,382,143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4,578,249</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4,059,426</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313,744,468</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99,600,000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99,600,000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380" w:type="dxa"/>
            <w:vAlign w:val="bottom"/>
          </w:tcPr>
          <w:p>
            <w:pPr>
              <w:spacing w:after="0"/>
              <w:rPr>
                <w:sz w:val="24"/>
                <w:szCs w:val="24"/>
                <w:color w:val="auto"/>
              </w:rPr>
            </w:pPr>
          </w:p>
        </w:tc>
        <w:tc>
          <w:tcPr>
            <w:tcW w:w="1740" w:type="dxa"/>
            <w:vAlign w:val="bottom"/>
            <w:gridSpan w:val="3"/>
          </w:tcPr>
          <w:p>
            <w:pPr>
              <w:jc w:val="right"/>
              <w:ind w:right="188"/>
              <w:spacing w:after="0"/>
              <w:rPr>
                <w:sz w:val="20"/>
                <w:szCs w:val="20"/>
                <w:color w:val="auto"/>
              </w:rPr>
            </w:pPr>
            <w:r>
              <w:rPr>
                <w:rFonts w:ascii="Arial" w:cs="Arial" w:eastAsia="Arial" w:hAnsi="Arial"/>
                <w:sz w:val="14"/>
                <w:szCs w:val="14"/>
                <w:color w:val="auto"/>
              </w:rPr>
              <w:t>F-20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September 30, 2014</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80"/>
              <w:spacing w:after="0" w:line="121" w:lineRule="exact"/>
              <w:rPr>
                <w:sz w:val="20"/>
                <w:szCs w:val="20"/>
                <w:color w:val="auto"/>
              </w:rPr>
            </w:pPr>
            <w:r>
              <w:rPr>
                <w:rFonts w:ascii="Arial" w:cs="Arial" w:eastAsia="Arial" w:hAnsi="Arial"/>
                <w:sz w:val="12"/>
                <w:szCs w:val="12"/>
                <w:b w:val="1"/>
                <w:bCs w:val="1"/>
                <w:color w:val="auto"/>
                <w:w w:val="84"/>
              </w:rPr>
              <w:t>Second lien,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6"/>
              </w:rPr>
              <w:t>subordinated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7"/>
              </w:rPr>
              <w:t>debt and equity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First Lien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2"/>
              </w:rPr>
              <w:t>investments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32,698,220</w:t>
            </w: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313,744,468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Realized gains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2,097,241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774,948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2,872,189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(depreciation) appreciation</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(109,909)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567,020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Purchases, PIK and net discount accretion and non-cash exchanges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221,495,119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28,675,897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250,171,016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exchanges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(201,963,344)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(22,008,855)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(223,972,199)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302,565,355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40,707,230</w:t>
            </w:r>
          </w:p>
        </w:tc>
        <w:tc>
          <w:tcPr>
            <w:tcW w:w="2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343,272,585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 appreciation on</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ind w:left="140"/>
              <w:spacing w:after="0"/>
              <w:rPr>
                <w:sz w:val="20"/>
                <w:szCs w:val="20"/>
                <w:color w:val="auto"/>
              </w:rPr>
            </w:pPr>
            <w:r>
              <w:rPr>
                <w:rFonts w:ascii="Arial" w:cs="Arial" w:eastAsia="Arial" w:hAnsi="Arial"/>
                <w:sz w:val="14"/>
                <w:szCs w:val="14"/>
                <w:color w:val="auto"/>
                <w:w w:val="93"/>
              </w:rPr>
              <w:t>investments in our Consolidated Statement of Operations attributable to our Level 3 assets still held at the reporting date.</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(327,255)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523,666</w:t>
            </w:r>
          </w:p>
        </w:tc>
        <w:tc>
          <w:tcPr>
            <w:tcW w:w="2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196,411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September 30, 2013</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80"/>
              <w:spacing w:after="0" w:line="121" w:lineRule="exact"/>
              <w:rPr>
                <w:sz w:val="20"/>
                <w:szCs w:val="20"/>
                <w:color w:val="auto"/>
              </w:rPr>
            </w:pPr>
            <w:r>
              <w:rPr>
                <w:rFonts w:ascii="Arial" w:cs="Arial" w:eastAsia="Arial" w:hAnsi="Arial"/>
                <w:sz w:val="12"/>
                <w:szCs w:val="12"/>
                <w:b w:val="1"/>
                <w:bCs w:val="1"/>
                <w:color w:val="auto"/>
                <w:w w:val="84"/>
              </w:rPr>
              <w:t>Second lien,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6"/>
              </w:rPr>
              <w:t>subordinated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7"/>
              </w:rPr>
              <w:t>debt and equity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First Lien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2"/>
              </w:rPr>
              <w:t>investments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18,836,653</w:t>
            </w: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169,046,400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Realized gains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1,806,088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1,768,848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3,574,936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depreciation</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(165,636)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(1,068,579)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(1,234,215)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Purchases, PIK and net discount accretion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285,042,834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33,818,899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318,861,733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repayments and exchanges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(155,846,785)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(19,071,351)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(174,918,136)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(1,586,250)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(1,586,250)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281,046,248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32,698,220</w:t>
            </w:r>
          </w:p>
        </w:tc>
        <w:tc>
          <w:tcPr>
            <w:tcW w:w="2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313,744,468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 depreciation on</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ind w:left="140"/>
              <w:spacing w:after="0"/>
              <w:rPr>
                <w:sz w:val="20"/>
                <w:szCs w:val="20"/>
                <w:color w:val="auto"/>
              </w:rPr>
            </w:pPr>
            <w:r>
              <w:rPr>
                <w:rFonts w:ascii="Arial" w:cs="Arial" w:eastAsia="Arial" w:hAnsi="Arial"/>
                <w:sz w:val="14"/>
                <w:szCs w:val="14"/>
                <w:color w:val="auto"/>
                <w:w w:val="93"/>
              </w:rPr>
              <w:t>investments in our Consolidated Statement of Operations attributable to our Level 3 assets still held at the reporting date.</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1,279,203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(2,777,703)</w:t>
            </w:r>
          </w:p>
        </w:tc>
        <w:tc>
          <w:tcPr>
            <w:tcW w:w="2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(1,498,500)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5560"/>
              <w:spacing w:after="0"/>
              <w:rPr>
                <w:sz w:val="20"/>
                <w:szCs w:val="20"/>
                <w:color w:val="auto"/>
              </w:rPr>
            </w:pPr>
            <w:r>
              <w:rPr>
                <w:rFonts w:ascii="Arial" w:cs="Arial" w:eastAsia="Arial" w:hAnsi="Arial"/>
                <w:sz w:val="14"/>
                <w:szCs w:val="14"/>
                <w:color w:val="auto"/>
              </w:rPr>
              <w:t>F-21</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60" w:type="dxa"/>
            <w:vAlign w:val="bottom"/>
            <w:gridSpan w:val="3"/>
          </w:tcPr>
          <w:p>
            <w:pPr>
              <w:jc w:val="right"/>
              <w:ind w:right="268"/>
              <w:spacing w:after="0"/>
              <w:rPr>
                <w:sz w:val="20"/>
                <w:szCs w:val="20"/>
                <w:color w:val="auto"/>
              </w:rPr>
            </w:pPr>
            <w:r>
              <w:rPr>
                <w:rFonts w:ascii="Arial" w:cs="Arial" w:eastAsia="Arial" w:hAnsi="Arial"/>
                <w:sz w:val="12"/>
                <w:szCs w:val="12"/>
                <w:b w:val="1"/>
                <w:bCs w:val="1"/>
                <w:color w:val="auto"/>
              </w:rPr>
              <w:t>Carrying/Fair Value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Long-Term Credit Facility</w:t>
            </w:r>
          </w:p>
        </w:tc>
        <w:tc>
          <w:tcPr>
            <w:tcW w:w="4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Year Ended September 30,</w:t>
            </w: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1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jc w:val="right"/>
              <w:ind w:right="713"/>
              <w:spacing w:after="0" w:line="129" w:lineRule="exact"/>
              <w:rPr>
                <w:sz w:val="20"/>
                <w:szCs w:val="20"/>
                <w:color w:val="auto"/>
              </w:rPr>
            </w:pPr>
            <w:r>
              <w:rPr>
                <w:rFonts w:ascii="Arial" w:cs="Arial" w:eastAsia="Arial" w:hAnsi="Arial"/>
                <w:sz w:val="12"/>
                <w:szCs w:val="12"/>
                <w:b w:val="1"/>
                <w:bCs w:val="1"/>
                <w:color w:val="auto"/>
              </w:rPr>
              <w:t>2014</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jc w:val="right"/>
              <w:ind w:right="710"/>
              <w:spacing w:after="0" w:line="129" w:lineRule="exact"/>
              <w:rPr>
                <w:sz w:val="20"/>
                <w:szCs w:val="20"/>
                <w:color w:val="auto"/>
              </w:rPr>
            </w:pPr>
            <w:r>
              <w:rPr>
                <w:rFonts w:ascii="Arial" w:cs="Arial" w:eastAsia="Arial" w:hAnsi="Arial"/>
                <w:sz w:val="12"/>
                <w:szCs w:val="12"/>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$99,600,000 and $75,500,000, respectively)</w:t>
            </w:r>
          </w:p>
        </w:tc>
        <w:tc>
          <w:tcPr>
            <w:tcW w:w="4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99,600,000</w:t>
            </w:r>
          </w:p>
        </w:tc>
        <w:tc>
          <w:tcPr>
            <w:tcW w:w="5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110"/>
              <w:spacing w:after="0" w:line="142" w:lineRule="exact"/>
              <w:rPr>
                <w:sz w:val="20"/>
                <w:szCs w:val="20"/>
                <w:color w:val="auto"/>
              </w:rPr>
            </w:pPr>
            <w:r>
              <w:rPr>
                <w:rFonts w:ascii="Arial" w:cs="Arial" w:eastAsia="Arial" w:hAnsi="Arial"/>
                <w:sz w:val="14"/>
                <w:szCs w:val="14"/>
                <w:color w:val="auto"/>
              </w:rPr>
              <w:t>75,122,500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appreciation included in earnings</w:t>
            </w:r>
          </w:p>
        </w:tc>
        <w:tc>
          <w:tcPr>
            <w:tcW w:w="460" w:type="dxa"/>
            <w:vAlign w:val="bottom"/>
          </w:tcPr>
          <w:p>
            <w:pPr>
              <w:spacing w:after="0"/>
              <w:rPr>
                <w:sz w:val="12"/>
                <w:szCs w:val="12"/>
                <w:color w:val="auto"/>
              </w:rPr>
            </w:pPr>
          </w:p>
        </w:tc>
        <w:tc>
          <w:tcPr>
            <w:tcW w:w="134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549,000</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377,500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148,200,000</w:t>
            </w: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235,350,000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Repayments</w:t>
            </w:r>
          </w:p>
        </w:tc>
        <w:tc>
          <w:tcPr>
            <w:tcW w:w="460" w:type="dxa"/>
            <w:vAlign w:val="bottom"/>
          </w:tcPr>
          <w:p>
            <w:pPr>
              <w:spacing w:after="0"/>
              <w:rPr>
                <w:sz w:val="12"/>
                <w:szCs w:val="12"/>
                <w:color w:val="auto"/>
              </w:rPr>
            </w:pPr>
          </w:p>
        </w:tc>
        <w:tc>
          <w:tcPr>
            <w:tcW w:w="13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(101,400,000)</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70"/>
              <w:spacing w:after="0" w:line="149" w:lineRule="exact"/>
              <w:rPr>
                <w:sz w:val="20"/>
                <w:szCs w:val="20"/>
                <w:color w:val="auto"/>
              </w:rPr>
            </w:pPr>
            <w:r>
              <w:rPr>
                <w:rFonts w:ascii="Arial" w:cs="Arial" w:eastAsia="Arial" w:hAnsi="Arial"/>
                <w:sz w:val="14"/>
                <w:szCs w:val="14"/>
                <w:color w:val="auto"/>
              </w:rPr>
              <w:t>(211,250,000)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1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$146,400,000 and $99,600,000, respectively)</w:t>
            </w:r>
          </w:p>
        </w:tc>
        <w:tc>
          <w:tcPr>
            <w:tcW w:w="4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rPr>
              <w:t>146,949,000</w:t>
            </w:r>
          </w:p>
        </w:tc>
        <w:tc>
          <w:tcPr>
            <w:tcW w:w="5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99,600,000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685"/>
        <w:spacing w:after="0" w:line="244"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$0.4 million and $0.3 million relating to amendment fees on the Credit Facility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2014 and 2013, our Credit Facility had a net change in unrealized appreciation of $0.5 million and $0.4 million, respectively. As of September 30, 2014 and 2013, the net unrealized appreciation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Year Ended September 30,</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5040" w:type="dxa"/>
            <w:vAlign w:val="bottom"/>
          </w:tcPr>
          <w:p>
            <w:pPr>
              <w:spacing w:after="0"/>
              <w:rPr>
                <w:sz w:val="12"/>
                <w:szCs w:val="12"/>
                <w:color w:val="auto"/>
              </w:rPr>
            </w:pPr>
          </w:p>
        </w:tc>
        <w:tc>
          <w:tcPr>
            <w:tcW w:w="22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573"/>
              <w:spacing w:after="0"/>
              <w:rPr>
                <w:sz w:val="20"/>
                <w:szCs w:val="20"/>
                <w:color w:val="auto"/>
              </w:rPr>
            </w:pPr>
            <w:r>
              <w:rPr>
                <w:rFonts w:ascii="Arial" w:cs="Arial" w:eastAsia="Arial" w:hAnsi="Arial"/>
                <w:sz w:val="12"/>
                <w:szCs w:val="12"/>
                <w:b w:val="1"/>
                <w:bCs w:val="1"/>
                <w:color w:val="auto"/>
              </w:rPr>
              <w:t>2013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71"/>
              <w:spacing w:after="0"/>
              <w:rPr>
                <w:sz w:val="20"/>
                <w:szCs w:val="20"/>
                <w:color w:val="auto"/>
              </w:rPr>
            </w:pPr>
            <w:r>
              <w:rPr>
                <w:rFonts w:ascii="Arial" w:cs="Arial" w:eastAsia="Arial" w:hAnsi="Arial"/>
                <w:sz w:val="12"/>
                <w:szCs w:val="12"/>
                <w:b w:val="1"/>
                <w:bCs w:val="1"/>
                <w:color w:val="auto"/>
              </w:rPr>
              <w:t>2012</w:t>
            </w:r>
          </w:p>
        </w:tc>
        <w:tc>
          <w:tcPr>
            <w:tcW w:w="100" w:type="dxa"/>
            <w:vAlign w:val="bottom"/>
          </w:tcPr>
          <w:p>
            <w:pPr>
              <w:spacing w:after="0"/>
              <w:rPr>
                <w:sz w:val="12"/>
                <w:szCs w:val="12"/>
                <w:color w:val="auto"/>
              </w:rPr>
            </w:pPr>
          </w:p>
        </w:tc>
      </w:tr>
      <w:tr>
        <w:trPr>
          <w:trHeight w:val="142"/>
        </w:trPr>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3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2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20,513,971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14,898,056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9,587,877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100" w:type="dxa"/>
            <w:vAlign w:val="bottom"/>
          </w:tcPr>
          <w:p>
            <w:pPr>
              <w:spacing w:after="0"/>
              <w:rPr>
                <w:sz w:val="12"/>
                <w:szCs w:val="12"/>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2220" w:type="dxa"/>
            <w:vAlign w:val="bottom"/>
            <w:gridSpan w:val="2"/>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w:t>
            </w:r>
          </w:p>
        </w:tc>
      </w:tr>
      <w:tr>
        <w:trPr>
          <w:trHeight w:val="312"/>
        </w:trPr>
        <w:tc>
          <w:tcPr>
            <w:tcW w:w="5040" w:type="dxa"/>
            <w:vAlign w:val="bottom"/>
          </w:tcPr>
          <w:p>
            <w:pPr>
              <w:spacing w:after="0"/>
              <w:rPr>
                <w:sz w:val="24"/>
                <w:szCs w:val="24"/>
                <w:color w:val="auto"/>
              </w:rPr>
            </w:pPr>
          </w:p>
        </w:tc>
        <w:tc>
          <w:tcPr>
            <w:tcW w:w="2220" w:type="dxa"/>
            <w:vAlign w:val="bottom"/>
            <w:gridSpan w:val="2"/>
          </w:tcPr>
          <w:p>
            <w:pPr>
              <w:jc w:val="right"/>
              <w:ind w:right="1328"/>
              <w:spacing w:after="0"/>
              <w:rPr>
                <w:sz w:val="20"/>
                <w:szCs w:val="20"/>
                <w:color w:val="auto"/>
              </w:rPr>
            </w:pPr>
            <w:r>
              <w:rPr>
                <w:rFonts w:ascii="Arial" w:cs="Arial" w:eastAsia="Arial" w:hAnsi="Arial"/>
                <w:sz w:val="14"/>
                <w:szCs w:val="14"/>
                <w:color w:val="auto"/>
              </w:rPr>
              <w:t>F-22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140"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Dividends from net realized capital gains, if any, are normally declared and paid annually, but the Company may make distributions on a more frequent basis to comply with the distribution requirements for RICs under the Code.</w:t>
      </w:r>
    </w:p>
    <w:p>
      <w:pPr>
        <w:spacing w:after="0" w:line="142" w:lineRule="exact"/>
        <w:rPr>
          <w:sz w:val="20"/>
          <w:szCs w:val="20"/>
          <w:color w:val="auto"/>
        </w:rPr>
      </w:pPr>
    </w:p>
    <w:p>
      <w:pPr>
        <w:ind w:right="580" w:firstLine="685"/>
        <w:spacing w:after="0" w:line="253" w:lineRule="auto"/>
        <w:rPr>
          <w:sz w:val="20"/>
          <w:szCs w:val="20"/>
          <w:color w:val="auto"/>
        </w:rPr>
      </w:pPr>
      <w:r>
        <w:rPr>
          <w:rFonts w:ascii="Arial" w:cs="Arial" w:eastAsia="Arial" w:hAnsi="Arial"/>
          <w:sz w:val="14"/>
          <w:szCs w:val="14"/>
          <w:color w:val="auto"/>
        </w:rPr>
        <w:t>As of September 30, 2014 and 2013, the cost of investments for federal income tax purposes was $348.4 million and $319.3 million, respectively, resulting in a gross unrealized appreciation of $3.8 million and $3.7 million, respectively, and depreciation of $3.7 million and $5.2 million, respectively.</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permanent differences were reclassified for tax purposes for the years ended September 30, 2014, 2013 and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9"/>
              </w:rPr>
              <w:t>Year Ended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r>
      <w:tr>
        <w:trPr>
          <w:trHeight w:val="142"/>
        </w:trPr>
        <w:tc>
          <w:tcPr>
            <w:tcW w:w="4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1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8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254,753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(81,503)</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(3,952)</w:t>
            </w:r>
          </w:p>
        </w:tc>
        <w:tc>
          <w:tcPr>
            <w:tcW w:w="460" w:type="dxa"/>
            <w:vAlign w:val="bottom"/>
            <w:shd w:val="clear" w:color="auto" w:fill="CCEEFF"/>
          </w:tcPr>
          <w:p>
            <w:pPr>
              <w:spacing w:after="0"/>
              <w:rPr>
                <w:sz w:val="12"/>
                <w:szCs w:val="12"/>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9,384</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(1,223,913)</w:t>
            </w: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undistributed net investment income</w:t>
            </w:r>
          </w:p>
        </w:tc>
        <w:tc>
          <w:tcPr>
            <w:tcW w:w="1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245,369</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1,305,416</w:t>
            </w: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3,952</w:t>
            </w:r>
          </w:p>
        </w:tc>
      </w:tr>
    </w:tbl>
    <w:p>
      <w:pPr>
        <w:spacing w:after="0" w:line="1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8"/>
              </w:rPr>
              <w:t>Year Ended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20,513,971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w w:val="97"/>
              </w:rPr>
              <w:t>Net change in unrealized (appreciation) depreciation on investments and Credit Facility</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(1,004,771)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2,113,465</w:t>
            </w:r>
          </w:p>
        </w:tc>
        <w:tc>
          <w:tcPr>
            <w:tcW w:w="360" w:type="dxa"/>
            <w:vAlign w:val="bottom"/>
          </w:tcPr>
          <w:p>
            <w:pPr>
              <w:spacing w:after="0"/>
              <w:rPr>
                <w:sz w:val="12"/>
                <w:szCs w:val="12"/>
                <w:color w:val="auto"/>
              </w:rPr>
            </w:pPr>
          </w:p>
        </w:tc>
        <w:tc>
          <w:tcPr>
            <w:tcW w:w="1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(4,739,272)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(505,752)</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(380,461)</w:t>
            </w: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307,975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1,251,555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917,665</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income before deductions for distribution</w:t>
            </w:r>
          </w:p>
        </w:tc>
        <w:tc>
          <w:tcPr>
            <w:tcW w:w="1200" w:type="dxa"/>
            <w:vAlign w:val="bottom"/>
            <w:gridSpan w:val="2"/>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20,255,003</w:t>
            </w:r>
          </w:p>
        </w:tc>
        <w:tc>
          <w:tcPr>
            <w:tcW w:w="50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14,635,487</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7,571,608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surplus on a book basis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3"/>
              </w:rPr>
              <w:t>As of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0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10,097,482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4,931,935</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2,035,854</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gain</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1,652,842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2,578,795</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103,884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undistributed taxable income</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11,750,324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7,510,730</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2,139,738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Dividends payable and other book to tax differences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4"/>
              </w:rPr>
              <w:t>(3,989,324)</w:t>
            </w:r>
          </w:p>
        </w:tc>
        <w:tc>
          <w:tcPr>
            <w:tcW w:w="1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(3,461,027)</w:t>
            </w:r>
          </w:p>
        </w:tc>
        <w:tc>
          <w:tcPr>
            <w:tcW w:w="360" w:type="dxa"/>
            <w:vAlign w:val="bottom"/>
          </w:tcPr>
          <w:p>
            <w:pPr>
              <w:spacing w:after="0"/>
              <w:rPr>
                <w:sz w:val="12"/>
                <w:szCs w:val="12"/>
                <w:color w:val="auto"/>
              </w:rPr>
            </w:pPr>
          </w:p>
        </w:tc>
        <w:tc>
          <w:tcPr>
            <w:tcW w:w="1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(2,228,826)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(474,803)</w:t>
            </w: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(1,479,574)</w:t>
            </w:r>
          </w:p>
        </w:tc>
        <w:tc>
          <w:tcPr>
            <w:tcW w:w="3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633,891</w:t>
            </w:r>
          </w:p>
        </w:tc>
        <w:tc>
          <w:tcPr>
            <w:tcW w:w="0" w:type="dxa"/>
            <w:vAlign w:val="bottom"/>
          </w:tcPr>
          <w:p>
            <w:pPr>
              <w:spacing w:after="0"/>
              <w:rPr>
                <w:sz w:val="1"/>
                <w:szCs w:val="1"/>
                <w:color w:val="auto"/>
              </w:rPr>
            </w:pPr>
          </w:p>
        </w:tc>
      </w:tr>
      <w:tr>
        <w:trPr>
          <w:trHeight w:val="156"/>
        </w:trPr>
        <w:tc>
          <w:tcPr>
            <w:tcW w:w="5560" w:type="dxa"/>
            <w:vAlign w:val="bottom"/>
            <w:gridSpan w:val="2"/>
          </w:tcPr>
          <w:p>
            <w:pPr>
              <w:spacing w:after="0" w:line="155" w:lineRule="exact"/>
              <w:rPr>
                <w:sz w:val="20"/>
                <w:szCs w:val="20"/>
                <w:color w:val="auto"/>
              </w:rPr>
            </w:pPr>
            <w:r>
              <w:rPr>
                <w:rFonts w:ascii="Arial" w:cs="Arial" w:eastAsia="Arial" w:hAnsi="Arial"/>
                <w:sz w:val="14"/>
                <w:szCs w:val="14"/>
                <w:color w:val="auto"/>
              </w:rPr>
              <w:t>Total accumulated surplus – book basis</w:t>
            </w:r>
          </w:p>
        </w:tc>
        <w:tc>
          <w:tcPr>
            <w:tcW w:w="2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7,286,197</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2,570,129</w:t>
            </w:r>
          </w:p>
        </w:tc>
        <w:tc>
          <w:tcPr>
            <w:tcW w:w="3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544,803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tax characteristics of distributions declared, in accordance with Section 19(a) under the 1940 Act,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September 30,</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9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13,473,860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9,937,113</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6,234,106</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2,578,795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920" w:type="dxa"/>
            <w:vAlign w:val="bottom"/>
            <w:gridSpan w:val="2"/>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16,052,655</w:t>
            </w:r>
          </w:p>
        </w:tc>
        <w:tc>
          <w:tcPr>
            <w:tcW w:w="5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10,040,997</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6,234,106</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1.05</w:t>
            </w:r>
          </w:p>
        </w:tc>
        <w:tc>
          <w:tcPr>
            <w:tcW w:w="30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0.91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jc w:val="right"/>
              <w:ind w:right="568"/>
              <w:spacing w:after="0"/>
              <w:rPr>
                <w:sz w:val="20"/>
                <w:szCs w:val="20"/>
                <w:color w:val="auto"/>
              </w:rPr>
            </w:pPr>
            <w:r>
              <w:rPr>
                <w:rFonts w:ascii="Arial" w:cs="Arial" w:eastAsia="Arial" w:hAnsi="Arial"/>
                <w:sz w:val="14"/>
                <w:szCs w:val="14"/>
                <w:color w:val="auto"/>
                <w:w w:val="97"/>
              </w:rPr>
              <w:t>F-23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181" w:lineRule="exact"/>
        <w:rPr>
          <w:sz w:val="20"/>
          <w:szCs w:val="20"/>
          <w:color w:val="auto"/>
        </w:rPr>
      </w:pPr>
    </w:p>
    <w:p>
      <w:pPr>
        <w:ind w:right="8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2014 and 2013, cash equivalents consisted of money market funds in the amounts of $13.1 million and $4.6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Below are the financial highlights: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For the period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1"/>
              </w:rPr>
              <w:t>from March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4"/>
            <w:vMerge w:val="restart"/>
          </w:tcPr>
          <w:p>
            <w:pPr>
              <w:jc w:val="right"/>
              <w:ind w:right="280"/>
              <w:spacing w:after="0"/>
              <w:rPr>
                <w:sz w:val="20"/>
                <w:szCs w:val="20"/>
                <w:color w:val="auto"/>
              </w:rPr>
            </w:pPr>
            <w:r>
              <w:rPr>
                <w:rFonts w:ascii="Arial" w:cs="Arial" w:eastAsia="Arial" w:hAnsi="Arial"/>
                <w:sz w:val="12"/>
                <w:szCs w:val="12"/>
                <w:b w:val="1"/>
                <w:bCs w:val="1"/>
                <w:color w:val="auto"/>
                <w:w w:val="92"/>
              </w:rPr>
              <w:t>Year Ended September 30,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91"/>
              <w:spacing w:after="0" w:line="135" w:lineRule="exact"/>
              <w:rPr>
                <w:sz w:val="20"/>
                <w:szCs w:val="20"/>
                <w:color w:val="auto"/>
              </w:rPr>
            </w:pPr>
            <w:r>
              <w:rPr>
                <w:rFonts w:ascii="Arial" w:cs="Arial" w:eastAsia="Arial" w:hAnsi="Arial"/>
                <w:sz w:val="12"/>
                <w:szCs w:val="12"/>
                <w:b w:val="1"/>
                <w:bCs w:val="1"/>
                <w:color w:val="auto"/>
                <w:w w:val="82"/>
              </w:rPr>
              <w:t>2011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0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4"/>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gridSpan w:val="2"/>
            <w:vMerge w:val="restart"/>
          </w:tcPr>
          <w:p>
            <w:pPr>
              <w:jc w:val="center"/>
              <w:ind w:right="380"/>
              <w:spacing w:after="0" w:line="135" w:lineRule="exact"/>
              <w:rPr>
                <w:sz w:val="20"/>
                <w:szCs w:val="20"/>
                <w:color w:val="auto"/>
              </w:rPr>
            </w:pPr>
            <w:r>
              <w:rPr>
                <w:rFonts w:ascii="Arial" w:cs="Arial" w:eastAsia="Arial" w:hAnsi="Arial"/>
                <w:sz w:val="12"/>
                <w:szCs w:val="12"/>
                <w:b w:val="1"/>
                <w:bCs w:val="1"/>
                <w:color w:val="auto"/>
                <w:w w:val="85"/>
              </w:rPr>
              <w:t>(commencement of</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80"/>
              <w:spacing w:after="0" w:line="135" w:lineRule="exact"/>
              <w:rPr>
                <w:sz w:val="20"/>
                <w:szCs w:val="20"/>
                <w:color w:val="auto"/>
              </w:rPr>
            </w:pPr>
            <w:r>
              <w:rPr>
                <w:rFonts w:ascii="Arial" w:cs="Arial" w:eastAsia="Arial" w:hAnsi="Arial"/>
                <w:sz w:val="12"/>
                <w:szCs w:val="12"/>
                <w:b w:val="1"/>
                <w:bCs w:val="1"/>
                <w:color w:val="auto"/>
                <w:w w:val="87"/>
              </w:rPr>
              <w:t>operations)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7"/>
              </w:rPr>
              <w:t>September 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82"/>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14.10</w:t>
            </w:r>
          </w:p>
        </w:tc>
        <w:tc>
          <w:tcPr>
            <w:tcW w:w="5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13.98</w:t>
            </w:r>
          </w:p>
        </w:tc>
        <w:tc>
          <w:tcPr>
            <w:tcW w:w="3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13.44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0.92</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 (loss)</w:t>
            </w: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0.83</w:t>
            </w:r>
          </w:p>
        </w:tc>
        <w:tc>
          <w:tcPr>
            <w:tcW w:w="160" w:type="dxa"/>
            <w:vAlign w:val="bottom"/>
          </w:tcPr>
          <w:p>
            <w:pPr>
              <w:spacing w:after="0"/>
              <w:rPr>
                <w:sz w:val="12"/>
                <w:szCs w:val="12"/>
                <w:color w:val="auto"/>
              </w:rPr>
            </w:pPr>
          </w:p>
        </w:tc>
        <w:tc>
          <w:tcPr>
            <w:tcW w:w="1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Distributions to stockholders</w:t>
            </w:r>
            <w:r>
              <w:rPr>
                <w:rFonts w:ascii="Arial" w:cs="Arial" w:eastAsia="Arial" w:hAnsi="Arial"/>
                <w:sz w:val="12"/>
                <w:szCs w:val="12"/>
                <w:color w:val="auto"/>
              </w:rPr>
              <w:t>(1),(2)</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Distribution of net investment income</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(0.86)</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160"/>
              <w:spacing w:after="0" w:line="149" w:lineRule="exact"/>
              <w:rPr>
                <w:sz w:val="20"/>
                <w:szCs w:val="20"/>
                <w:color w:val="auto"/>
              </w:rPr>
            </w:pPr>
            <w:r>
              <w:rPr>
                <w:rFonts w:ascii="Arial" w:cs="Arial" w:eastAsia="Arial" w:hAnsi="Arial"/>
                <w:sz w:val="14"/>
                <w:szCs w:val="14"/>
                <w:color w:val="auto"/>
              </w:rPr>
              <w:t>Distribution of realized gains</w:t>
            </w: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distributions to stockholders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(0.91)</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offering costs</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(0.30)</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63"/>
        </w:trPr>
        <w:tc>
          <w:tcPr>
            <w:tcW w:w="5060" w:type="dxa"/>
            <w:vAlign w:val="bottom"/>
            <w:gridSpan w:val="2"/>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w:t>
            </w:r>
          </w:p>
        </w:tc>
        <w:tc>
          <w:tcPr>
            <w:tcW w:w="4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period</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13.78</w:t>
            </w: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13.78</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12.67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(3)</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8.05%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17.17%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29.43%</w:t>
            </w:r>
          </w:p>
        </w:tc>
        <w:tc>
          <w:tcPr>
            <w:tcW w:w="160" w:type="dxa"/>
            <w:vAlign w:val="bottom"/>
          </w:tcPr>
          <w:p>
            <w:pPr>
              <w:spacing w:after="0"/>
              <w:rPr>
                <w:sz w:val="13"/>
                <w:szCs w:val="13"/>
                <w:color w:val="auto"/>
              </w:rPr>
            </w:pPr>
          </w:p>
        </w:tc>
        <w:tc>
          <w:tcPr>
            <w:tcW w:w="1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14,898,056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14,898,056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6,850,667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Ratios / Supplemental Data*:</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12"/>
                <w:szCs w:val="12"/>
                <w:color w:val="auto"/>
              </w:rPr>
              <w:t>(4)</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4.20%</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r>
              <w:rPr>
                <w:rFonts w:ascii="Arial" w:cs="Arial" w:eastAsia="Arial" w:hAnsi="Arial"/>
                <w:sz w:val="12"/>
                <w:szCs w:val="12"/>
                <w:color w:val="auto"/>
              </w:rPr>
              <w:t>(5)</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1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12"/>
                <w:szCs w:val="12"/>
                <w:color w:val="auto"/>
              </w:rPr>
              <w:t>(5)</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6.09%</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r>
              <w:rPr>
                <w:rFonts w:ascii="Arial" w:cs="Arial" w:eastAsia="Arial" w:hAnsi="Arial"/>
                <w:sz w:val="12"/>
                <w:szCs w:val="12"/>
                <w:color w:val="auto"/>
              </w:rPr>
              <w:t>(5)</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6.64%</w:t>
            </w:r>
          </w:p>
        </w:tc>
        <w:tc>
          <w:tcPr>
            <w:tcW w:w="160" w:type="dxa"/>
            <w:vAlign w:val="bottom"/>
          </w:tcPr>
          <w:p>
            <w:pPr>
              <w:spacing w:after="0"/>
              <w:rPr>
                <w:sz w:val="12"/>
                <w:szCs w:val="12"/>
                <w:color w:val="auto"/>
              </w:rPr>
            </w:pPr>
          </w:p>
        </w:tc>
        <w:tc>
          <w:tcPr>
            <w:tcW w:w="1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214,527,710</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210,066,394</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95,743,877</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60" w:type="dxa"/>
            <w:vAlign w:val="bottom"/>
            <w:gridSpan w:val="2"/>
          </w:tcPr>
          <w:p>
            <w:pPr>
              <w:spacing w:after="0" w:line="155" w:lineRule="exact"/>
              <w:rPr>
                <w:sz w:val="20"/>
                <w:szCs w:val="20"/>
                <w:color w:val="auto"/>
              </w:rPr>
            </w:pPr>
            <w:r>
              <w:rPr>
                <w:rFonts w:ascii="Arial" w:cs="Arial" w:eastAsia="Arial" w:hAnsi="Arial"/>
                <w:sz w:val="14"/>
                <w:szCs w:val="14"/>
                <w:color w:val="auto"/>
              </w:rPr>
              <w:t>Average debt outstanding</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147,599,452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71,678,836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46,133,607</w:t>
            </w:r>
          </w:p>
        </w:tc>
        <w:tc>
          <w:tcPr>
            <w:tcW w:w="4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7,550,877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per share</w:t>
            </w:r>
            <w:r>
              <w:rPr>
                <w:rFonts w:ascii="Arial" w:cs="Arial" w:eastAsia="Arial" w:hAnsi="Arial"/>
                <w:sz w:val="12"/>
                <w:szCs w:val="12"/>
                <w:color w:val="auto"/>
              </w:rPr>
              <w:t>(1)</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9.91</w:t>
            </w: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7.48</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Asset coverage per unit</w:t>
            </w:r>
            <w:r>
              <w:rPr>
                <w:rFonts w:ascii="Arial" w:cs="Arial" w:eastAsia="Arial" w:hAnsi="Arial"/>
                <w:sz w:val="12"/>
                <w:szCs w:val="12"/>
                <w:color w:val="auto"/>
              </w:rPr>
              <w:t>(6)</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2,460</w:t>
            </w:r>
          </w:p>
        </w:tc>
        <w:tc>
          <w:tcPr>
            <w:tcW w:w="5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3,109</w:t>
            </w:r>
          </w:p>
        </w:tc>
        <w:tc>
          <w:tcPr>
            <w:tcW w:w="3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2,275</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81.89%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50.68%</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515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36" w:lineRule="exact"/>
        <w:rPr>
          <w:sz w:val="20"/>
          <w:szCs w:val="20"/>
          <w:color w:val="auto"/>
        </w:rPr>
      </w:pPr>
    </w:p>
    <w:p>
      <w:pPr>
        <w:ind w:left="1040" w:hanging="1032"/>
        <w:spacing w:after="0"/>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ind w:left="1040" w:hanging="1032"/>
        <w:spacing w:after="0" w:line="221" w:lineRule="auto"/>
        <w:tabs>
          <w:tab w:leader="none" w:pos="1040" w:val="left"/>
        </w:tabs>
        <w:numPr>
          <w:ilvl w:val="0"/>
          <w:numId w:val="8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1040" w:right="140" w:hanging="1032"/>
        <w:spacing w:after="0" w:line="221" w:lineRule="auto"/>
        <w:tabs>
          <w:tab w:leader="none" w:pos="1040" w:val="left"/>
        </w:tabs>
        <w:numPr>
          <w:ilvl w:val="0"/>
          <w:numId w:val="8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1040" w:hanging="1032"/>
        <w:spacing w:after="0"/>
        <w:tabs>
          <w:tab w:leader="none" w:pos="1040" w:val="left"/>
        </w:tabs>
        <w:numPr>
          <w:ilvl w:val="0"/>
          <w:numId w:val="87"/>
        </w:numPr>
        <w:rPr>
          <w:rFonts w:ascii="Arial" w:cs="Arial" w:eastAsia="Arial" w:hAnsi="Arial"/>
          <w:sz w:val="11"/>
          <w:szCs w:val="11"/>
          <w:color w:val="auto"/>
        </w:rPr>
      </w:pPr>
      <w:r>
        <w:rPr>
          <w:rFonts w:ascii="Arial" w:cs="Arial" w:eastAsia="Arial" w:hAnsi="Arial"/>
          <w:sz w:val="13"/>
          <w:szCs w:val="13"/>
          <w:color w:val="auto"/>
        </w:rPr>
        <w:t>Based on the change in market price per share during the period and takes into account distributions, if any, reinvested in accordance with our dividend reinvestment plan.</w:t>
      </w:r>
    </w:p>
    <w:p>
      <w:pPr>
        <w:ind w:left="1040" w:hanging="1032"/>
        <w:spacing w:after="0" w:line="221" w:lineRule="auto"/>
        <w:tabs>
          <w:tab w:leader="none" w:pos="1040" w:val="left"/>
        </w:tabs>
        <w:numPr>
          <w:ilvl w:val="0"/>
          <w:numId w:val="87"/>
        </w:numPr>
        <w:rPr>
          <w:rFonts w:ascii="Arial" w:cs="Arial" w:eastAsia="Arial" w:hAnsi="Arial"/>
          <w:sz w:val="12"/>
          <w:szCs w:val="12"/>
          <w:color w:val="auto"/>
        </w:rPr>
      </w:pPr>
      <w:r>
        <w:rPr>
          <w:rFonts w:ascii="Arial" w:cs="Arial" w:eastAsia="Arial" w:hAnsi="Arial"/>
          <w:sz w:val="14"/>
          <w:szCs w:val="14"/>
          <w:color w:val="auto"/>
        </w:rPr>
        <w:t>Operating expenses exclude Credit Facility related costs.</w:t>
      </w:r>
    </w:p>
    <w:p>
      <w:pPr>
        <w:ind w:left="1040" w:hanging="1032"/>
        <w:spacing w:after="0" w:line="221" w:lineRule="auto"/>
        <w:tabs>
          <w:tab w:leader="none" w:pos="1040" w:val="left"/>
        </w:tabs>
        <w:numPr>
          <w:ilvl w:val="0"/>
          <w:numId w:val="87"/>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1040" w:right="160" w:hanging="1032"/>
        <w:spacing w:after="0" w:line="314" w:lineRule="auto"/>
        <w:tabs>
          <w:tab w:leader="none" w:pos="1040" w:val="left"/>
        </w:tabs>
        <w:numPr>
          <w:ilvl w:val="0"/>
          <w:numId w:val="87"/>
        </w:numPr>
        <w:rPr>
          <w:rFonts w:ascii="Arial" w:cs="Arial" w:eastAsia="Arial" w:hAnsi="Arial"/>
          <w:sz w:val="11"/>
          <w:szCs w:val="11"/>
          <w:color w:val="auto"/>
        </w:rPr>
      </w:pPr>
      <w:r>
        <w:rPr>
          <w:rFonts w:ascii="Arial" w:cs="Arial" w:eastAsia="Arial" w:hAnsi="Arial"/>
          <w:sz w:val="12"/>
          <w:szCs w:val="12"/>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81" w:lineRule="exact"/>
        <w:rPr>
          <w:sz w:val="20"/>
          <w:szCs w:val="20"/>
          <w:color w:val="auto"/>
        </w:rPr>
      </w:pPr>
    </w:p>
    <w:p>
      <w:pPr>
        <w:ind w:right="80" w:firstLine="685"/>
        <w:spacing w:after="0" w:line="231" w:lineRule="auto"/>
        <w:rPr>
          <w:sz w:val="20"/>
          <w:szCs w:val="20"/>
          <w:color w:val="auto"/>
        </w:rPr>
      </w:pPr>
      <w:r>
        <w:rPr>
          <w:rFonts w:ascii="Arial" w:cs="Arial" w:eastAsia="Arial" w:hAnsi="Arial"/>
          <w:sz w:val="14"/>
          <w:szCs w:val="14"/>
          <w:color w:val="auto"/>
        </w:rPr>
        <w:t>Funding I’s Credit Facility with the Lenders is $200 million, subject to satisfaction of certain conditions and the regulatory restrictions that the 1940 Act imposes on us as a BDC, has an interest rate spread above LIBOR of 200 basis points, a maturity date of May 2018 and a revolving period that ends in May 2016. As of September 30, 2014 and September 30, 2013, Funding I had $146.4 million and $99.6 million of outstanding borrowings under the Credit Facility, respectively, and carried an interest rate of 2.16% and 2.18%, respectively, excluding the 0.375% undrawn commitment fee. The weighted average cost of debt for the years ended September 30, 2014, 2013 and 2012, inclusive of the fee on the undrawn commitment on the Credit Facility but excluding amendment costs, was 2.35%, 2.59% and 3.21%, respectively.</w:t>
      </w:r>
    </w:p>
    <w:p>
      <w:pPr>
        <w:spacing w:after="0" w:line="144" w:lineRule="exact"/>
        <w:rPr>
          <w:sz w:val="20"/>
          <w:szCs w:val="20"/>
          <w:color w:val="auto"/>
        </w:rPr>
      </w:pPr>
    </w:p>
    <w:p>
      <w:pPr>
        <w:ind w:right="460" w:firstLine="685"/>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8" w:lineRule="exact"/>
        <w:rPr>
          <w:sz w:val="20"/>
          <w:szCs w:val="20"/>
          <w:color w:val="auto"/>
        </w:rPr>
      </w:pPr>
    </w:p>
    <w:p>
      <w:pPr>
        <w:ind w:right="120" w:firstLine="685"/>
        <w:spacing w:after="0" w:line="256"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2014, we were in compliance with the covenants relating to our Credit Facility.</w:t>
      </w:r>
    </w:p>
    <w:p>
      <w:pPr>
        <w:spacing w:after="0" w:line="145"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2"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67"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and/or revolving lines of credit, if 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1040" w:hanging="78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1040" w:hanging="785"/>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040" w:right="880" w:hanging="839"/>
        <w:spacing w:after="0" w:line="332" w:lineRule="auto"/>
        <w:tabs>
          <w:tab w:leader="none" w:pos="1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31" w:lineRule="exact"/>
        <w:rPr>
          <w:rFonts w:ascii="Arial" w:cs="Arial" w:eastAsia="Arial" w:hAnsi="Arial"/>
          <w:sz w:val="16"/>
          <w:szCs w:val="16"/>
          <w:color w:val="auto"/>
        </w:rPr>
      </w:pPr>
    </w:p>
    <w:p>
      <w:pPr>
        <w:ind w:left="1040" w:right="220" w:hanging="844"/>
        <w:spacing w:after="0" w:line="268"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Annual Report on Form 10-K (File No. 814-00891), filed on November 14, 2013).</w:t>
      </w:r>
    </w:p>
    <w:p>
      <w:pPr>
        <w:spacing w:after="0" w:line="78" w:lineRule="exact"/>
        <w:rPr>
          <w:sz w:val="20"/>
          <w:szCs w:val="20"/>
          <w:color w:val="auto"/>
        </w:rPr>
      </w:pPr>
    </w:p>
    <w:p>
      <w:pPr>
        <w:ind w:left="1040" w:right="460" w:hanging="939"/>
        <w:spacing w:after="0" w:line="268" w:lineRule="auto"/>
        <w:tabs>
          <w:tab w:leader="none" w:pos="102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Share Certificate (Incorporated by reference to Exhibit 99(D) to the Registrant’s Pre-Effective Amendment No. 5 to the Registration Statement on Form N-2 (File No. 333-170243), filed on April 5, 2011).</w:t>
      </w:r>
    </w:p>
    <w:p>
      <w:pPr>
        <w:spacing w:after="0" w:line="78"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6"/>
          <w:szCs w:val="16"/>
          <w:color w:val="auto"/>
        </w:rPr>
        <w:t>(d)(2)</w:t>
      </w:r>
      <w:r>
        <w:rPr>
          <w:sz w:val="20"/>
          <w:szCs w:val="20"/>
          <w:color w:val="auto"/>
        </w:rPr>
        <w:tab/>
      </w:r>
      <w:r>
        <w:rPr>
          <w:rFonts w:ascii="Arial" w:cs="Arial" w:eastAsia="Arial" w:hAnsi="Arial"/>
          <w:sz w:val="16"/>
          <w:szCs w:val="16"/>
          <w:color w:val="auto"/>
        </w:rPr>
        <w:t>Form of Subscription Certificate (Incorporated by reference to Exhibit 99(D)(2) to the Registrant’s Registration Statement on Form N-2 (File No.</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333-180084), filed on March 14, 2012).</w:t>
      </w:r>
    </w:p>
    <w:p>
      <w:pPr>
        <w:spacing w:after="0" w:line="111" w:lineRule="exact"/>
        <w:rPr>
          <w:sz w:val="20"/>
          <w:szCs w:val="20"/>
          <w:color w:val="auto"/>
        </w:rPr>
      </w:pPr>
    </w:p>
    <w:p>
      <w:pPr>
        <w:ind w:left="1040" w:right="160" w:hanging="939"/>
        <w:spacing w:after="0" w:line="268" w:lineRule="auto"/>
        <w:tabs>
          <w:tab w:leader="none" w:pos="102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Form of Indenture (Incorporated by reference to Exhibit 99(D)(3) to the Registrant’s Registration Statement on Form N-2 (File No. 333-180084), filed on March 14, 2012).</w:t>
      </w:r>
    </w:p>
    <w:p>
      <w:pPr>
        <w:spacing w:after="0" w:line="78" w:lineRule="exact"/>
        <w:rPr>
          <w:sz w:val="20"/>
          <w:szCs w:val="20"/>
          <w:color w:val="auto"/>
        </w:rPr>
      </w:pPr>
    </w:p>
    <w:p>
      <w:pPr>
        <w:ind w:left="1040" w:right="320" w:hanging="939"/>
        <w:spacing w:after="0" w:line="268" w:lineRule="auto"/>
        <w:tabs>
          <w:tab w:leader="none" w:pos="102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Subscription Agent Agreement (Incorporated by reference to Exhibit 99(D)(4) to the Registrant’s Registration Statement on Form N-2 (File No. 333-180084), filed on March 14, 2012).</w:t>
      </w:r>
    </w:p>
    <w:p>
      <w:pPr>
        <w:spacing w:after="0" w:line="78" w:lineRule="exact"/>
        <w:rPr>
          <w:sz w:val="20"/>
          <w:szCs w:val="20"/>
          <w:color w:val="auto"/>
        </w:rPr>
      </w:pPr>
    </w:p>
    <w:p>
      <w:pPr>
        <w:ind w:left="1040" w:right="80" w:hanging="939"/>
        <w:spacing w:after="0" w:line="268" w:lineRule="auto"/>
        <w:tabs>
          <w:tab w:leader="none" w:pos="102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Warrant Agreement (Incorporated by reference to Exhibit 99(D)(5) to the Registrant’s Registration Statement on Form N-2 (File No. 333-180084), filed on March 14, 2012).</w:t>
      </w:r>
    </w:p>
    <w:p>
      <w:pPr>
        <w:spacing w:after="0" w:line="78" w:lineRule="exact"/>
        <w:rPr>
          <w:sz w:val="20"/>
          <w:szCs w:val="20"/>
          <w:color w:val="auto"/>
        </w:rPr>
      </w:pPr>
    </w:p>
    <w:p>
      <w:pPr>
        <w:ind w:left="1040" w:right="700" w:hanging="939"/>
        <w:spacing w:after="0" w:line="268" w:lineRule="auto"/>
        <w:tabs>
          <w:tab w:leader="none" w:pos="102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T-1 Statement of Eligibility with respect to the Form of Indenture (Incorporated by reference to Exhibit 99(D)(6) to the Registrant’s Registration Statement on Form N-2 (File No. 333-180084), filed on March 14, 2012).</w:t>
      </w:r>
    </w:p>
    <w:p>
      <w:pPr>
        <w:spacing w:after="0" w:line="78"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6"/>
          <w:szCs w:val="16"/>
          <w:color w:val="auto"/>
        </w:rPr>
        <w:t>(d)(7)</w:t>
      </w:r>
      <w:r>
        <w:rPr>
          <w:sz w:val="20"/>
          <w:szCs w:val="20"/>
          <w:color w:val="auto"/>
        </w:rPr>
        <w:tab/>
      </w:r>
      <w:r>
        <w:rPr>
          <w:rFonts w:ascii="Arial" w:cs="Arial" w:eastAsia="Arial" w:hAnsi="Arial"/>
          <w:sz w:val="16"/>
          <w:szCs w:val="16"/>
          <w:color w:val="auto"/>
        </w:rPr>
        <w:t>Form of Articles Supplementary (Incorporated by reference to Exhibit 99(D)(7) to the Registrant’s Registration Statement on Form N-2 (File No.</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333-180084), filed on March 14, 2012).</w:t>
      </w:r>
    </w:p>
    <w:p>
      <w:pPr>
        <w:spacing w:after="0" w:line="111" w:lineRule="exact"/>
        <w:rPr>
          <w:sz w:val="20"/>
          <w:szCs w:val="20"/>
          <w:color w:val="auto"/>
        </w:rPr>
      </w:pPr>
    </w:p>
    <w:p>
      <w:pPr>
        <w:ind w:left="1040" w:right="260" w:hanging="839"/>
        <w:spacing w:after="0" w:line="268"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Pre-Effective Amendment No. 3 to the Registration Statement on Form N-2 (File No. 333-170243), filed on March 29, 2011).</w:t>
      </w:r>
    </w:p>
    <w:p>
      <w:pPr>
        <w:spacing w:after="0" w:line="78" w:lineRule="exact"/>
        <w:rPr>
          <w:sz w:val="20"/>
          <w:szCs w:val="20"/>
          <w:color w:val="auto"/>
        </w:rPr>
      </w:pPr>
    </w:p>
    <w:p>
      <w:pPr>
        <w:ind w:left="1040" w:right="280" w:hanging="844"/>
        <w:spacing w:after="0" w:line="259"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86" w:lineRule="exact"/>
        <w:rPr>
          <w:sz w:val="20"/>
          <w:szCs w:val="20"/>
          <w:color w:val="auto"/>
        </w:rPr>
      </w:pPr>
    </w:p>
    <w:p>
      <w:pPr>
        <w:ind w:left="1040" w:hanging="939"/>
        <w:spacing w:after="0" w:line="268" w:lineRule="auto"/>
        <w:tabs>
          <w:tab w:leader="none" w:pos="102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Registration Statement on Form N-2 (File No. 333-180084), filed on March 14, 2012).</w:t>
      </w:r>
    </w:p>
    <w:p>
      <w:pPr>
        <w:spacing w:after="0" w:line="78" w:lineRule="exact"/>
        <w:rPr>
          <w:sz w:val="20"/>
          <w:szCs w:val="20"/>
          <w:color w:val="auto"/>
        </w:rPr>
      </w:pPr>
    </w:p>
    <w:p>
      <w:pPr>
        <w:ind w:left="1040" w:right="140" w:hanging="939"/>
        <w:spacing w:after="0" w:line="268" w:lineRule="auto"/>
        <w:tabs>
          <w:tab w:leader="none" w:pos="102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pacing w:after="0" w:line="78" w:lineRule="exact"/>
        <w:rPr>
          <w:sz w:val="20"/>
          <w:szCs w:val="20"/>
          <w:color w:val="auto"/>
        </w:rPr>
      </w:pPr>
    </w:p>
    <w:p>
      <w:pPr>
        <w:ind w:left="1040" w:hanging="82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Form of Custodian Agreement between the Registrant and The Bank of New York Mellon (Incorporated by reference to</w:t>
      </w:r>
    </w:p>
    <w:p>
      <w:pPr>
        <w:spacing w:after="0" w:line="15" w:lineRule="exact"/>
        <w:rPr>
          <w:rFonts w:ascii="Arial" w:cs="Arial" w:eastAsia="Arial" w:hAnsi="Arial"/>
          <w:sz w:val="18"/>
          <w:szCs w:val="18"/>
          <w:color w:val="auto"/>
        </w:rPr>
      </w:pPr>
    </w:p>
    <w:p>
      <w:pPr>
        <w:ind w:left="1040" w:right="500"/>
        <w:spacing w:after="0" w:line="261" w:lineRule="auto"/>
        <w:rPr>
          <w:rFonts w:ascii="Arial" w:cs="Arial" w:eastAsia="Arial" w:hAnsi="Arial"/>
          <w:sz w:val="18"/>
          <w:szCs w:val="18"/>
          <w:color w:val="auto"/>
        </w:rPr>
      </w:pPr>
      <w:r>
        <w:rPr>
          <w:rFonts w:ascii="Arial" w:cs="Arial" w:eastAsia="Arial" w:hAnsi="Arial"/>
          <w:sz w:val="18"/>
          <w:szCs w:val="18"/>
          <w:color w:val="auto"/>
        </w:rPr>
        <w:t>Exhibit 99(J) to the Registrant’s Pre-Effective Amendment No. 3 to the Registration Statement on Form N-2 (File No. 333-170243), filed on March 29, 2011).</w:t>
      </w:r>
    </w:p>
    <w:p>
      <w:pPr>
        <w:spacing w:after="0" w:line="84" w:lineRule="exact"/>
        <w:rPr>
          <w:sz w:val="20"/>
          <w:szCs w:val="20"/>
          <w:color w:val="auto"/>
        </w:rPr>
      </w:pPr>
    </w:p>
    <w:p>
      <w:pPr>
        <w:jc w:val="both"/>
        <w:ind w:left="1040" w:right="580" w:hanging="939"/>
        <w:spacing w:after="0" w:line="259" w:lineRule="auto"/>
        <w:tabs>
          <w:tab w:leader="none" w:pos="102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Stock Transfer Agency Agreement between the Registrant and American Stock Transfer &amp; Trust Company, LLC (Incorporated by reference to Exhibit 99(K)(1) to the Registrant’s Pre-Effective Amendment No. 3 to the Registration Statement on Form N-2 (File No. 333-170243), filed on March 29, 2011).</w:t>
      </w:r>
    </w:p>
    <w:p>
      <w:pPr>
        <w:spacing w:after="0" w:line="86" w:lineRule="exact"/>
        <w:rPr>
          <w:sz w:val="20"/>
          <w:szCs w:val="20"/>
          <w:color w:val="auto"/>
        </w:rPr>
      </w:pPr>
    </w:p>
    <w:p>
      <w:pPr>
        <w:ind w:left="1040" w:right="240" w:hanging="939"/>
        <w:spacing w:after="0" w:line="259" w:lineRule="auto"/>
        <w:tabs>
          <w:tab w:leader="none" w:pos="10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Form of Administration Agreement between the Registrant and PennantPark Investment Administration, LLC (Incorporated by reference to Exhibit 99(K)(2) to the Registrant’s Pre-Effective Amendment No. 3 to the Registration Statement on Form N-2 (File No. 333-170243), filed on March 29, 2011).</w:t>
      </w:r>
    </w:p>
    <w:p>
      <w:pPr>
        <w:spacing w:after="0" w:line="86" w:lineRule="exact"/>
        <w:rPr>
          <w:sz w:val="20"/>
          <w:szCs w:val="20"/>
          <w:color w:val="auto"/>
        </w:rPr>
      </w:pPr>
    </w:p>
    <w:p>
      <w:pPr>
        <w:ind w:left="1040" w:right="180" w:hanging="939"/>
        <w:spacing w:after="0" w:line="268" w:lineRule="auto"/>
        <w:tabs>
          <w:tab w:leader="none" w:pos="10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Form of Trademark License Agreement (Incorporated by reference to Exhibit 99(K)(3) to the Registrant’s Pre-Effective Amendment No. 3 to the Registration Statement on Form N-2 (File No. 333-170243), filed on March 29, 2011).</w:t>
      </w:r>
    </w:p>
    <w:p>
      <w:pPr>
        <w:spacing w:after="0" w:line="78" w:lineRule="exact"/>
        <w:rPr>
          <w:sz w:val="20"/>
          <w:szCs w:val="20"/>
          <w:color w:val="auto"/>
        </w:rPr>
      </w:pPr>
    </w:p>
    <w:p>
      <w:pPr>
        <w:jc w:val="both"/>
        <w:ind w:left="1040" w:right="220" w:hanging="939"/>
        <w:spacing w:after="0" w:line="259" w:lineRule="auto"/>
        <w:tabs>
          <w:tab w:leader="none" w:pos="102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18" w:lineRule="exact"/>
        <w:rPr>
          <w:sz w:val="20"/>
          <w:szCs w:val="20"/>
          <w:color w:val="auto"/>
        </w:rPr>
      </w:pPr>
    </w:p>
    <w:p>
      <w:pPr>
        <w:ind w:left="1160" w:hanging="851"/>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97"/>
              </w:rPr>
              <w:t>(k)(5)</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Second Amended and Restated Revolving Credit and Security Agreement, dated as of October 1, 2013 among PennantPark Floating Rate</w:t>
            </w:r>
          </w:p>
        </w:tc>
      </w:tr>
      <w:tr>
        <w:trPr>
          <w:trHeight w:val="216"/>
        </w:trPr>
        <w:tc>
          <w:tcPr>
            <w:tcW w:w="7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Funding I, LLC, as borrower, PennantPark Investment Advisers, LLC, as collateral manager, the lenders from time to time parties thereto,</w:t>
            </w:r>
          </w:p>
        </w:tc>
      </w:tr>
      <w:tr>
        <w:trPr>
          <w:trHeight w:val="216"/>
        </w:trPr>
        <w:tc>
          <w:tcPr>
            <w:tcW w:w="78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SunTrust Bank, as administrative agent, and U.S. Bank National Association, as collateral agent, as backup collateral manager, and as custodian.</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10.1 to the Registrant’s Annual Report on Form 10-K (File No. 814-00891), filed on November 14, 2013).</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99"/>
              </w:rPr>
              <w:t>(l)(1)</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Opinion and Consent of Venable LLP (Incorporated by reference to Exhibit (l)(1) to the Registrant’s Registration Statement on Form N-2 (File</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No. 333-190602), filed on August 13, 2013).</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99"/>
              </w:rPr>
              <w:t>(l)(2)</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Opinion and Consent of Dechert LLP (Incorporated by reference to Exhibit (l)(2) to the Registrant’s Registration Statement on Form N-2 (File</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No. 333-190602), filed on August 13, 2013).</w:t>
            </w:r>
          </w:p>
        </w:tc>
      </w:tr>
      <w:tr>
        <w:trPr>
          <w:trHeight w:val="324"/>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97"/>
              </w:rPr>
              <w:t>(n)(1)*</w:t>
            </w:r>
          </w:p>
        </w:tc>
        <w:tc>
          <w:tcPr>
            <w:tcW w:w="10520" w:type="dxa"/>
            <w:vAlign w:val="bottom"/>
          </w:tcPr>
          <w:p>
            <w:pPr>
              <w:ind w:left="280"/>
              <w:spacing w:after="0"/>
              <w:rPr>
                <w:sz w:val="20"/>
                <w:szCs w:val="20"/>
                <w:color w:val="auto"/>
              </w:rPr>
            </w:pPr>
            <w:r>
              <w:rPr>
                <w:rFonts w:ascii="Arial" w:cs="Arial" w:eastAsia="Arial" w:hAnsi="Arial"/>
                <w:sz w:val="18"/>
                <w:szCs w:val="18"/>
                <w:color w:val="auto"/>
              </w:rPr>
              <w:t>Consent of KPMG LLP.</w:t>
            </w:r>
          </w:p>
        </w:tc>
      </w:tr>
      <w:tr>
        <w:trPr>
          <w:trHeight w:val="324"/>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97"/>
              </w:rPr>
              <w:t>(n)(2)*</w:t>
            </w:r>
          </w:p>
        </w:tc>
        <w:tc>
          <w:tcPr>
            <w:tcW w:w="10520" w:type="dxa"/>
            <w:vAlign w:val="bottom"/>
          </w:tcPr>
          <w:p>
            <w:pPr>
              <w:ind w:left="280"/>
              <w:spacing w:after="0"/>
              <w:rPr>
                <w:sz w:val="20"/>
                <w:szCs w:val="20"/>
                <w:color w:val="auto"/>
              </w:rPr>
            </w:pPr>
            <w:r>
              <w:rPr>
                <w:rFonts w:ascii="Arial" w:cs="Arial" w:eastAsia="Arial" w:hAnsi="Arial"/>
                <w:sz w:val="18"/>
                <w:szCs w:val="18"/>
                <w:color w:val="auto"/>
              </w:rPr>
              <w:t>Consent of McGladrey LLP.</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94"/>
              </w:rPr>
              <w:t>(r)(1)</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Joint Code of Ethics of the Registrant, PennantPark Investment Corporation and PennantPark Investment Advisers, LLC (Incorporated by</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reference to Exhibit 14.1 to the Registrant’s Annual Report on Form 10-K (File No. 814-00891), filed on November 13, 2014).</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8"/>
              </w:rPr>
              <w:t>(s)(1)</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Form of Prospectus Supplement For Common Stock Offerings (Incorporated by reference to Exhibit 99(S)(1) to the Registrant’s Registration</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8"/>
              </w:rPr>
              <w:t>(s)(2)</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Form of Prospectus Supplement For Preferred Stock Offerings (Incorporated by reference to Exhibit 99(S)(2) to the Registrant’s Registration</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8"/>
              </w:rPr>
              <w:t>(s)(3)</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Prospectus Supplement For Debt Offerings (Incorporated by reference to Exhibit 99(S)(3) to the Registrant’s Registration Statement on</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N-2 (File No. 333-180084), filed on March 14, 2012).</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8"/>
              </w:rPr>
              <w:t>(s)(4)</w:t>
            </w:r>
          </w:p>
        </w:tc>
        <w:tc>
          <w:tcPr>
            <w:tcW w:w="10520" w:type="dxa"/>
            <w:vAlign w:val="bottom"/>
          </w:tcPr>
          <w:p>
            <w:pPr>
              <w:ind w:left="280"/>
              <w:spacing w:after="0"/>
              <w:rPr>
                <w:sz w:val="20"/>
                <w:szCs w:val="20"/>
                <w:color w:val="auto"/>
              </w:rPr>
            </w:pPr>
            <w:r>
              <w:rPr>
                <w:rFonts w:ascii="Arial" w:cs="Arial" w:eastAsia="Arial" w:hAnsi="Arial"/>
                <w:sz w:val="18"/>
                <w:szCs w:val="18"/>
                <w:color w:val="auto"/>
                <w:w w:val="88"/>
              </w:rPr>
              <w:t>Form of Prospectus Supplement For Rights Offerings (Incorporated by reference to Exhibit 99(S)(4) to the Registrant’s Registration Statement on</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N-2 (File No. 333-180084), filed on March 14, 2012).</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8"/>
              </w:rPr>
              <w:t>(s)(5)</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Prospectus Supplement For Warrant Offerings (Incorporated by reference to Exhibit 99(S)(5) to the Registrant’s Registration Statement</w:t>
            </w:r>
          </w:p>
        </w:tc>
      </w:tr>
      <w:tr>
        <w:trPr>
          <w:trHeight w:val="222"/>
        </w:trPr>
        <w:tc>
          <w:tcPr>
            <w:tcW w:w="78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on Form N-2 (File No. 333-180084), filed on March 14, 2012).</w:t>
            </w:r>
          </w:p>
        </w:tc>
      </w:tr>
    </w:tbl>
    <w:p>
      <w:pPr>
        <w:spacing w:after="0" w:line="275"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109,120</w:t>
            </w:r>
          </w:p>
        </w:tc>
        <w:tc>
          <w:tcPr>
            <w:tcW w:w="120" w:type="dxa"/>
            <w:vAlign w:val="bottom"/>
            <w:shd w:val="clear" w:color="auto" w:fill="CCEEFF"/>
          </w:tcPr>
          <w:p>
            <w:pPr>
              <w:spacing w:after="0"/>
              <w:rPr>
                <w:sz w:val="18"/>
                <w:szCs w:val="18"/>
                <w:color w:val="auto"/>
              </w:rPr>
            </w:pPr>
          </w:p>
        </w:tc>
      </w:tr>
      <w:tr>
        <w:trPr>
          <w:trHeight w:val="268"/>
        </w:trPr>
        <w:tc>
          <w:tcPr>
            <w:tcW w:w="6040" w:type="dxa"/>
            <w:vAlign w:val="bottom"/>
          </w:tcPr>
          <w:p>
            <w:pPr>
              <w:spacing w:after="0"/>
              <w:rPr>
                <w:sz w:val="20"/>
                <w:szCs w:val="20"/>
                <w:color w:val="auto"/>
              </w:rPr>
            </w:pPr>
            <w:r>
              <w:rPr>
                <w:rFonts w:ascii="Arial" w:cs="Arial" w:eastAsia="Arial" w:hAnsi="Arial"/>
                <w:sz w:val="18"/>
                <w:szCs w:val="18"/>
                <w:color w:val="auto"/>
              </w:rPr>
              <w:t>NASDAQ listing fee</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195,000</w:t>
            </w:r>
          </w:p>
        </w:tc>
        <w:tc>
          <w:tcPr>
            <w:tcW w:w="120" w:type="dxa"/>
            <w:vAlign w:val="bottom"/>
          </w:tcPr>
          <w:p>
            <w:pPr>
              <w:spacing w:after="0"/>
              <w:rPr>
                <w:sz w:val="23"/>
                <w:szCs w:val="23"/>
                <w:color w:val="auto"/>
              </w:rPr>
            </w:pPr>
          </w:p>
        </w:tc>
      </w:tr>
      <w:tr>
        <w:trPr>
          <w:trHeight w:val="29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115,016</w:t>
            </w:r>
          </w:p>
        </w:tc>
        <w:tc>
          <w:tcPr>
            <w:tcW w:w="120" w:type="dxa"/>
            <w:vAlign w:val="bottom"/>
            <w:shd w:val="clear" w:color="auto" w:fill="CCEEFF"/>
          </w:tcPr>
          <w:p>
            <w:pPr>
              <w:spacing w:after="0"/>
              <w:rPr>
                <w:sz w:val="24"/>
                <w:szCs w:val="24"/>
                <w:color w:val="auto"/>
              </w:rPr>
            </w:pPr>
          </w:p>
        </w:tc>
      </w:tr>
      <w:tr>
        <w:trPr>
          <w:trHeight w:val="268"/>
        </w:trPr>
        <w:tc>
          <w:tcPr>
            <w:tcW w:w="604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372,000</w:t>
            </w:r>
          </w:p>
        </w:tc>
        <w:tc>
          <w:tcPr>
            <w:tcW w:w="120" w:type="dxa"/>
            <w:vAlign w:val="bottom"/>
          </w:tcPr>
          <w:p>
            <w:pPr>
              <w:spacing w:after="0"/>
              <w:rPr>
                <w:sz w:val="23"/>
                <w:szCs w:val="23"/>
                <w:color w:val="auto"/>
              </w:rPr>
            </w:pPr>
          </w:p>
        </w:tc>
      </w:tr>
      <w:tr>
        <w:trPr>
          <w:trHeight w:val="29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24"/>
                <w:szCs w:val="24"/>
                <w:color w:val="auto"/>
              </w:rPr>
            </w:pPr>
          </w:p>
        </w:tc>
      </w:tr>
      <w:tr>
        <w:trPr>
          <w:trHeight w:val="268"/>
        </w:trPr>
        <w:tc>
          <w:tcPr>
            <w:tcW w:w="60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308,500</w:t>
            </w:r>
          </w:p>
        </w:tc>
        <w:tc>
          <w:tcPr>
            <w:tcW w:w="120" w:type="dxa"/>
            <w:vAlign w:val="bottom"/>
          </w:tcPr>
          <w:p>
            <w:pPr>
              <w:spacing w:after="0"/>
              <w:rPr>
                <w:sz w:val="23"/>
                <w:szCs w:val="23"/>
                <w:color w:val="auto"/>
              </w:rPr>
            </w:pPr>
          </w:p>
        </w:tc>
      </w:tr>
      <w:tr>
        <w:trPr>
          <w:trHeight w:val="29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100,364</w:t>
            </w:r>
          </w:p>
        </w:tc>
        <w:tc>
          <w:tcPr>
            <w:tcW w:w="120" w:type="dxa"/>
            <w:vAlign w:val="bottom"/>
            <w:shd w:val="clear" w:color="auto" w:fill="CCEEFF"/>
          </w:tcPr>
          <w:p>
            <w:pPr>
              <w:spacing w:after="0"/>
              <w:rPr>
                <w:sz w:val="24"/>
                <w:szCs w:val="24"/>
                <w:color w:val="auto"/>
              </w:rPr>
            </w:pPr>
          </w:p>
        </w:tc>
      </w:tr>
      <w:tr>
        <w:trPr>
          <w:trHeight w:val="337"/>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4"/>
                <w:szCs w:val="24"/>
                <w:color w:val="auto"/>
              </w:rPr>
            </w:pPr>
          </w:p>
        </w:tc>
      </w:tr>
      <w:tr>
        <w:trPr>
          <w:trHeight w:val="20"/>
        </w:trPr>
        <w:tc>
          <w:tcPr>
            <w:tcW w:w="6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600" w:type="dxa"/>
            <w:vAlign w:val="bottom"/>
            <w:vMerge w:val="restart"/>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Voting Securities</w:t>
            </w:r>
          </w:p>
        </w:tc>
        <w:tc>
          <w:tcPr>
            <w:tcW w:w="0" w:type="dxa"/>
            <w:vAlign w:val="bottom"/>
          </w:tcPr>
          <w:p>
            <w:pPr>
              <w:spacing w:after="0"/>
              <w:rPr>
                <w:sz w:val="1"/>
                <w:szCs w:val="1"/>
                <w:color w:val="auto"/>
              </w:rPr>
            </w:pPr>
          </w:p>
        </w:tc>
      </w:tr>
      <w:tr>
        <w:trPr>
          <w:trHeight w:val="161"/>
        </w:trPr>
        <w:tc>
          <w:tcPr>
            <w:tcW w:w="472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 Percentage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PennantPark Floating Rate Funding I, LLC (Delaware)</w:t>
            </w:r>
          </w:p>
        </w:tc>
        <w:tc>
          <w:tcPr>
            <w:tcW w:w="160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73"/>
        </w:trPr>
        <w:tc>
          <w:tcPr>
            <w:tcW w:w="47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7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6320" w:type="dxa"/>
            <w:vAlign w:val="bottom"/>
            <w:gridSpan w:val="2"/>
          </w:tcPr>
          <w:p>
            <w:pPr>
              <w:ind w:left="3740"/>
              <w:spacing w:after="0"/>
              <w:rPr>
                <w:sz w:val="20"/>
                <w:szCs w:val="20"/>
                <w:color w:val="auto"/>
              </w:rPr>
            </w:pPr>
            <w:r>
              <w:rPr>
                <w:rFonts w:ascii="Arial" w:cs="Arial" w:eastAsia="Arial" w:hAnsi="Arial"/>
                <w:sz w:val="18"/>
                <w:szCs w:val="18"/>
                <w:color w:val="auto"/>
              </w:rPr>
              <w:t>C-3</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42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700" w:type="dxa"/>
            <w:vAlign w:val="bottom"/>
            <w:gridSpan w:val="3"/>
          </w:tcPr>
          <w:p>
            <w:pPr>
              <w:ind w:left="580"/>
              <w:spacing w:after="0"/>
              <w:rPr>
                <w:sz w:val="20"/>
                <w:szCs w:val="20"/>
                <w:color w:val="auto"/>
              </w:rPr>
            </w:pPr>
            <w:r>
              <w:rPr>
                <w:rFonts w:ascii="Arial" w:cs="Arial" w:eastAsia="Arial" w:hAnsi="Arial"/>
                <w:sz w:val="18"/>
                <w:szCs w:val="18"/>
                <w:color w:val="auto"/>
              </w:rPr>
              <w:t>As of September 30, 2014</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center"/>
              <w:ind w:right="5380"/>
              <w:spacing w:after="0"/>
              <w:rPr>
                <w:sz w:val="20"/>
                <w:szCs w:val="20"/>
                <w:color w:val="auto"/>
              </w:rPr>
            </w:pPr>
            <w:r>
              <w:rPr>
                <w:rFonts w:ascii="Arial" w:cs="Arial" w:eastAsia="Arial" w:hAnsi="Arial"/>
                <w:sz w:val="14"/>
                <w:szCs w:val="14"/>
                <w:b w:val="1"/>
                <w:bCs w:val="1"/>
                <w:color w:val="auto"/>
                <w:w w:val="87"/>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522"/>
              <w:spacing w:after="0" w:line="202" w:lineRule="exact"/>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520"/>
          </w:cols>
          <w:pgMar w:left="240" w:top="459" w:right="11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00"/>
          </w:cols>
          <w:pgMar w:left="24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w:t>
      </w:r>
      <w:r>
        <w:rPr>
          <w:rFonts w:ascii="Arial" w:cs="Arial" w:eastAsia="Arial" w:hAnsi="Arial"/>
          <w:sz w:val="11"/>
          <w:szCs w:val="11"/>
          <w:color w:val="auto"/>
        </w:rPr>
        <w:t>th</w:t>
      </w:r>
      <w:r>
        <w:rPr>
          <w:rFonts w:ascii="Arial" w:cs="Arial" w:eastAsia="Arial" w:hAnsi="Arial"/>
          <w:sz w:val="18"/>
          <w:szCs w:val="18"/>
          <w:color w:val="auto"/>
        </w:rPr>
        <w:t xml:space="preserve"> Avenue, 3rd floor,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960"/>
          </w:cols>
          <w:pgMar w:left="240" w:top="460" w:right="6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219"/>
          </w:cols>
          <w:pgMar w:left="240" w:top="460" w:right="1440"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jc w:val="both"/>
        <w:ind w:right="220" w:firstLine="579"/>
        <w:spacing w:after="0" w:line="259" w:lineRule="auto"/>
        <w:tabs>
          <w:tab w:leader="none" w:pos="8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suspend the offering of shares until it amends its prospectus if (1) subsequent to the effective date of its registration statement, the NAV declines more than 10 percent from its NAV as of the effective date of the registrations statement or (2)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firstLine="579"/>
        <w:spacing w:after="0" w:line="294" w:lineRule="auto"/>
        <w:tabs>
          <w:tab w:leader="none" w:pos="819"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000" w:hanging="207"/>
        <w:spacing w:after="0"/>
        <w:tabs>
          <w:tab w:leader="none" w:pos="10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240" w:firstLine="433"/>
        <w:spacing w:after="0" w:line="357" w:lineRule="auto"/>
        <w:tabs>
          <w:tab w:leader="none" w:pos="1061" w:val="left"/>
        </w:tabs>
        <w:numPr>
          <w:ilvl w:val="1"/>
          <w:numId w:val="98"/>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360" w:right="180" w:firstLine="433"/>
        <w:spacing w:after="0" w:line="268" w:lineRule="auto"/>
        <w:tabs>
          <w:tab w:leader="none" w:pos="111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320" w:firstLine="666"/>
        <w:spacing w:after="0" w:line="268" w:lineRule="auto"/>
        <w:tabs>
          <w:tab w:leader="none" w:pos="90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right="140" w:firstLine="666"/>
        <w:spacing w:after="0" w:line="259" w:lineRule="auto"/>
        <w:tabs>
          <w:tab w:leader="none" w:pos="8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920" w:hanging="254"/>
        <w:spacing w:after="0"/>
        <w:tabs>
          <w:tab w:leader="none" w:pos="9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offering;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66"/>
        <w:spacing w:after="0" w:line="290" w:lineRule="auto"/>
        <w:tabs>
          <w:tab w:leader="none" w:pos="89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right="200" w:firstLine="666"/>
        <w:spacing w:after="0" w:line="298" w:lineRule="auto"/>
        <w:tabs>
          <w:tab w:leader="none" w:pos="87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31" w:lineRule="exact"/>
        <w:rPr>
          <w:rFonts w:ascii="Arial" w:cs="Arial" w:eastAsia="Arial" w:hAnsi="Arial"/>
          <w:sz w:val="16"/>
          <w:szCs w:val="16"/>
          <w:color w:val="auto"/>
        </w:rPr>
      </w:pPr>
    </w:p>
    <w:p>
      <w:pPr>
        <w:ind w:left="360" w:right="160" w:firstLine="433"/>
        <w:spacing w:after="0" w:line="268" w:lineRule="auto"/>
        <w:tabs>
          <w:tab w:leader="none" w:pos="101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360" w:right="220" w:firstLine="433"/>
        <w:spacing w:after="0" w:line="268" w:lineRule="auto"/>
        <w:tabs>
          <w:tab w:leader="none" w:pos="106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100" w:hanging="307"/>
        <w:spacing w:after="0"/>
        <w:tabs>
          <w:tab w:leader="none" w:pos="11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firstLine="666"/>
        <w:spacing w:after="0" w:line="254" w:lineRule="auto"/>
        <w:tabs>
          <w:tab w:leader="none" w:pos="9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59" w:lineRule="exact"/>
        <w:rPr>
          <w:sz w:val="20"/>
          <w:szCs w:val="20"/>
          <w:color w:val="auto"/>
        </w:rPr>
      </w:pPr>
    </w:p>
    <w:p>
      <w:pPr>
        <w:jc w:val="both"/>
        <w:ind w:right="120" w:firstLine="666"/>
        <w:spacing w:after="0" w:line="259" w:lineRule="auto"/>
        <w:tabs>
          <w:tab w:leader="none" w:pos="90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60" w:firstLine="579"/>
        <w:spacing w:after="0" w:line="291" w:lineRule="auto"/>
        <w:tabs>
          <w:tab w:leader="none" w:pos="8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State of New York, on the 25th day of November 2014.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Arthur H. Penn</w:t>
            </w:r>
          </w:p>
        </w:tc>
      </w:tr>
      <w:tr>
        <w:trPr>
          <w:trHeight w:val="17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Board of Directors</w:t>
            </w:r>
          </w:p>
        </w:tc>
      </w:tr>
    </w:tbl>
    <w:p>
      <w:pPr>
        <w:spacing w:after="0" w:line="154"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on Form N-2 has been signed by the following persons in the capacities set forth below on the 25th day of November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04"/>
        </w:trPr>
        <w:tc>
          <w:tcPr>
            <w:tcW w:w="5260" w:type="dxa"/>
            <w:vAlign w:val="bottom"/>
            <w:vMerge w:val="restart"/>
          </w:tcPr>
          <w:p>
            <w:pPr>
              <w:ind w:left="1760"/>
              <w:spacing w:after="0"/>
              <w:rPr>
                <w:sz w:val="20"/>
                <w:szCs w:val="20"/>
                <w:color w:val="auto"/>
              </w:rPr>
            </w:pPr>
            <w:r>
              <w:rPr>
                <w:rFonts w:ascii="Arial" w:cs="Arial" w:eastAsia="Arial" w:hAnsi="Arial"/>
                <w:sz w:val="18"/>
                <w:szCs w:val="18"/>
                <w:color w:val="auto"/>
              </w:rPr>
              <w:t>/s/  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vMerge w:val="continue"/>
          </w:tcPr>
          <w:p>
            <w:pPr>
              <w:spacing w:after="0"/>
              <w:rPr>
                <w:sz w:val="18"/>
                <w:szCs w:val="18"/>
                <w:color w:val="auto"/>
              </w:rPr>
            </w:pPr>
          </w:p>
        </w:tc>
        <w:tc>
          <w:tcPr>
            <w:tcW w:w="8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222"/>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6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24"/>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800" w:type="dxa"/>
            <w:vAlign w:val="bottom"/>
          </w:tcPr>
          <w:p>
            <w:pPr>
              <w:spacing w:after="0"/>
              <w:rPr>
                <w:sz w:val="19"/>
                <w:szCs w:val="19"/>
                <w:color w:val="auto"/>
              </w:rPr>
            </w:pPr>
          </w:p>
        </w:tc>
        <w:tc>
          <w:tcPr>
            <w:tcW w:w="536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540" w:right="2240" w:hanging="5532"/>
        <w:spacing w:after="0" w:line="440" w:lineRule="auto"/>
        <w:tabs>
          <w:tab w:leader="none" w:pos="22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on August 13, 2013. C-11</w:t>
      </w:r>
    </w:p>
    <w:p>
      <w:pPr>
        <w:sectPr>
          <w:pgSz w:w="11900" w:h="16838" w:orient="portrait"/>
          <w:cols w:equalWidth="0" w:num="1">
            <w:col w:w="11420"/>
          </w:cols>
          <w:pgMar w:left="240" w:top="459"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Subsidiary</w:t>
      </w:r>
    </w:p>
    <w:p>
      <w:pPr>
        <w:spacing w:after="0" w:line="16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We consent to the use of our audit report dated November 14, 2013 with respect to the consolidated financial statements of PennantPark Floating Rate Capital Ltd. and its subsidiary (the “Company”) as of September 30, 2013, and for each of the years in the two-year period ended September 30, 2013, included in the Registration Statement on Form N-2, and to the reference to our firm under the heading “Independent Registered Public Accounting Firm”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2014</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340" w:firstLine="571"/>
        <w:spacing w:after="0" w:line="259" w:lineRule="auto"/>
        <w:rPr>
          <w:sz w:val="20"/>
          <w:szCs w:val="20"/>
          <w:color w:val="auto"/>
        </w:rPr>
      </w:pPr>
      <w:r>
        <w:rPr>
          <w:rFonts w:ascii="Arial" w:cs="Arial" w:eastAsia="Arial" w:hAnsi="Arial"/>
          <w:sz w:val="18"/>
          <w:szCs w:val="18"/>
          <w:color w:val="auto"/>
        </w:rPr>
        <w:t>We consent to the use in this Registration Statement (No. 333-192782) on Form N-2 of PennantPark Floating Rate Capital Ltd. and Subsidiary of our reports dated November 13, 2014, relating to our audits of the consolidated financial statements and internal control over financial reporting, appearing in the Prospectus, which is part of this Registration Statement.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decimal"/>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decimal"/>
      <w:start w:val="820"/>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2"/>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5"/>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1)"/>
      <w:numFmt w:val="decimal"/>
      <w:start w:val="2"/>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lowerLetter"/>
      <w:start w:val="2"/>
    </w:lvl>
    <w:lvl w:ilvl="1">
      <w:lvlJc w:val="left"/>
      <w:lvlText w:val="•"/>
      <w:numFmt w:val="bullet"/>
      <w:start w:val="1"/>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Letter"/>
      <w:start w:val="2"/>
    </w:lvl>
  </w:abstractNum>
  <w:abstractNum w:abstractNumId="31">
    <w:nsid w:val="1381823A"/>
    <w:multiLevelType w:val="hybridMultilevel"/>
    <w:lvl w:ilvl="0">
      <w:lvlJc w:val="left"/>
      <w:lvlText w:val="%1)"/>
      <w:numFmt w:val="lowerLetter"/>
      <w:start w:val="3"/>
    </w:lvl>
  </w:abstractNum>
  <w:abstractNum w:abstractNumId="32">
    <w:nsid w:val="5DB70AE5"/>
    <w:multiLevelType w:val="hybridMultilevel"/>
    <w:lvl w:ilvl="0">
      <w:lvlJc w:val="left"/>
      <w:lvlText w:val="%1)"/>
      <w:numFmt w:val="lowerLetter"/>
      <w:start w:val="4"/>
    </w:lvl>
  </w:abstractNum>
  <w:abstractNum w:abstractNumId="33">
    <w:nsid w:val="100F8FCA"/>
    <w:multiLevelType w:val="hybridMultilevel"/>
    <w:lvl w:ilvl="0">
      <w:lvlJc w:val="left"/>
      <w:lvlText w:val="%1)"/>
      <w:numFmt w:val="lowerLetter"/>
      <w:start w:val="5"/>
    </w:lvl>
  </w:abstractNum>
  <w:abstractNum w:abstractNumId="34">
    <w:nsid w:val="6590700B"/>
    <w:multiLevelType w:val="hybridMultilevel"/>
    <w:lvl w:ilvl="0">
      <w:lvlJc w:val="left"/>
      <w:lvlText w:val="%1)"/>
      <w:numFmt w:val="lowerLetter"/>
      <w:start w:val="6"/>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lowerLetter"/>
      <w:start w:val="2"/>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lvl w:ilvl="1">
      <w:lvlJc w:val="left"/>
      <w:lvlText w:val="%2)"/>
      <w:numFmt w:val="decimal"/>
      <w:start w:val="1"/>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decimal"/>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1"/>
    </w:lvl>
  </w:abstractNum>
  <w:abstractNum w:abstractNumId="84">
    <w:nsid w:val="60EF0119"/>
    <w:multiLevelType w:val="hybridMultilevel"/>
    <w:lvl w:ilvl="0">
      <w:lvlJc w:val="left"/>
      <w:lvlText w:val="(%1)"/>
      <w:numFmt w:val="decimal"/>
      <w:start w:val="4"/>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1"/>
      <w:numFmt w:val="bullet"/>
      <w:start w:val="1"/>
    </w:lvl>
  </w:abstractNum>
  <w:abstractNum w:abstractNumId="88">
    <w:nsid w:val="7055A5F5"/>
    <w:multiLevelType w:val="hybridMultilevel"/>
    <w:lvl w:ilvl="0">
      <w:lvlJc w:val="left"/>
      <w:lvlText w:val="2"/>
      <w:numFmt w:val="bullet"/>
      <w:start w:val="1"/>
    </w:lvl>
  </w:abstractNum>
  <w:abstractNum w:abstractNumId="89">
    <w:nsid w:val="5FB8370B"/>
    <w:multiLevelType w:val="hybridMultilevel"/>
    <w:lvl w:ilvl="0">
      <w:lvlJc w:val="left"/>
      <w:lvlText w:val="(%1)"/>
      <w:numFmt w:val="lowerLetter"/>
      <w:start w:val="1"/>
    </w:lvl>
  </w:abstractNum>
  <w:abstractNum w:abstractNumId="90">
    <w:nsid w:val="50801EE1"/>
    <w:multiLevelType w:val="hybridMultilevel"/>
    <w:lvl w:ilvl="0">
      <w:lvlJc w:val="left"/>
      <w:lvlText w:val="(%1)"/>
      <w:numFmt w:val="lowerLetter"/>
      <w:start w:val="5"/>
    </w:lvl>
  </w:abstractNum>
  <w:abstractNum w:abstractNumId="91">
    <w:nsid w:val="488AC1A"/>
    <w:multiLevelType w:val="hybridMultilevel"/>
    <w:lvl w:ilvl="0">
      <w:lvlJc w:val="left"/>
      <w:lvlText w:val="(%1)"/>
      <w:numFmt w:val="lowerLetter"/>
      <w:start w:val="7"/>
    </w:lvl>
  </w:abstractNum>
  <w:abstractNum w:abstractNumId="92">
    <w:nsid w:val="5FB8011C"/>
    <w:multiLevelType w:val="hybridMultilevel"/>
    <w:lvl w:ilvl="0">
      <w:lvlJc w:val="left"/>
      <w:lvlText w:val="(%1)"/>
      <w:numFmt w:val="lowerLetter"/>
      <w:start w:val="10"/>
    </w:lvl>
  </w:abstractNum>
  <w:abstractNum w:abstractNumId="93">
    <w:nsid w:val="6AA78F7F"/>
    <w:multiLevelType w:val="hybridMultilevel"/>
    <w:lvl w:ilvl="0">
      <w:lvlJc w:val="left"/>
      <w:lvlText w:val="2"/>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1)"/>
      <w:numFmt w:val="decimal"/>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lowerLetter"/>
      <w:start w:val="1"/>
    </w:lvl>
    <w:lvl w:ilvl="1">
      <w:lvlJc w:val="left"/>
      <w:lvlText w:val="(%2)"/>
      <w:numFmt w:val="lowerRoman"/>
      <w:start w:val="1"/>
    </w:lvl>
  </w:abstractNum>
  <w:abstractNum w:abstractNumId="98">
    <w:nsid w:val="5F3534A4"/>
    <w:multiLevelType w:val="hybridMultilevel"/>
    <w:lvl w:ilvl="0">
      <w:lvlJc w:val="left"/>
      <w:lvlText w:val="(%1)"/>
      <w:numFmt w:val="lowerLetter"/>
      <w:start w:val="2"/>
    </w:lvl>
    <w:lvl w:ilvl="1">
      <w:lvlJc w:val="left"/>
      <w:lvlText w:val="%2"/>
      <w:numFmt w:val="lowerRoman"/>
      <w:start w:val="1"/>
    </w:lvl>
  </w:abstractNum>
  <w:abstractNum w:abstractNumId="99">
    <w:nsid w:val="73A1821B"/>
    <w:multiLevelType w:val="hybridMultilevel"/>
    <w:lvl w:ilvl="0">
      <w:lvlJc w:val="left"/>
      <w:lvlText w:val="(%1)"/>
      <w:numFmt w:val="lowerLetter"/>
      <w:start w:val="5"/>
    </w:lvl>
    <w:lvl w:ilvl="1">
      <w:lvlJc w:val="left"/>
      <w:lvlText w:val="(%2)"/>
      <w:numFmt w:val="lowerRoman"/>
      <w:start w:val="1"/>
    </w:lvl>
  </w:abstractNum>
  <w:abstractNum w:abstractNumId="100">
    <w:nsid w:val="7DE67713"/>
    <w:multiLevelType w:val="hybridMultilevel"/>
    <w:lvl w:ilvl="0">
      <w:lvlJc w:val="left"/>
      <w:lvlText w:val="%1"/>
      <w:numFmt w:val="decimal"/>
      <w:start w:val="1"/>
    </w:lvl>
    <w:lvl w:ilvl="1">
      <w:lvlJc w:val="left"/>
      <w:lvlText w:val="(%2)"/>
      <w:numFmt w:val="lowerLetter"/>
      <w:start w:val="2"/>
    </w:lvl>
  </w:abstractNum>
  <w:abstractNum w:abstractNumId="101">
    <w:nsid w:val="555C55B5"/>
    <w:multiLevelType w:val="hybridMultilevel"/>
    <w:lvl w:ilvl="0">
      <w:lvlJc w:val="left"/>
      <w:lvlText w:val="(%1)"/>
      <w:numFmt w:val="decimal"/>
      <w:start w:val="6"/>
    </w:lvl>
    <w:lvl w:ilvl="1">
      <w:lvlJc w:val="left"/>
      <w:lvlText w:val="%2"/>
      <w:numFmt w:val="lowerLetter"/>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2019-12-07T23:09:32Z</dcterms:created>
  <dcterms:modified xsi:type="dcterms:W3CDTF">2019-12-07T23:09:32Z</dcterms:modified>
</cp:coreProperties>
</file>