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6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1445260</wp:posOffset>
            </wp:positionH>
            <wp:positionV relativeFrom="paragraph">
              <wp:posOffset>31750</wp:posOffset>
            </wp:positionV>
            <wp:extent cx="4029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029075" cy="8890"/>
                    </a:xfrm>
                    <a:prstGeom prst="rect">
                      <a:avLst/>
                    </a:prstGeom>
                    <a:noFill/>
                  </pic:spPr>
                </pic:pic>
              </a:graphicData>
            </a:graphic>
          </wp:anchor>
        </w:drawing>
      </w:r>
    </w:p>
    <w:p>
      <w:pPr>
        <w:spacing w:after="0" w:line="1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16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CURRENT REPORT</w:t>
      </w:r>
    </w:p>
    <w:p>
      <w:pPr>
        <w:spacing w:after="0" w:line="158"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Pursuant to Section 13 or 15(d) of the</w:t>
      </w:r>
    </w:p>
    <w:p>
      <w:pPr>
        <w:spacing w:after="0" w:line="2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Date of Report: April 18, 2024</w:t>
      </w:r>
    </w:p>
    <w:p>
      <w:pPr>
        <w:spacing w:after="0" w:line="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311"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273" w:lineRule="exact"/>
        <w:rPr>
          <w:sz w:val="24"/>
          <w:szCs w:val="24"/>
          <w:color w:val="auto"/>
        </w:rPr>
      </w:pPr>
    </w:p>
    <w:tbl>
      <w:tblPr>
        <w:tblLayout w:type="fixed"/>
        <w:tblInd w:w="2300" w:type="dxa"/>
        <w:tblCellMar>
          <w:top w:w="0" w:type="dxa"/>
          <w:left w:w="0" w:type="dxa"/>
          <w:bottom w:w="0" w:type="dxa"/>
          <w:right w:w="0" w:type="dxa"/>
        </w:tblCellMar>
      </w:tblPr>
      <w:tr>
        <w:trPr>
          <w:trHeight w:val="220"/>
        </w:trPr>
        <w:tc>
          <w:tcPr>
            <w:tcW w:w="222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1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814-00891</w:t>
            </w:r>
          </w:p>
        </w:tc>
        <w:tc>
          <w:tcPr>
            <w:tcW w:w="214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27-3794690</w:t>
            </w:r>
          </w:p>
        </w:tc>
      </w:tr>
      <w:tr>
        <w:trPr>
          <w:trHeight w:val="216"/>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(Commission File</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22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Number)</w:t>
            </w:r>
          </w:p>
        </w:tc>
        <w:tc>
          <w:tcPr>
            <w:tcW w:w="214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Identification Number)</w:t>
            </w:r>
          </w:p>
        </w:tc>
      </w:tr>
    </w:tbl>
    <w:p>
      <w:pPr>
        <w:spacing w:after="0" w:line="200" w:lineRule="exact"/>
        <w:rPr>
          <w:sz w:val="24"/>
          <w:szCs w:val="24"/>
          <w:color w:val="auto"/>
        </w:rPr>
      </w:pPr>
    </w:p>
    <w:p>
      <w:pPr>
        <w:spacing w:after="0" w:line="372"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3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1691 Michigan Avenue</w:t>
            </w:r>
          </w:p>
        </w:tc>
        <w:tc>
          <w:tcPr>
            <w:tcW w:w="34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33139</w:t>
            </w:r>
          </w:p>
        </w:tc>
        <w:tc>
          <w:tcPr>
            <w:tcW w:w="0" w:type="dxa"/>
            <w:vAlign w:val="bottom"/>
          </w:tcPr>
          <w:p>
            <w:pPr>
              <w:spacing w:after="0"/>
              <w:rPr>
                <w:sz w:val="1"/>
                <w:szCs w:val="1"/>
                <w:color w:val="auto"/>
              </w:rPr>
            </w:pPr>
          </w:p>
        </w:tc>
      </w:tr>
      <w:tr>
        <w:trPr>
          <w:trHeight w:val="112"/>
        </w:trPr>
        <w:tc>
          <w:tcPr>
            <w:tcW w:w="3080" w:type="dxa"/>
            <w:vAlign w:val="bottom"/>
            <w:vMerge w:val="restart"/>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3420" w:type="dxa"/>
            <w:vAlign w:val="bottom"/>
            <w:vMerge w:val="restart"/>
          </w:tcPr>
          <w:p>
            <w:pPr>
              <w:jc w:val="center"/>
              <w:ind w:left="253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26"/>
        </w:trPr>
        <w:tc>
          <w:tcPr>
            <w:tcW w:w="3080" w:type="dxa"/>
            <w:vAlign w:val="bottom"/>
            <w:vMerge w:val="restart"/>
          </w:tcPr>
          <w:p>
            <w:pPr>
              <w:jc w:val="center"/>
              <w:ind w:right="1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08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4"/>
        </w:trPr>
        <w:tc>
          <w:tcPr>
            <w:tcW w:w="3080" w:type="dxa"/>
            <w:vAlign w:val="bottom"/>
          </w:tcPr>
          <w:p>
            <w:pPr>
              <w:spacing w:after="0"/>
              <w:rPr>
                <w:sz w:val="24"/>
                <w:szCs w:val="24"/>
                <w:color w:val="auto"/>
              </w:rPr>
            </w:pPr>
          </w:p>
        </w:tc>
        <w:tc>
          <w:tcPr>
            <w:tcW w:w="3420" w:type="dxa"/>
            <w:vAlign w:val="bottom"/>
          </w:tcPr>
          <w:p>
            <w:pPr>
              <w:jc w:val="right"/>
              <w:ind w:right="2090"/>
              <w:spacing w:after="0"/>
              <w:rPr>
                <w:sz w:val="20"/>
                <w:szCs w:val="20"/>
                <w:color w:val="auto"/>
              </w:rPr>
            </w:pPr>
            <w:r>
              <w:rPr>
                <w:rFonts w:ascii="Times New Roman" w:cs="Times New Roman" w:eastAsia="Times New Roman" w:hAnsi="Times New Roman"/>
                <w:sz w:val="18"/>
                <w:szCs w:val="18"/>
                <w:b w:val="1"/>
                <w:bCs w:val="1"/>
                <w:color w:val="auto"/>
              </w:rPr>
              <w:t>786-297-9500</w:t>
            </w:r>
          </w:p>
        </w:tc>
        <w:tc>
          <w:tcPr>
            <w:tcW w:w="0" w:type="dxa"/>
            <w:vAlign w:val="bottom"/>
          </w:tcPr>
          <w:p>
            <w:pPr>
              <w:spacing w:after="0"/>
              <w:rPr>
                <w:sz w:val="1"/>
                <w:szCs w:val="1"/>
                <w:color w:val="auto"/>
              </w:rPr>
            </w:pPr>
          </w:p>
        </w:tc>
      </w:tr>
      <w:tr>
        <w:trPr>
          <w:trHeight w:val="234"/>
        </w:trPr>
        <w:tc>
          <w:tcPr>
            <w:tcW w:w="6500" w:type="dxa"/>
            <w:vAlign w:val="bottom"/>
            <w:gridSpan w:val="2"/>
          </w:tcPr>
          <w:p>
            <w:pPr>
              <w:jc w:val="center"/>
              <w:ind w:left="107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344"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9"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220" w:hanging="212"/>
        <w:spacing w:after="0"/>
        <w:tabs>
          <w:tab w:leader="none" w:pos="22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right="2980" w:firstLine="8"/>
        <w:spacing w:after="0" w:line="428" w:lineRule="auto"/>
        <w:tabs>
          <w:tab w:leader="none" w:pos="205"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238"/>
        </w:trPr>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4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1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44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r>
        <w:trPr>
          <w:trHeight w:val="1235"/>
        </w:trPr>
        <w:tc>
          <w:tcPr>
            <w:tcW w:w="41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120"/>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Wingdings" w:cs="Wingdings" w:eastAsia="Wingdings" w:hAnsi="Wingdings"/>
          <w:sz w:val="18"/>
          <w:szCs w:val="18"/>
          <w:b w:val="1"/>
          <w:bCs w:val="1"/>
          <w:color w:val="auto"/>
        </w:rPr>
        <w:t></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Estimates of Results as of March 31, 2024</w:t>
      </w:r>
    </w:p>
    <w:p>
      <w:pPr>
        <w:spacing w:after="0" w:line="31" w:lineRule="exact"/>
        <w:rPr>
          <w:sz w:val="20"/>
          <w:szCs w:val="20"/>
          <w:color w:val="auto"/>
        </w:rPr>
      </w:pPr>
    </w:p>
    <w:p>
      <w:pPr>
        <w:ind w:left="20" w:right="40"/>
        <w:spacing w:after="0" w:line="260" w:lineRule="auto"/>
        <w:rPr>
          <w:sz w:val="20"/>
          <w:szCs w:val="20"/>
          <w:color w:val="auto"/>
        </w:rPr>
      </w:pPr>
      <w:r>
        <w:rPr>
          <w:rFonts w:ascii="Times New Roman" w:cs="Times New Roman" w:eastAsia="Times New Roman" w:hAnsi="Times New Roman"/>
          <w:sz w:val="18"/>
          <w:szCs w:val="18"/>
          <w:color w:val="auto"/>
        </w:rPr>
        <w:t>On April 18, 2024, PennantPark Floating Rate Capital Ltd. (the “Company”) announced certain preliminary estimates of its financial results for the quarter ended March 31, 2024.</w:t>
      </w:r>
    </w:p>
    <w:p>
      <w:pPr>
        <w:spacing w:after="0" w:line="181" w:lineRule="exact"/>
        <w:rPr>
          <w:sz w:val="20"/>
          <w:szCs w:val="20"/>
          <w:color w:val="auto"/>
        </w:rPr>
      </w:pPr>
    </w:p>
    <w:p>
      <w:pPr>
        <w:ind w:left="720" w:hanging="375"/>
        <w:spacing w:after="0" w:line="282"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 value per share was estimated to be between $11.37 and $11.42 per common share at March 31, 2024. This compares to a net asset value per common share of $11.20 at December 31, 2023.</w:t>
      </w:r>
    </w:p>
    <w:p>
      <w:pPr>
        <w:spacing w:after="0" w:line="53" w:lineRule="exact"/>
        <w:rPr>
          <w:rFonts w:ascii="Times New Roman" w:cs="Times New Roman" w:eastAsia="Times New Roman" w:hAnsi="Times New Roman"/>
          <w:sz w:val="18"/>
          <w:szCs w:val="18"/>
          <w:color w:val="auto"/>
        </w:rPr>
      </w:pPr>
    </w:p>
    <w:p>
      <w:pPr>
        <w:ind w:left="720" w:hanging="375"/>
        <w:spacing w:after="0" w:line="282"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was estimated to be between $0.30 and $0.32 per common share for the quarter ended March 31, 2024. This compares to net investment income of $0.33 per common share for the quarter ended December 31, 2023.</w:t>
      </w:r>
    </w:p>
    <w:p>
      <w:pPr>
        <w:spacing w:after="0" w:line="33" w:lineRule="exact"/>
        <w:rPr>
          <w:rFonts w:ascii="Times New Roman" w:cs="Times New Roman" w:eastAsia="Times New Roman" w:hAnsi="Times New Roman"/>
          <w:sz w:val="18"/>
          <w:szCs w:val="18"/>
          <w:color w:val="auto"/>
        </w:rPr>
      </w:pPr>
    </w:p>
    <w:p>
      <w:pPr>
        <w:ind w:left="720" w:hanging="375"/>
        <w:spacing w:after="0" w:line="233"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net investment income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was estimated to be between $0.30 and $0.32 per common share for the quarter ended March 31, 2024. This compares to core net investment income of $0.33 per common share for the quarter ended December 31, 2023.</w:t>
      </w:r>
    </w:p>
    <w:p>
      <w:pPr>
        <w:spacing w:after="0" w:line="91" w:lineRule="exact"/>
        <w:rPr>
          <w:rFonts w:ascii="Times New Roman" w:cs="Times New Roman" w:eastAsia="Times New Roman" w:hAnsi="Times New Roman"/>
          <w:sz w:val="18"/>
          <w:szCs w:val="18"/>
          <w:color w:val="auto"/>
        </w:rPr>
      </w:pPr>
    </w:p>
    <w:p>
      <w:pPr>
        <w:ind w:left="720" w:hanging="375"/>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portfolio at fair value was $1.48 billion, compared to $1.27 billion as of December 31, 2023.</w:t>
      </w:r>
    </w:p>
    <w:p>
      <w:pPr>
        <w:spacing w:after="0" w:line="117" w:lineRule="exact"/>
        <w:rPr>
          <w:rFonts w:ascii="Times New Roman" w:cs="Times New Roman" w:eastAsia="Times New Roman" w:hAnsi="Times New Roman"/>
          <w:sz w:val="18"/>
          <w:szCs w:val="18"/>
          <w:color w:val="auto"/>
        </w:rPr>
      </w:pPr>
    </w:p>
    <w:p>
      <w:pPr>
        <w:ind w:left="720" w:hanging="375"/>
        <w:spacing w:after="0" w:line="282"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loan was added to non-accrual status in the quarter, which was the only loan on non-accrual at March 31, 2024, representing 0.4% of the portfolio at cost and 0.3% at fair market value.</w:t>
      </w:r>
    </w:p>
    <w:p>
      <w:pPr>
        <w:spacing w:after="0" w:line="53" w:lineRule="exact"/>
        <w:rPr>
          <w:rFonts w:ascii="Times New Roman" w:cs="Times New Roman" w:eastAsia="Times New Roman" w:hAnsi="Times New Roman"/>
          <w:sz w:val="18"/>
          <w:szCs w:val="18"/>
          <w:color w:val="auto"/>
        </w:rPr>
      </w:pPr>
    </w:p>
    <w:p>
      <w:pPr>
        <w:jc w:val="both"/>
        <w:ind w:left="720" w:hanging="375"/>
        <w:spacing w:after="0" w:line="261" w:lineRule="auto"/>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2024, the Company had approximately $867.1 million of total debt consisting of, $168.9 million of borrowings outstanding under the Credit Facility at cost, $185.0 million in aggregate principal amount of 4.25% Notes due 2026 outstanding, $226.3 million in aggregate principal amount of asset-backed debt consisting of various notes due in 2031, and $287.0 million in aggregate principal amount of asset-backed debt consisting of various notes due in 2036.</w:t>
      </w:r>
    </w:p>
    <w:p>
      <w:pPr>
        <w:spacing w:after="0" w:line="71" w:lineRule="exact"/>
        <w:rPr>
          <w:rFonts w:ascii="Times New Roman" w:cs="Times New Roman" w:eastAsia="Times New Roman" w:hAnsi="Times New Roman"/>
          <w:sz w:val="18"/>
          <w:szCs w:val="18"/>
          <w:color w:val="auto"/>
        </w:rPr>
      </w:pPr>
    </w:p>
    <w:p>
      <w:pPr>
        <w:ind w:left="720" w:hanging="375"/>
        <w:spacing w:after="0"/>
        <w:tabs>
          <w:tab w:leader="none" w:pos="7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March 31, 2024, we had approximately $125.3 million in cash and approximately $217.1 million in unused capacity under our credit facility.</w:t>
      </w:r>
    </w:p>
    <w:p>
      <w:pPr>
        <w:spacing w:after="0" w:line="212" w:lineRule="exact"/>
        <w:rPr>
          <w:sz w:val="20"/>
          <w:szCs w:val="20"/>
          <w:color w:val="auto"/>
        </w:rPr>
      </w:pPr>
    </w:p>
    <w:p>
      <w:pPr>
        <w:ind w:left="20" w:right="200"/>
        <w:spacing w:after="0" w:line="258" w:lineRule="auto"/>
        <w:rPr>
          <w:sz w:val="20"/>
          <w:szCs w:val="20"/>
          <w:color w:val="auto"/>
        </w:rPr>
      </w:pPr>
      <w:r>
        <w:rPr>
          <w:rFonts w:ascii="Times New Roman" w:cs="Times New Roman" w:eastAsia="Times New Roman" w:hAnsi="Times New Roman"/>
          <w:sz w:val="18"/>
          <w:szCs w:val="18"/>
          <w:color w:val="auto"/>
        </w:rPr>
        <w:t>These estimates are subject to the completion of the Company’s financial closing procedures and are not a comprehensive statement of the Company’s financial position, results of operations or cash flows for the quarter ended March 31, 2024. Final results may differ materially from these estimates as a result of the completion of the Company’s financial closing procedures, as well as any subsequent events, including the discovery of information affecting fair values of the Company’s portfolio investments as of March 31, 2024, arising between the date hereof and the completion of the Company’s financial statements and the filing of the Company’s Form 10-Q for the quarter then ended.</w:t>
      </w:r>
    </w:p>
    <w:p>
      <w:pPr>
        <w:spacing w:after="0" w:line="156" w:lineRule="exact"/>
        <w:rPr>
          <w:sz w:val="20"/>
          <w:szCs w:val="20"/>
          <w:color w:val="auto"/>
        </w:rPr>
      </w:pPr>
    </w:p>
    <w:p>
      <w:pPr>
        <w:ind w:left="20" w:right="220"/>
        <w:spacing w:after="0" w:line="266" w:lineRule="auto"/>
        <w:rPr>
          <w:sz w:val="20"/>
          <w:szCs w:val="20"/>
          <w:color w:val="auto"/>
        </w:rPr>
      </w:pPr>
      <w:r>
        <w:rPr>
          <w:rFonts w:ascii="Times New Roman" w:cs="Times New Roman" w:eastAsia="Times New Roman" w:hAnsi="Times New Roman"/>
          <w:sz w:val="18"/>
          <w:szCs w:val="18"/>
          <w:color w:val="auto"/>
        </w:rPr>
        <w:t>The preliminary financial estimates provided herein have been prepared by, and are the responsibility of the Company’s management. RSM US LLP, the Company’s independent registered public accounting firm, has not audited, reviewed, compiled, or performed any procedures with respect to the accompanying preliminary financial data. Accordingly, RSM US LLP does not express an opinion or any other form of assurance with respect thereto.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Supplemental information regarding core net investment income</w:t>
      </w:r>
    </w:p>
    <w:p>
      <w:pPr>
        <w:spacing w:after="0" w:line="119" w:lineRule="exact"/>
        <w:rPr>
          <w:sz w:val="20"/>
          <w:szCs w:val="20"/>
          <w:color w:val="auto"/>
        </w:rPr>
      </w:pPr>
    </w:p>
    <w:p>
      <w:pPr>
        <w:ind w:left="20" w:right="100"/>
        <w:spacing w:after="0" w:line="261" w:lineRule="auto"/>
        <w:rPr>
          <w:sz w:val="20"/>
          <w:szCs w:val="20"/>
          <w:color w:val="auto"/>
        </w:rPr>
      </w:pPr>
      <w:r>
        <w:rPr>
          <w:rFonts w:ascii="Times New Roman" w:cs="Times New Roman" w:eastAsia="Times New Roman" w:hAnsi="Times New Roman"/>
          <w:sz w:val="18"/>
          <w:szCs w:val="18"/>
          <w:i w:val="1"/>
          <w:iCs w:val="1"/>
          <w:color w:val="auto"/>
        </w:rPr>
        <w:t>Core net investment income (“Core NII”) is a non-GAAP financial measure. The Company believes that Core NII provides useful information to investors and management because it reflects the Company's financial performance excluding one-time or non-recurring investment income and expenses. The presentation of this additional information is not meant to be considered in isolation or as a substitute for financial results prepared in accordance with GAAP. For the quarter ended March 31, 2024, there were no one-time or non-recurring investment income or expenses.</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20" w:right="60"/>
        <w:spacing w:after="0" w:line="266" w:lineRule="auto"/>
        <w:rPr>
          <w:sz w:val="20"/>
          <w:szCs w:val="20"/>
          <w:color w:val="auto"/>
        </w:rPr>
      </w:pPr>
      <w:r>
        <w:rPr>
          <w:rFonts w:ascii="Times New Roman" w:cs="Times New Roman" w:eastAsia="Times New Roman" w:hAnsi="Times New Roman"/>
          <w:sz w:val="18"/>
          <w:szCs w:val="18"/>
          <w:color w:val="auto"/>
        </w:rPr>
        <w:t>This report on Form 8-K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2.02 above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651510</wp:posOffset>
            </wp:positionV>
            <wp:extent cx="7115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right="620" w:firstLine="27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Dated: April 18, 2024</w:t>
      </w:r>
      <w:r>
        <w:rPr>
          <w:sz w:val="20"/>
          <w:szCs w:val="20"/>
          <w:color w:val="auto"/>
        </w:rPr>
        <w:tab/>
      </w:r>
      <w:r>
        <w:rPr>
          <w:rFonts w:ascii="Times New Roman" w:cs="Times New Roman" w:eastAsia="Times New Roman" w:hAnsi="Times New Roman"/>
          <w:sz w:val="17"/>
          <w:szCs w:val="17"/>
          <w:b w:val="1"/>
          <w:bCs w:val="1"/>
          <w:color w:val="auto"/>
        </w:rPr>
        <w:t>PENNANTPARK FLOATING RATE CAPITAL LTD.</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Richard T. Allorto, Jr.</w:t>
      </w:r>
    </w:p>
    <w:p>
      <w:pPr>
        <w:spacing w:after="0" w:line="2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Richard T. Allorto, Jr.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962025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999" w:right="39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2024-04-18T07:06:39Z</dcterms:created>
  <dcterms:modified xsi:type="dcterms:W3CDTF">2024-04-18T07:06:39Z</dcterms:modified>
</cp:coreProperties>
</file>