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PENNANTPARK FLOATING RATE CAPITAL LTD.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tbl>
      <w:tblPr>
        <w:tblLayout w:type="fixed"/>
        <w:tblInd w:w="1340" w:type="dxa"/>
        <w:tblCellMar>
          <w:top w:w="0" w:type="dxa"/>
          <w:left w:w="0" w:type="dxa"/>
          <w:bottom w:w="0" w:type="dxa"/>
          <w:right w:w="0" w:type="dxa"/>
        </w:tblCellMar>
      </w:tblPr>
      <w:tr>
        <w:trPr>
          <w:trHeight w:val="163"/>
        </w:trPr>
        <w:tc>
          <w:tcPr>
            <w:tcW w:w="6120" w:type="dxa"/>
            <w:vAlign w:val="bottom"/>
          </w:tcPr>
          <w:p>
            <w:pPr>
              <w:jc w:val="center"/>
              <w:ind w:right="3052"/>
              <w:spacing w:after="0"/>
              <w:rPr>
                <w:sz w:val="20"/>
                <w:szCs w:val="20"/>
                <w:color w:val="auto"/>
              </w:rPr>
            </w:pPr>
            <w:r>
              <w:rPr>
                <w:rFonts w:ascii="Arial" w:cs="Arial" w:eastAsia="Arial" w:hAnsi="Arial"/>
                <w:sz w:val="14"/>
                <w:szCs w:val="14"/>
                <w:b w:val="1"/>
                <w:bCs w:val="1"/>
                <w:color w:val="auto"/>
              </w:rPr>
              <w:t>MARYLAND</w:t>
            </w:r>
          </w:p>
        </w:tc>
        <w:tc>
          <w:tcPr>
            <w:tcW w:w="194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6120" w:type="dxa"/>
            <w:vAlign w:val="bottom"/>
          </w:tcPr>
          <w:p>
            <w:pPr>
              <w:jc w:val="center"/>
              <w:ind w:right="3032"/>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1940" w:type="dxa"/>
            <w:vAlign w:val="bottom"/>
          </w:tcPr>
          <w:p>
            <w:pPr>
              <w:jc w:val="center"/>
              <w:ind w:left="9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335"/>
        </w:trPr>
        <w:tc>
          <w:tcPr>
            <w:tcW w:w="6120" w:type="dxa"/>
            <w:vAlign w:val="bottom"/>
          </w:tcPr>
          <w:p>
            <w:pPr>
              <w:jc w:val="center"/>
              <w:ind w:right="3052"/>
              <w:spacing w:after="0"/>
              <w:rPr>
                <w:sz w:val="20"/>
                <w:szCs w:val="20"/>
                <w:color w:val="auto"/>
              </w:rPr>
            </w:pPr>
            <w:r>
              <w:rPr>
                <w:rFonts w:ascii="Arial" w:cs="Arial" w:eastAsia="Arial" w:hAnsi="Arial"/>
                <w:sz w:val="14"/>
                <w:szCs w:val="14"/>
                <w:b w:val="1"/>
                <w:bCs w:val="1"/>
                <w:color w:val="auto"/>
                <w:w w:val="92"/>
              </w:rPr>
              <w:t>590 Madison Avenue,</w:t>
            </w:r>
          </w:p>
        </w:tc>
        <w:tc>
          <w:tcPr>
            <w:tcW w:w="1940" w:type="dxa"/>
            <w:vAlign w:val="bottom"/>
          </w:tcPr>
          <w:p>
            <w:pPr>
              <w:spacing w:after="0"/>
              <w:rPr>
                <w:sz w:val="24"/>
                <w:szCs w:val="24"/>
                <w:color w:val="auto"/>
              </w:rPr>
            </w:pPr>
          </w:p>
        </w:tc>
      </w:tr>
      <w:tr>
        <w:trPr>
          <w:trHeight w:val="177"/>
        </w:trPr>
        <w:tc>
          <w:tcPr>
            <w:tcW w:w="6120" w:type="dxa"/>
            <w:vAlign w:val="bottom"/>
          </w:tcPr>
          <w:p>
            <w:pPr>
              <w:jc w:val="center"/>
              <w:ind w:right="3052"/>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194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6120" w:type="dxa"/>
            <w:vAlign w:val="bottom"/>
          </w:tcPr>
          <w:p>
            <w:pPr>
              <w:jc w:val="center"/>
              <w:ind w:right="3052"/>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1940" w:type="dxa"/>
            <w:vAlign w:val="bottom"/>
          </w:tcPr>
          <w:p>
            <w:pPr>
              <w:jc w:val="center"/>
              <w:ind w:left="95"/>
              <w:spacing w:after="0"/>
              <w:rPr>
                <w:sz w:val="20"/>
                <w:szCs w:val="20"/>
                <w:color w:val="auto"/>
              </w:rPr>
            </w:pPr>
            <w:r>
              <w:rPr>
                <w:rFonts w:ascii="Arial" w:cs="Arial" w:eastAsia="Arial" w:hAnsi="Arial"/>
                <w:sz w:val="12"/>
                <w:szCs w:val="12"/>
                <w:b w:val="1"/>
                <w:bCs w:val="1"/>
                <w:color w:val="auto"/>
                <w:w w:val="90"/>
              </w:rPr>
              <w:t>(Zip Code)</w:t>
            </w:r>
          </w:p>
        </w:tc>
      </w:tr>
      <w:tr>
        <w:trPr>
          <w:trHeight w:val="335"/>
        </w:trPr>
        <w:tc>
          <w:tcPr>
            <w:tcW w:w="6120" w:type="dxa"/>
            <w:vAlign w:val="bottom"/>
          </w:tcPr>
          <w:p>
            <w:pPr>
              <w:jc w:val="right"/>
              <w:ind w:right="1312"/>
              <w:spacing w:after="0"/>
              <w:rPr>
                <w:sz w:val="20"/>
                <w:szCs w:val="20"/>
                <w:color w:val="auto"/>
              </w:rPr>
            </w:pPr>
            <w:r>
              <w:rPr>
                <w:rFonts w:ascii="Arial" w:cs="Arial" w:eastAsia="Arial" w:hAnsi="Arial"/>
                <w:sz w:val="14"/>
                <w:szCs w:val="14"/>
                <w:b w:val="1"/>
                <w:bCs w:val="1"/>
                <w:color w:val="auto"/>
              </w:rPr>
              <w:t>(212) 905-1000</w:t>
            </w:r>
          </w:p>
        </w:tc>
        <w:tc>
          <w:tcPr>
            <w:tcW w:w="1940" w:type="dxa"/>
            <w:vAlign w:val="bottom"/>
          </w:tcPr>
          <w:p>
            <w:pPr>
              <w:spacing w:after="0"/>
              <w:rPr>
                <w:sz w:val="24"/>
                <w:szCs w:val="24"/>
                <w:color w:val="auto"/>
              </w:rPr>
            </w:pPr>
          </w:p>
        </w:tc>
      </w:tr>
      <w:tr>
        <w:trPr>
          <w:trHeight w:val="186"/>
        </w:trPr>
        <w:tc>
          <w:tcPr>
            <w:tcW w:w="6120" w:type="dxa"/>
            <w:vAlign w:val="bottom"/>
          </w:tcPr>
          <w:p>
            <w:pPr>
              <w:jc w:val="center"/>
              <w:ind w:left="2372"/>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9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4"/>
          <w:szCs w:val="24"/>
          <w:color w:val="auto"/>
        </w:rPr>
      </w:pPr>
    </w:p>
    <w:p>
      <w:pPr>
        <w:ind w:right="80" w:firstLine="33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400" w:firstLine="33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280"/>
            <w:col w:w="6900" w:space="720"/>
            <w:col w:w="118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360"/>
            <w:col w:w="120" w:space="40"/>
            <w:col w:w="6740" w:space="720"/>
            <w:col w:w="1580" w:space="320"/>
            <w:col w:w="14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6880" w:space="140"/>
            <w:col w:w="200" w:space="80"/>
            <w:col w:w="120" w:space="160"/>
            <w:col w:w="366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May 7, 2015 was 14,898,056.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MARCH 31, 2015</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2"/>
                <w:szCs w:val="22"/>
                <w:color w:val="auto"/>
              </w:rPr>
            </w:pPr>
          </w:p>
        </w:tc>
      </w:tr>
      <w:tr>
        <w:trPr>
          <w:trHeight w:val="256"/>
        </w:trPr>
        <w:tc>
          <w:tcPr>
            <w:tcW w:w="910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6"/>
        </w:trPr>
        <w:tc>
          <w:tcPr>
            <w:tcW w:w="910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12">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23">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7"/>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2"/>
                <w:szCs w:val="22"/>
                <w:color w:val="auto"/>
              </w:rPr>
            </w:pP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subsidiary, PennantPark Floating Rate Funding I, LLC, or Funding I;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Funding I.</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32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780" w:type="dxa"/>
            <w:vAlign w:val="bottom"/>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520" w:type="dxa"/>
            <w:vAlign w:val="bottom"/>
          </w:tcPr>
          <w:p>
            <w:pPr>
              <w:spacing w:after="0"/>
              <w:rPr>
                <w:sz w:val="24"/>
                <w:szCs w:val="24"/>
                <w:color w:val="auto"/>
              </w:rPr>
            </w:pPr>
          </w:p>
        </w:tc>
        <w:tc>
          <w:tcPr>
            <w:tcW w:w="7780" w:type="dxa"/>
            <w:vAlign w:val="bottom"/>
          </w:tcPr>
          <w:p>
            <w:pPr>
              <w:ind w:left="2800"/>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78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8"/>
        </w:trPr>
        <w:tc>
          <w:tcPr>
            <w:tcW w:w="5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March 31, 2015</w:t>
            </w:r>
          </w:p>
        </w:tc>
        <w:tc>
          <w:tcPr>
            <w:tcW w:w="14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3"/>
              </w:rPr>
              <w:t>September 30, 2014</w:t>
            </w:r>
          </w:p>
        </w:tc>
      </w:tr>
      <w:tr>
        <w:trPr>
          <w:trHeight w:val="153"/>
        </w:trPr>
        <w:tc>
          <w:tcPr>
            <w:tcW w:w="5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7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(cost—$339,492,784 and $348,354,295, respectively)</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335,524,541</w:t>
            </w:r>
          </w:p>
        </w:tc>
        <w:tc>
          <w:tcPr>
            <w:tcW w:w="34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348,428,492</w:t>
            </w: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9,835,853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13,113,817</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1,932,850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1,773,870</w:t>
            </w:r>
          </w:p>
        </w:tc>
      </w:tr>
      <w:tr>
        <w:trPr>
          <w:trHeight w:val="149"/>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6,501,875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9,001,938</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578,689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556,359</w:t>
            </w:r>
          </w:p>
        </w:tc>
      </w:tr>
      <w:tr>
        <w:trPr>
          <w:trHeight w:val="163"/>
        </w:trPr>
        <w:tc>
          <w:tcPr>
            <w:tcW w:w="520" w:type="dxa"/>
            <w:vAlign w:val="bottom"/>
          </w:tcPr>
          <w:p>
            <w:pPr>
              <w:spacing w:after="0"/>
              <w:rPr>
                <w:sz w:val="14"/>
                <w:szCs w:val="14"/>
                <w:color w:val="auto"/>
              </w:rPr>
            </w:pPr>
          </w:p>
        </w:tc>
        <w:tc>
          <w:tcPr>
            <w:tcW w:w="7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354,373,808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100" w:type="dxa"/>
            <w:vAlign w:val="bottom"/>
          </w:tcPr>
          <w:p>
            <w:pPr>
              <w:spacing w:after="0"/>
              <w:rPr>
                <w:sz w:val="14"/>
                <w:szCs w:val="14"/>
                <w:color w:val="auto"/>
              </w:rPr>
            </w:pP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1,415,315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1,340,825</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19,539,850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3,162,000</w:t>
            </w: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Unfunded investments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2,705,882</w:t>
            </w:r>
          </w:p>
        </w:tc>
      </w:tr>
      <w:tr>
        <w:trPr>
          <w:trHeight w:val="149"/>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(cost—$117,300,000 and $146,400,000, respectively) (See Notes 5 and 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117,593,250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146,949,000</w:t>
            </w: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263,845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284,906</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851,176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914,978</w:t>
            </w: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1,475,644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2,180,604</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263,770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808,571</w:t>
            </w:r>
          </w:p>
        </w:tc>
      </w:tr>
      <w:tr>
        <w:trPr>
          <w:trHeight w:val="163"/>
        </w:trPr>
        <w:tc>
          <w:tcPr>
            <w:tcW w:w="520" w:type="dxa"/>
            <w:vAlign w:val="bottom"/>
          </w:tcPr>
          <w:p>
            <w:pPr>
              <w:spacing w:after="0"/>
              <w:rPr>
                <w:sz w:val="14"/>
                <w:szCs w:val="14"/>
                <w:color w:val="auto"/>
              </w:rPr>
            </w:pPr>
          </w:p>
        </w:tc>
        <w:tc>
          <w:tcPr>
            <w:tcW w:w="7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141,402,850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158,346,766</w:t>
            </w:r>
          </w:p>
        </w:tc>
        <w:tc>
          <w:tcPr>
            <w:tcW w:w="100" w:type="dxa"/>
            <w:vAlign w:val="bottom"/>
          </w:tcPr>
          <w:p>
            <w:pPr>
              <w:spacing w:after="0"/>
              <w:rPr>
                <w:sz w:val="14"/>
                <w:szCs w:val="14"/>
                <w:color w:val="auto"/>
              </w:rPr>
            </w:pPr>
          </w:p>
        </w:tc>
      </w:tr>
      <w:tr>
        <w:trPr>
          <w:trHeight w:val="149"/>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14,898,056 shares issued and outstanding.</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14,898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14,898</w:t>
            </w: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207,226,615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207,226,615</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6,683,175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4,878,091</w:t>
            </w:r>
          </w:p>
        </w:tc>
      </w:tr>
      <w:tr>
        <w:trPr>
          <w:trHeight w:val="149"/>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3,307,763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2,882,909</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(3,968,243)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74,197</w:t>
            </w:r>
          </w:p>
        </w:tc>
      </w:tr>
      <w:tr>
        <w:trPr>
          <w:trHeight w:val="148"/>
        </w:trPr>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(293,250)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(549,000)</w:t>
            </w:r>
          </w:p>
        </w:tc>
      </w:tr>
      <w:tr>
        <w:trPr>
          <w:trHeight w:val="27"/>
        </w:trPr>
        <w:tc>
          <w:tcPr>
            <w:tcW w:w="5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20" w:type="dxa"/>
            <w:vAlign w:val="bottom"/>
            <w:shd w:val="clear" w:color="auto" w:fill="CCEEFF"/>
          </w:tcPr>
          <w:p>
            <w:pPr>
              <w:spacing w:after="0"/>
              <w:rPr>
                <w:sz w:val="12"/>
                <w:szCs w:val="12"/>
                <w:color w:val="auto"/>
              </w:rPr>
            </w:pPr>
          </w:p>
        </w:tc>
        <w:tc>
          <w:tcPr>
            <w:tcW w:w="7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212,970,958</w:t>
            </w:r>
          </w:p>
        </w:tc>
        <w:tc>
          <w:tcPr>
            <w:tcW w:w="34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214,527,710</w:t>
            </w:r>
          </w:p>
        </w:tc>
      </w:tr>
      <w:tr>
        <w:trPr>
          <w:trHeight w:val="162"/>
        </w:trPr>
        <w:tc>
          <w:tcPr>
            <w:tcW w:w="520" w:type="dxa"/>
            <w:vAlign w:val="bottom"/>
          </w:tcPr>
          <w:p>
            <w:pPr>
              <w:spacing w:after="0"/>
              <w:rPr>
                <w:sz w:val="14"/>
                <w:szCs w:val="14"/>
                <w:color w:val="auto"/>
              </w:rPr>
            </w:pPr>
          </w:p>
        </w:tc>
        <w:tc>
          <w:tcPr>
            <w:tcW w:w="77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354,373,808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100" w:type="dxa"/>
            <w:vAlign w:val="bottom"/>
          </w:tcPr>
          <w:p>
            <w:pPr>
              <w:spacing w:after="0"/>
              <w:rPr>
                <w:sz w:val="14"/>
                <w:szCs w:val="14"/>
                <w:color w:val="auto"/>
              </w:rPr>
            </w:pPr>
          </w:p>
        </w:tc>
      </w:tr>
      <w:tr>
        <w:trPr>
          <w:trHeight w:val="149"/>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 value per share</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14.30</w:t>
            </w:r>
          </w:p>
        </w:tc>
        <w:tc>
          <w:tcPr>
            <w:tcW w:w="34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14.40</w:t>
            </w:r>
          </w:p>
        </w:tc>
      </w:tr>
      <w:tr>
        <w:trPr>
          <w:trHeight w:val="20"/>
        </w:trPr>
        <w:tc>
          <w:tcPr>
            <w:tcW w:w="5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7"/>
          </w:tcPr>
          <w:p>
            <w:pPr>
              <w:spacing w:after="0"/>
              <w:rPr>
                <w:sz w:val="20"/>
                <w:szCs w:val="20"/>
                <w:color w:val="auto"/>
              </w:rPr>
            </w:pPr>
            <w:r>
              <w:rPr>
                <w:rFonts w:ascii="Arial" w:cs="Arial" w:eastAsia="Arial" w:hAnsi="Arial"/>
                <w:sz w:val="13"/>
                <w:szCs w:val="13"/>
                <w:b w:val="1"/>
                <w:bCs w:val="1"/>
                <w:color w:val="auto"/>
                <w:w w:val="93"/>
              </w:rPr>
              <w:t>Three Months Ended March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Arial" w:cs="Arial" w:eastAsia="Arial" w:hAnsi="Arial"/>
                <w:sz w:val="13"/>
                <w:szCs w:val="13"/>
                <w:b w:val="1"/>
                <w:bCs w:val="1"/>
                <w:color w:val="auto"/>
                <w:w w:val="97"/>
              </w:rPr>
              <w:t>Six Months Ended March 31,</w:t>
            </w:r>
          </w:p>
        </w:tc>
        <w:tc>
          <w:tcPr>
            <w:tcW w:w="0" w:type="dxa"/>
            <w:vAlign w:val="bottom"/>
          </w:tcPr>
          <w:p>
            <w:pPr>
              <w:spacing w:after="0"/>
              <w:rPr>
                <w:sz w:val="1"/>
                <w:szCs w:val="1"/>
                <w:color w:val="auto"/>
              </w:rPr>
            </w:pPr>
          </w:p>
        </w:tc>
      </w:tr>
      <w:tr>
        <w:trPr>
          <w:trHeight w:val="128"/>
        </w:trPr>
        <w:tc>
          <w:tcPr>
            <w:tcW w:w="7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9"/>
              <w:spacing w:after="0" w:line="129" w:lineRule="exact"/>
              <w:rPr>
                <w:sz w:val="20"/>
                <w:szCs w:val="20"/>
                <w:color w:val="auto"/>
              </w:rPr>
            </w:pPr>
            <w:r>
              <w:rPr>
                <w:rFonts w:ascii="Arial" w:cs="Arial" w:eastAsia="Arial" w:hAnsi="Arial"/>
                <w:sz w:val="13"/>
                <w:szCs w:val="13"/>
                <w:b w:val="1"/>
                <w:bCs w:val="1"/>
                <w:color w:val="auto"/>
              </w:rPr>
              <w:t>2015</w:t>
            </w:r>
          </w:p>
        </w:tc>
        <w:tc>
          <w:tcPr>
            <w:tcW w:w="14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7,067,400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7,529,198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14,516,174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14,283,445</w:t>
            </w:r>
          </w:p>
        </w:tc>
        <w:tc>
          <w:tcPr>
            <w:tcW w:w="0" w:type="dxa"/>
            <w:vAlign w:val="bottom"/>
          </w:tcPr>
          <w:p>
            <w:pPr>
              <w:spacing w:after="0"/>
              <w:rPr>
                <w:sz w:val="1"/>
                <w:szCs w:val="1"/>
                <w:color w:val="auto"/>
              </w:rPr>
            </w:pPr>
          </w:p>
        </w:tc>
      </w:tr>
      <w:tr>
        <w:trPr>
          <w:trHeight w:val="148"/>
        </w:trPr>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915,859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94,278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943,805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183,924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7,983,259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7,623,476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15,459,979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14,467,369</w:t>
            </w:r>
          </w:p>
        </w:tc>
        <w:tc>
          <w:tcPr>
            <w:tcW w:w="0" w:type="dxa"/>
            <w:vAlign w:val="bottom"/>
          </w:tcPr>
          <w:p>
            <w:pPr>
              <w:spacing w:after="0"/>
              <w:rPr>
                <w:sz w:val="1"/>
                <w:szCs w:val="1"/>
                <w:color w:val="auto"/>
              </w:rPr>
            </w:pPr>
          </w:p>
        </w:tc>
      </w:tr>
      <w:tr>
        <w:trPr>
          <w:trHeight w:val="155"/>
        </w:trPr>
        <w:tc>
          <w:tcPr>
            <w:tcW w:w="74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851,176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952,949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1,734,546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1,834,752</w:t>
            </w:r>
          </w:p>
        </w:tc>
        <w:tc>
          <w:tcPr>
            <w:tcW w:w="0" w:type="dxa"/>
            <w:vAlign w:val="bottom"/>
          </w:tcPr>
          <w:p>
            <w:pPr>
              <w:spacing w:after="0"/>
              <w:rPr>
                <w:sz w:val="1"/>
                <w:szCs w:val="1"/>
                <w:color w:val="auto"/>
              </w:rPr>
            </w:pPr>
          </w:p>
        </w:tc>
      </w:tr>
      <w:tr>
        <w:trPr>
          <w:trHeight w:val="149"/>
        </w:trPr>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1,345,982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1,417,315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1,031,925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2,100,465</w:t>
            </w: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775,975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963,688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1,661,733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1,700,125</w:t>
            </w:r>
          </w:p>
        </w:tc>
        <w:tc>
          <w:tcPr>
            <w:tcW w:w="0" w:type="dxa"/>
            <w:vAlign w:val="bottom"/>
          </w:tcPr>
          <w:p>
            <w:pPr>
              <w:spacing w:after="0"/>
              <w:rPr>
                <w:sz w:val="1"/>
                <w:szCs w:val="1"/>
                <w:color w:val="auto"/>
              </w:rPr>
            </w:pPr>
          </w:p>
        </w:tc>
      </w:tr>
      <w:tr>
        <w:trPr>
          <w:trHeight w:val="148"/>
        </w:trPr>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223,500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449,500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402,000</w:t>
            </w: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220,547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234,014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437,750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524,654</w:t>
            </w:r>
          </w:p>
        </w:tc>
        <w:tc>
          <w:tcPr>
            <w:tcW w:w="0" w:type="dxa"/>
            <w:vAlign w:val="bottom"/>
          </w:tcPr>
          <w:p>
            <w:pPr>
              <w:spacing w:after="0"/>
              <w:rPr>
                <w:sz w:val="1"/>
                <w:szCs w:val="1"/>
                <w:color w:val="auto"/>
              </w:rPr>
            </w:pPr>
          </w:p>
        </w:tc>
      </w:tr>
      <w:tr>
        <w:trPr>
          <w:trHeight w:val="156"/>
        </w:trPr>
        <w:tc>
          <w:tcPr>
            <w:tcW w:w="74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excise tax and amendment costs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3,417,180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3,768,966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5,315,454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6,561,996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Excise tax</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240,000</w:t>
            </w:r>
          </w:p>
        </w:tc>
        <w:tc>
          <w:tcPr>
            <w:tcW w:w="0" w:type="dxa"/>
            <w:vAlign w:val="bottom"/>
          </w:tcPr>
          <w:p>
            <w:pPr>
              <w:spacing w:after="0"/>
              <w:rPr>
                <w:sz w:val="1"/>
                <w:szCs w:val="1"/>
                <w:color w:val="auto"/>
              </w:rPr>
            </w:pPr>
          </w:p>
        </w:tc>
      </w:tr>
      <w:tr>
        <w:trPr>
          <w:trHeight w:val="155"/>
        </w:trPr>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9)</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712,930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3,527,180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3,898,966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5,535,454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7,514,926</w:t>
            </w:r>
          </w:p>
        </w:tc>
        <w:tc>
          <w:tcPr>
            <w:tcW w:w="0" w:type="dxa"/>
            <w:vAlign w:val="bottom"/>
          </w:tcPr>
          <w:p>
            <w:pPr>
              <w:spacing w:after="0"/>
              <w:rPr>
                <w:sz w:val="1"/>
                <w:szCs w:val="1"/>
                <w:color w:val="auto"/>
              </w:rPr>
            </w:pPr>
          </w:p>
        </w:tc>
      </w:tr>
      <w:tr>
        <w:trPr>
          <w:trHeight w:val="163"/>
        </w:trPr>
        <w:tc>
          <w:tcPr>
            <w:tcW w:w="74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4,456,079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3,724,510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9,924,525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6,952,443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598,843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482,797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424,854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1,076,854</w:t>
            </w: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854,690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3,029,990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(4,042,440)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5,264,781</w:t>
            </w: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depreciation (See Note 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214,875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255,750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1,069,565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3,029,990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(3,786,690)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5,264,781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1,668,408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3,512,787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(3,361,836)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6,341,635</w:t>
            </w:r>
          </w:p>
        </w:tc>
        <w:tc>
          <w:tcPr>
            <w:tcW w:w="0" w:type="dxa"/>
            <w:vAlign w:val="bottom"/>
          </w:tcPr>
          <w:p>
            <w:pPr>
              <w:spacing w:after="0"/>
              <w:rPr>
                <w:sz w:val="1"/>
                <w:szCs w:val="1"/>
                <w:color w:val="auto"/>
              </w:rPr>
            </w:pPr>
          </w:p>
        </w:tc>
      </w:tr>
      <w:tr>
        <w:trPr>
          <w:trHeight w:val="155"/>
        </w:trPr>
        <w:tc>
          <w:tcPr>
            <w:tcW w:w="748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6,124,487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7,237,297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6,562,689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13,294,078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0.49</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0.44</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w w:val="94"/>
              </w:rPr>
              <w:t>Six Months Ended March 31,</w:t>
            </w:r>
          </w:p>
        </w:tc>
        <w:tc>
          <w:tcPr>
            <w:tcW w:w="0" w:type="dxa"/>
            <w:vAlign w:val="bottom"/>
          </w:tcPr>
          <w:p>
            <w:pPr>
              <w:spacing w:after="0"/>
              <w:rPr>
                <w:sz w:val="1"/>
                <w:szCs w:val="1"/>
                <w:color w:val="auto"/>
              </w:rPr>
            </w:pPr>
          </w:p>
        </w:tc>
      </w:tr>
      <w:tr>
        <w:trPr>
          <w:trHeight w:val="128"/>
        </w:trPr>
        <w:tc>
          <w:tcPr>
            <w:tcW w:w="90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0"/>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9"/>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9,924,525</w:t>
            </w:r>
          </w:p>
        </w:tc>
        <w:tc>
          <w:tcPr>
            <w:tcW w:w="1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6,952,443</w:t>
            </w:r>
          </w:p>
        </w:tc>
        <w:tc>
          <w:tcPr>
            <w:tcW w:w="0" w:type="dxa"/>
            <w:vAlign w:val="bottom"/>
          </w:tcPr>
          <w:p>
            <w:pPr>
              <w:spacing w:after="0"/>
              <w:rPr>
                <w:sz w:val="1"/>
                <w:szCs w:val="1"/>
                <w:color w:val="auto"/>
              </w:rPr>
            </w:pPr>
          </w:p>
        </w:tc>
      </w:tr>
      <w:tr>
        <w:trPr>
          <w:trHeight w:val="148"/>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424,854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1,076,854</w:t>
            </w:r>
          </w:p>
        </w:tc>
        <w:tc>
          <w:tcPr>
            <w:tcW w:w="0" w:type="dxa"/>
            <w:vAlign w:val="bottom"/>
          </w:tcPr>
          <w:p>
            <w:pPr>
              <w:spacing w:after="0"/>
              <w:rPr>
                <w:sz w:val="1"/>
                <w:szCs w:val="1"/>
                <w:color w:val="auto"/>
              </w:rPr>
            </w:pPr>
          </w:p>
        </w:tc>
      </w:tr>
      <w:tr>
        <w:trPr>
          <w:trHeight w:val="148"/>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4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(4,042,440)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5,264,781</w:t>
            </w:r>
          </w:p>
        </w:tc>
        <w:tc>
          <w:tcPr>
            <w:tcW w:w="0" w:type="dxa"/>
            <w:vAlign w:val="bottom"/>
          </w:tcPr>
          <w:p>
            <w:pPr>
              <w:spacing w:after="0"/>
              <w:rPr>
                <w:sz w:val="1"/>
                <w:szCs w:val="1"/>
                <w:color w:val="auto"/>
              </w:rPr>
            </w:pPr>
          </w:p>
        </w:tc>
      </w:tr>
      <w:tr>
        <w:trPr>
          <w:trHeight w:val="148"/>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255,750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90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6,562,689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13,294,078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(8,119,441)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(8,007,705)</w:t>
            </w:r>
          </w:p>
        </w:tc>
        <w:tc>
          <w:tcPr>
            <w:tcW w:w="0" w:type="dxa"/>
            <w:vAlign w:val="bottom"/>
          </w:tcPr>
          <w:p>
            <w:pPr>
              <w:spacing w:after="0"/>
              <w:rPr>
                <w:sz w:val="1"/>
                <w:szCs w:val="1"/>
                <w:color w:val="auto"/>
              </w:rPr>
            </w:pPr>
          </w:p>
        </w:tc>
      </w:tr>
      <w:tr>
        <w:trPr>
          <w:trHeight w:val="163"/>
        </w:trPr>
        <w:tc>
          <w:tcPr>
            <w:tcW w:w="906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(1,556,752)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5,286,373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214,527,710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210,066,394</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212,970,958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215,352,767</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300"/>
              <w:spacing w:after="0"/>
              <w:rPr>
                <w:sz w:val="20"/>
                <w:szCs w:val="20"/>
                <w:color w:val="auto"/>
              </w:rPr>
            </w:pPr>
            <w:r>
              <w:rPr>
                <w:rFonts w:ascii="Arial" w:cs="Arial" w:eastAsia="Arial" w:hAnsi="Arial"/>
                <w:sz w:val="14"/>
                <w:szCs w:val="14"/>
                <w:color w:val="auto"/>
              </w:rPr>
              <w:t>Undistributed (Distributions in excess of) net investment income, end of period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60" w:type="dxa"/>
            <w:vAlign w:val="bottom"/>
            <w:vMerge w:val="continue"/>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6,683,175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(580,496)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4"/>
              </w:rPr>
              <w:t>Six Months Ended March 31,</w:t>
            </w:r>
          </w:p>
        </w:tc>
        <w:tc>
          <w:tcPr>
            <w:tcW w:w="0" w:type="dxa"/>
            <w:vAlign w:val="bottom"/>
          </w:tcPr>
          <w:p>
            <w:pPr>
              <w:spacing w:after="0"/>
              <w:rPr>
                <w:sz w:val="1"/>
                <w:szCs w:val="1"/>
                <w:color w:val="auto"/>
              </w:rPr>
            </w:pPr>
          </w:p>
        </w:tc>
      </w:tr>
      <w:tr>
        <w:trPr>
          <w:trHeight w:val="128"/>
        </w:trPr>
        <w:tc>
          <w:tcPr>
            <w:tcW w:w="9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1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160" w:type="dxa"/>
            <w:vAlign w:val="bottom"/>
          </w:tcPr>
          <w:p>
            <w:pPr>
              <w:ind w:left="30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6,562,689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13,294,078</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provided (used) by operating activities: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4,042,440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(5,264,781)</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(255,750)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Net realized gain on investments</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(424,854)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(1,076,854)</w:t>
            </w:r>
          </w:p>
        </w:tc>
        <w:tc>
          <w:tcPr>
            <w:tcW w:w="0" w:type="dxa"/>
            <w:vAlign w:val="bottom"/>
          </w:tcPr>
          <w:p>
            <w:pPr>
              <w:spacing w:after="0"/>
              <w:rPr>
                <w:sz w:val="1"/>
                <w:szCs w:val="1"/>
                <w:color w:val="auto"/>
              </w:rPr>
            </w:pPr>
          </w:p>
        </w:tc>
      </w:tr>
      <w:tr>
        <w:trPr>
          <w:trHeight w:val="149"/>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(639,080)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(680,975)</w:t>
            </w: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Purchases of investments</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(85,391,682)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(154,345,653)</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Payment-in-kind interest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(307,588)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(128,333)</w:t>
            </w: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92,918,833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91,157,502</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(158,980)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307,764</w:t>
            </w:r>
          </w:p>
        </w:tc>
        <w:tc>
          <w:tcPr>
            <w:tcW w:w="0" w:type="dxa"/>
            <w:vAlign w:val="bottom"/>
          </w:tcPr>
          <w:p>
            <w:pPr>
              <w:spacing w:after="0"/>
              <w:rPr>
                <w:sz w:val="1"/>
                <w:szCs w:val="1"/>
                <w:color w:val="auto"/>
              </w:rPr>
            </w:pPr>
          </w:p>
        </w:tc>
      </w:tr>
      <w:tr>
        <w:trPr>
          <w:trHeight w:val="149"/>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2,500,063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(2,375,389)</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prepaid expenses and other assets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(22,330)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85,439</w:t>
            </w: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Increase (decrease) in payable for investments purchased</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16,377,850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(7,133,956)</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134,469</w:t>
            </w: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management fee payable</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(63,802)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221,314</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performance-based incentive fee payable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(704,960)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1,077,421</w:t>
            </w:r>
          </w:p>
        </w:tc>
        <w:tc>
          <w:tcPr>
            <w:tcW w:w="0" w:type="dxa"/>
            <w:vAlign w:val="bottom"/>
          </w:tcPr>
          <w:p>
            <w:pPr>
              <w:spacing w:after="0"/>
              <w:rPr>
                <w:sz w:val="1"/>
                <w:szCs w:val="1"/>
                <w:color w:val="auto"/>
              </w:rPr>
            </w:pPr>
          </w:p>
        </w:tc>
      </w:tr>
      <w:tr>
        <w:trPr>
          <w:trHeight w:val="149"/>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Decrease in accrued other expenses</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(544,801)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(399,695)</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cash provided (used) by operating activities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33,866,987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(65,127,649)</w:t>
            </w:r>
          </w:p>
        </w:tc>
        <w:tc>
          <w:tcPr>
            <w:tcW w:w="0" w:type="dxa"/>
            <w:vAlign w:val="bottom"/>
          </w:tcPr>
          <w:p>
            <w:pPr>
              <w:spacing w:after="0"/>
              <w:rPr>
                <w:sz w:val="1"/>
                <w:szCs w:val="1"/>
                <w:color w:val="auto"/>
              </w:rPr>
            </w:pPr>
          </w:p>
        </w:tc>
      </w:tr>
      <w:tr>
        <w:trPr>
          <w:trHeight w:val="156"/>
        </w:trPr>
        <w:tc>
          <w:tcPr>
            <w:tcW w:w="91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Distributions paid to stockholders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(8,044,951)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(7,970,460)</w:t>
            </w:r>
          </w:p>
        </w:tc>
        <w:tc>
          <w:tcPr>
            <w:tcW w:w="0" w:type="dxa"/>
            <w:vAlign w:val="bottom"/>
          </w:tcPr>
          <w:p>
            <w:pPr>
              <w:spacing w:after="0"/>
              <w:rPr>
                <w:sz w:val="1"/>
                <w:szCs w:val="1"/>
                <w:color w:val="auto"/>
              </w:rPr>
            </w:pPr>
          </w:p>
        </w:tc>
      </w:tr>
      <w:tr>
        <w:trPr>
          <w:trHeight w:val="148"/>
        </w:trPr>
        <w:tc>
          <w:tcPr>
            <w:tcW w:w="9160" w:type="dxa"/>
            <w:vAlign w:val="bottom"/>
          </w:tcPr>
          <w:p>
            <w:pPr>
              <w:ind w:left="5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54,900,000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112,500,000</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(84,000,000)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(38,900,000)</w:t>
            </w:r>
          </w:p>
        </w:tc>
        <w:tc>
          <w:tcPr>
            <w:tcW w:w="0" w:type="dxa"/>
            <w:vAlign w:val="bottom"/>
          </w:tcPr>
          <w:p>
            <w:pPr>
              <w:spacing w:after="0"/>
              <w:rPr>
                <w:sz w:val="1"/>
                <w:szCs w:val="1"/>
                <w:color w:val="auto"/>
              </w:rPr>
            </w:pPr>
          </w:p>
        </w:tc>
      </w:tr>
      <w:tr>
        <w:trPr>
          <w:trHeight w:val="163"/>
        </w:trPr>
        <w:tc>
          <w:tcPr>
            <w:tcW w:w="9160" w:type="dxa"/>
            <w:vAlign w:val="bottom"/>
          </w:tcPr>
          <w:p>
            <w:pPr>
              <w:ind w:left="880"/>
              <w:spacing w:after="0" w:line="155" w:lineRule="exact"/>
              <w:rPr>
                <w:sz w:val="20"/>
                <w:szCs w:val="20"/>
                <w:color w:val="auto"/>
              </w:rPr>
            </w:pPr>
            <w:r>
              <w:rPr>
                <w:rFonts w:ascii="Arial" w:cs="Arial" w:eastAsia="Arial" w:hAnsi="Arial"/>
                <w:sz w:val="14"/>
                <w:szCs w:val="14"/>
                <w:color w:val="auto"/>
              </w:rPr>
              <w:t>Net cash (used)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(37,144,951)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65,629,540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equivalents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(3,277,964)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501,891</w:t>
            </w:r>
          </w:p>
        </w:tc>
        <w:tc>
          <w:tcPr>
            <w:tcW w:w="0" w:type="dxa"/>
            <w:vAlign w:val="bottom"/>
          </w:tcPr>
          <w:p>
            <w:pPr>
              <w:spacing w:after="0"/>
              <w:rPr>
                <w:sz w:val="1"/>
                <w:szCs w:val="1"/>
                <w:color w:val="auto"/>
              </w:rPr>
            </w:pPr>
          </w:p>
        </w:tc>
      </w:tr>
      <w:tr>
        <w:trPr>
          <w:trHeight w:val="155"/>
        </w:trPr>
        <w:tc>
          <w:tcPr>
            <w:tcW w:w="916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13,113,817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9,835,853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5,080,140</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paid</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1,647,794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1,530,656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ind w:left="300"/>
              <w:spacing w:after="0"/>
              <w:rPr>
                <w:sz w:val="20"/>
                <w:szCs w:val="20"/>
                <w:color w:val="auto"/>
              </w:rPr>
            </w:pPr>
            <w:r>
              <w:rPr>
                <w:rFonts w:ascii="Arial" w:cs="Arial" w:eastAsia="Arial" w:hAnsi="Arial"/>
                <w:sz w:val="14"/>
                <w:szCs w:val="14"/>
                <w:color w:val="auto"/>
              </w:rPr>
              <w:t>Excise taxes paid</w:t>
            </w: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1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431,856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256,392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6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Conversions and non-cash exchanges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670,283</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5,952,277</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Current</w:t>
            </w:r>
          </w:p>
        </w:tc>
        <w:tc>
          <w:tcPr>
            <w:tcW w:w="10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90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Par /</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4"/>
              </w:rPr>
              <w:t>Maturity</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Coupon</w:t>
            </w: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48"/>
        </w:trPr>
        <w:tc>
          <w:tcPr>
            <w:tcW w:w="3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2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 xml:space="preserve">Investments in Non-Controlled, Non-Affiliated Portfolio Companies—157.6% </w:t>
            </w:r>
            <w:r>
              <w:rPr>
                <w:rFonts w:ascii="Arial" w:cs="Arial" w:eastAsia="Arial" w:hAnsi="Arial"/>
                <w:sz w:val="10"/>
                <w:szCs w:val="10"/>
                <w:b w:val="1"/>
                <w:bCs w:val="1"/>
                <w:color w:val="auto"/>
              </w:rPr>
              <w:t>(3), (4)</w:t>
            </w: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Debt—130.3%</w:t>
            </w:r>
          </w:p>
        </w:tc>
        <w:tc>
          <w:tcPr>
            <w:tcW w:w="10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04/02/2018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11.94%</w:t>
            </w:r>
          </w:p>
        </w:tc>
        <w:tc>
          <w:tcPr>
            <w:tcW w:w="10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8,965,635</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$ 8,796,176</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   9,000,096</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(10)</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04/02/2018</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2,019,209</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04/02/2018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1,165,725</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02/28/2019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7,315,907</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7,272,490</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7,279,327</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07/16/2018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3,910,965</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3,884,998</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3,896,299</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12/21/2020</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9.25%</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L+825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1,382,500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1,346,274</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1,373,859</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ARC Automotive Group,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10/12/2020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3,990,000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3,952,816</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3,950,100</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Ascend Learning, LLC</w:t>
            </w:r>
          </w:p>
        </w:tc>
        <w:tc>
          <w:tcPr>
            <w:tcW w:w="1080" w:type="dxa"/>
            <w:vAlign w:val="bottom"/>
          </w:tcPr>
          <w:p>
            <w:pPr>
              <w:jc w:val="center"/>
              <w:ind w:left="117"/>
              <w:spacing w:after="0" w:line="121" w:lineRule="exact"/>
              <w:rPr>
                <w:sz w:val="20"/>
                <w:szCs w:val="20"/>
                <w:color w:val="auto"/>
              </w:rPr>
            </w:pPr>
            <w:r>
              <w:rPr>
                <w:rFonts w:ascii="Arial" w:cs="Arial" w:eastAsia="Arial" w:hAnsi="Arial"/>
                <w:sz w:val="13"/>
                <w:szCs w:val="13"/>
                <w:color w:val="auto"/>
                <w:w w:val="89"/>
              </w:rPr>
              <w:t>07/31/2019</w:t>
            </w:r>
          </w:p>
        </w:tc>
        <w:tc>
          <w:tcPr>
            <w:tcW w:w="200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6.00%</w:t>
            </w:r>
          </w:p>
        </w:tc>
        <w:tc>
          <w:tcPr>
            <w:tcW w:w="10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3,957,469</w:t>
            </w:r>
          </w:p>
        </w:tc>
        <w:tc>
          <w:tcPr>
            <w:tcW w:w="10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3,941,037</w:t>
            </w:r>
          </w:p>
        </w:tc>
        <w:tc>
          <w:tcPr>
            <w:tcW w:w="10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3,960,437</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Aspen Dental Management,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10/06/2016</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2,902,500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2,889,575</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2,902,500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080" w:type="dxa"/>
            <w:vAlign w:val="bottom"/>
          </w:tcPr>
          <w:p>
            <w:pPr>
              <w:jc w:val="center"/>
              <w:ind w:left="137"/>
              <w:spacing w:after="0" w:line="135" w:lineRule="exact"/>
              <w:rPr>
                <w:sz w:val="20"/>
                <w:szCs w:val="20"/>
                <w:color w:val="auto"/>
              </w:rPr>
            </w:pPr>
            <w:r>
              <w:rPr>
                <w:rFonts w:ascii="Arial" w:cs="Arial" w:eastAsia="Arial" w:hAnsi="Arial"/>
                <w:sz w:val="13"/>
                <w:szCs w:val="13"/>
                <w:color w:val="auto"/>
                <w:w w:val="86"/>
              </w:rPr>
              <w:t>11/15/2018</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L+650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7,158,004</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6,970,256</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6,773,262</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06/29/2020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4,937,500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4,871,028</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4,925,156</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09/17/2021</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L+625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7,960,000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7,847,306</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7,900,300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07/02/2020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5,000,000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4,961,851</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4,800,000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12/24/2019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4,455,000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4,400,346</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4,477,275</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080" w:type="dxa"/>
            <w:vAlign w:val="bottom"/>
            <w:shd w:val="clear" w:color="auto" w:fill="CCEEFF"/>
          </w:tcPr>
          <w:p>
            <w:pPr>
              <w:jc w:val="center"/>
              <w:ind w:left="117"/>
              <w:spacing w:after="0" w:line="121" w:lineRule="exact"/>
              <w:rPr>
                <w:sz w:val="20"/>
                <w:szCs w:val="20"/>
                <w:color w:val="auto"/>
              </w:rPr>
            </w:pPr>
            <w:r>
              <w:rPr>
                <w:rFonts w:ascii="Arial" w:cs="Arial" w:eastAsia="Arial" w:hAnsi="Arial"/>
                <w:sz w:val="13"/>
                <w:szCs w:val="13"/>
                <w:color w:val="auto"/>
                <w:w w:val="89"/>
              </w:rPr>
              <w:t>01/08/2019</w:t>
            </w:r>
          </w:p>
        </w:tc>
        <w:tc>
          <w:tcPr>
            <w:tcW w:w="20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7.25%</w:t>
            </w:r>
          </w:p>
        </w:tc>
        <w:tc>
          <w:tcPr>
            <w:tcW w:w="102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4,950,000</w:t>
            </w:r>
          </w:p>
        </w:tc>
        <w:tc>
          <w:tcPr>
            <w:tcW w:w="10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4,908,069</w:t>
            </w:r>
          </w:p>
        </w:tc>
        <w:tc>
          <w:tcPr>
            <w:tcW w:w="108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Creative Circle, LLC</w:t>
            </w:r>
          </w:p>
        </w:tc>
        <w:tc>
          <w:tcPr>
            <w:tcW w:w="1080" w:type="dxa"/>
            <w:vAlign w:val="bottom"/>
          </w:tcPr>
          <w:p>
            <w:pPr>
              <w:jc w:val="center"/>
              <w:ind w:left="117"/>
              <w:spacing w:after="0" w:line="121" w:lineRule="exact"/>
              <w:rPr>
                <w:sz w:val="20"/>
                <w:szCs w:val="20"/>
                <w:color w:val="auto"/>
              </w:rPr>
            </w:pPr>
            <w:r>
              <w:rPr>
                <w:rFonts w:ascii="Arial" w:cs="Arial" w:eastAsia="Arial" w:hAnsi="Arial"/>
                <w:sz w:val="13"/>
                <w:szCs w:val="13"/>
                <w:color w:val="auto"/>
                <w:w w:val="89"/>
              </w:rPr>
              <w:t>06/25/2020</w:t>
            </w:r>
          </w:p>
        </w:tc>
        <w:tc>
          <w:tcPr>
            <w:tcW w:w="200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10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5,280,000</w:t>
            </w:r>
          </w:p>
        </w:tc>
        <w:tc>
          <w:tcPr>
            <w:tcW w:w="10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5,233,024</w:t>
            </w:r>
          </w:p>
        </w:tc>
        <w:tc>
          <w:tcPr>
            <w:tcW w:w="10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5,240,400</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CRGT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12/21/2020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4,968,750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4,873,324</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4,869,375</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02/07/2022</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1,980,496</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2,004,160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03/19/2018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3,237,062</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3,204,862</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3,237,062</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12/09/2020</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5,000,000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4,952,940</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Edmentum, Inc. </w:t>
            </w:r>
            <w:r>
              <w:rPr>
                <w:rFonts w:ascii="Arial" w:cs="Arial" w:eastAsia="Arial" w:hAnsi="Arial"/>
                <w:sz w:val="10"/>
                <w:szCs w:val="10"/>
                <w:color w:val="auto"/>
              </w:rPr>
              <w:t>(8)</w:t>
            </w:r>
          </w:p>
        </w:tc>
        <w:tc>
          <w:tcPr>
            <w:tcW w:w="1080" w:type="dxa"/>
            <w:vAlign w:val="bottom"/>
            <w:shd w:val="clear" w:color="auto" w:fill="CCEEFF"/>
          </w:tcPr>
          <w:p>
            <w:pPr>
              <w:jc w:val="center"/>
              <w:ind w:left="117"/>
              <w:spacing w:after="0" w:line="121" w:lineRule="exact"/>
              <w:rPr>
                <w:sz w:val="20"/>
                <w:szCs w:val="20"/>
                <w:color w:val="auto"/>
              </w:rPr>
            </w:pPr>
            <w:r>
              <w:rPr>
                <w:rFonts w:ascii="Arial" w:cs="Arial" w:eastAsia="Arial" w:hAnsi="Arial"/>
                <w:sz w:val="13"/>
                <w:szCs w:val="13"/>
                <w:color w:val="auto"/>
                <w:w w:val="89"/>
              </w:rPr>
              <w:t>05/17/2018</w:t>
            </w:r>
          </w:p>
        </w:tc>
        <w:tc>
          <w:tcPr>
            <w:tcW w:w="20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6.75%</w:t>
            </w:r>
          </w:p>
        </w:tc>
        <w:tc>
          <w:tcPr>
            <w:tcW w:w="102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P+350</w:t>
            </w:r>
          </w:p>
        </w:tc>
        <w:tc>
          <w:tcPr>
            <w:tcW w:w="90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910,050</w:t>
            </w:r>
          </w:p>
        </w:tc>
        <w:tc>
          <w:tcPr>
            <w:tcW w:w="10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910,050</w:t>
            </w:r>
          </w:p>
        </w:tc>
        <w:tc>
          <w:tcPr>
            <w:tcW w:w="108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630,965</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eResearchTechnology,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05/02/2018</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2,858,864</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2,849,672</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2,851,717</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05/31/2019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3,950,000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3,919,162</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3,920,375</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080" w:type="dxa"/>
            <w:vAlign w:val="bottom"/>
          </w:tcPr>
          <w:p>
            <w:pPr>
              <w:jc w:val="center"/>
              <w:ind w:left="117"/>
              <w:spacing w:after="0" w:line="121" w:lineRule="exact"/>
              <w:rPr>
                <w:sz w:val="20"/>
                <w:szCs w:val="20"/>
                <w:color w:val="auto"/>
              </w:rPr>
            </w:pPr>
            <w:r>
              <w:rPr>
                <w:rFonts w:ascii="Arial" w:cs="Arial" w:eastAsia="Arial" w:hAnsi="Arial"/>
                <w:sz w:val="13"/>
                <w:szCs w:val="13"/>
                <w:color w:val="auto"/>
                <w:w w:val="89"/>
              </w:rPr>
              <w:t>05/23/2018</w:t>
            </w:r>
          </w:p>
        </w:tc>
        <w:tc>
          <w:tcPr>
            <w:tcW w:w="200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6.75%</w:t>
            </w:r>
          </w:p>
        </w:tc>
        <w:tc>
          <w:tcPr>
            <w:tcW w:w="10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786,320</w:t>
            </w:r>
          </w:p>
        </w:tc>
        <w:tc>
          <w:tcPr>
            <w:tcW w:w="10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785,254</w:t>
            </w:r>
          </w:p>
        </w:tc>
        <w:tc>
          <w:tcPr>
            <w:tcW w:w="10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782,883</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080" w:type="dxa"/>
            <w:vAlign w:val="bottom"/>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86"/>
              </w:rPr>
              <w:t>11/04/2020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6,912,500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6,856,073</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6,912,500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Help/Systems Holdings,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06/28/2019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4,937,500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4,902,108</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4,875,781</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10/21/2020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1,183,094</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1,200,000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12/13/2019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2,856,571</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2,833,872</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2,813,722</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08/05/2019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6,825,000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6,764,982</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6,825,000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ICC-Nexergy,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04/30/2020</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5,000,000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4,950,000</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080" w:type="dxa"/>
            <w:vAlign w:val="bottom"/>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86"/>
              </w:rPr>
              <w:t>11/04/2020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L+625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7,000,000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6,867,179</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7,000,000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 (8)</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03/30/2017</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1,981,543</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2,100,000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05/01/2019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11,700,304</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11,584,324</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10,530,273</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080" w:type="dxa"/>
            <w:vAlign w:val="bottom"/>
          </w:tcPr>
          <w:p>
            <w:pPr>
              <w:jc w:val="center"/>
              <w:ind w:left="117"/>
              <w:spacing w:after="0" w:line="121" w:lineRule="exact"/>
              <w:rPr>
                <w:sz w:val="20"/>
                <w:szCs w:val="20"/>
                <w:color w:val="auto"/>
              </w:rPr>
            </w:pPr>
            <w:r>
              <w:rPr>
                <w:rFonts w:ascii="Arial" w:cs="Arial" w:eastAsia="Arial" w:hAnsi="Arial"/>
                <w:sz w:val="13"/>
                <w:szCs w:val="13"/>
                <w:color w:val="auto"/>
                <w:w w:val="89"/>
              </w:rPr>
              <w:t>03/28/2019</w:t>
            </w:r>
          </w:p>
        </w:tc>
        <w:tc>
          <w:tcPr>
            <w:tcW w:w="200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10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5,411,520</w:t>
            </w:r>
          </w:p>
        </w:tc>
        <w:tc>
          <w:tcPr>
            <w:tcW w:w="10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5,344,822</w:t>
            </w:r>
          </w:p>
        </w:tc>
        <w:tc>
          <w:tcPr>
            <w:tcW w:w="10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5,411,520</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080" w:type="dxa"/>
            <w:vAlign w:val="bottom"/>
            <w:shd w:val="clear" w:color="auto" w:fill="CCEEFF"/>
          </w:tcPr>
          <w:p>
            <w:pPr>
              <w:jc w:val="center"/>
              <w:ind w:left="117"/>
              <w:spacing w:after="0" w:line="121" w:lineRule="exact"/>
              <w:rPr>
                <w:sz w:val="20"/>
                <w:szCs w:val="20"/>
                <w:color w:val="auto"/>
              </w:rPr>
            </w:pPr>
            <w:r>
              <w:rPr>
                <w:rFonts w:ascii="Arial" w:cs="Arial" w:eastAsia="Arial" w:hAnsi="Arial"/>
                <w:sz w:val="13"/>
                <w:szCs w:val="13"/>
                <w:color w:val="auto"/>
                <w:w w:val="89"/>
              </w:rPr>
              <w:t>03/28/2019</w:t>
            </w:r>
          </w:p>
        </w:tc>
        <w:tc>
          <w:tcPr>
            <w:tcW w:w="20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12.00%</w:t>
            </w:r>
          </w:p>
        </w:tc>
        <w:tc>
          <w:tcPr>
            <w:tcW w:w="102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L+1,100</w:t>
            </w:r>
          </w:p>
        </w:tc>
        <w:tc>
          <w:tcPr>
            <w:tcW w:w="90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4,500,000</w:t>
            </w:r>
          </w:p>
        </w:tc>
        <w:tc>
          <w:tcPr>
            <w:tcW w:w="10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4,442,993</w:t>
            </w:r>
          </w:p>
        </w:tc>
        <w:tc>
          <w:tcPr>
            <w:tcW w:w="108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10/16/2017</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L+850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4,682,143</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4,623,899</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4,658,732</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08/19/2019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L+1,000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6,042,192</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5,945,783</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5,806,662</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080" w:type="dxa"/>
            <w:vAlign w:val="bottom"/>
          </w:tcPr>
          <w:p>
            <w:pPr>
              <w:jc w:val="center"/>
              <w:ind w:left="137"/>
              <w:spacing w:after="0" w:line="135" w:lineRule="exact"/>
              <w:rPr>
                <w:sz w:val="20"/>
                <w:szCs w:val="20"/>
                <w:color w:val="auto"/>
              </w:rPr>
            </w:pPr>
            <w:r>
              <w:rPr>
                <w:rFonts w:ascii="Arial" w:cs="Arial" w:eastAsia="Arial" w:hAnsi="Arial"/>
                <w:sz w:val="13"/>
                <w:szCs w:val="13"/>
                <w:color w:val="auto"/>
                <w:w w:val="86"/>
              </w:rPr>
              <w:t>11/13/2020</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1,975,008</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1,967,599</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1,965,962</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080" w:type="dxa"/>
            <w:vAlign w:val="bottom"/>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86"/>
              </w:rPr>
              <w:t>11/30/2018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5,895,000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5,830,625</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5,821,313</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Meritas Schools Holdings, LLC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06/25/2019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2,492,600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2,474,082</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2,480,137</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07/31/2019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8,967,647</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8,901,960</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8,721,037</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06/28/2019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7,677,766</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7,621,398</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7,620,183</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080" w:type="dxa"/>
            <w:vAlign w:val="bottom"/>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86"/>
              </w:rPr>
              <w:t>11/01/2018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8,261,431</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8,160,587</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7,517,902</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12/17/2018</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7.75%</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L+650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4,937,500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4,898,782</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4,912,813</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03/18/2021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7,000,000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6,965,128</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7,000,000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06/18/2019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3,626,543</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3,598,018</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3,586,663</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 (Revolver)</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06/18/2019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47,059</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47,059</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46,542</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Robertshaw US Holding Corp. (Revolver) </w:t>
            </w:r>
            <w:r>
              <w:rPr>
                <w:rFonts w:ascii="Arial" w:cs="Arial" w:eastAsia="Arial" w:hAnsi="Arial"/>
                <w:sz w:val="10"/>
                <w:szCs w:val="10"/>
                <w:color w:val="auto"/>
              </w:rPr>
              <w:t>(10)</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06/18/2019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658,823</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SCE Partners, LLC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08/14/2019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8.25%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L+725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11,940,000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11,847,580</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11,940,000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04/21/2017</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6,576,301</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6,360,488</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5,721,382</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08/09/2021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1,194,600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1,189,025</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1,191,614</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08/22/2018</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6,456,554</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6,433,938</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6,391,989</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12/16/2020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5,000,000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4,951,878</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10/18/2019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5.25%</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L+425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5,925,000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5,902,179</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5,880,562</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07/09/2021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4,975,000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4,928,971</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4,577,000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Therakos, Inc.</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12/27/2017</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4,843,177</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4,783,472</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4,794,746</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1080" w:type="dxa"/>
            <w:vAlign w:val="bottom"/>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86"/>
              </w:rPr>
              <w:t>11/02/2020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1,810,347</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1,845,000</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080" w:type="dxa"/>
            <w:vAlign w:val="bottom"/>
          </w:tcPr>
          <w:p>
            <w:pPr>
              <w:jc w:val="center"/>
              <w:ind w:left="117"/>
              <w:spacing w:after="0" w:line="121" w:lineRule="exact"/>
              <w:rPr>
                <w:sz w:val="20"/>
                <w:szCs w:val="20"/>
                <w:color w:val="auto"/>
              </w:rPr>
            </w:pPr>
            <w:r>
              <w:rPr>
                <w:rFonts w:ascii="Arial" w:cs="Arial" w:eastAsia="Arial" w:hAnsi="Arial"/>
                <w:sz w:val="13"/>
                <w:szCs w:val="13"/>
                <w:color w:val="auto"/>
                <w:w w:val="89"/>
              </w:rPr>
              <w:t>01/14/2019</w:t>
            </w:r>
          </w:p>
        </w:tc>
        <w:tc>
          <w:tcPr>
            <w:tcW w:w="2000" w:type="dxa"/>
            <w:vAlign w:val="bottom"/>
          </w:tcPr>
          <w:p>
            <w:pPr>
              <w:jc w:val="center"/>
              <w:spacing w:after="0" w:line="121" w:lineRule="exact"/>
              <w:rPr>
                <w:sz w:val="20"/>
                <w:szCs w:val="20"/>
                <w:color w:val="auto"/>
              </w:rPr>
            </w:pPr>
            <w:r>
              <w:rPr>
                <w:rFonts w:ascii="Arial" w:cs="Arial" w:eastAsia="Arial" w:hAnsi="Arial"/>
                <w:sz w:val="13"/>
                <w:szCs w:val="13"/>
                <w:color w:val="auto"/>
                <w:w w:val="88"/>
              </w:rPr>
              <w:t>Telecommunications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9.50%</w:t>
            </w:r>
          </w:p>
        </w:tc>
        <w:tc>
          <w:tcPr>
            <w:tcW w:w="10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L+850</w:t>
            </w:r>
          </w:p>
        </w:tc>
        <w:tc>
          <w:tcPr>
            <w:tcW w:w="9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472,938</w:t>
            </w:r>
          </w:p>
        </w:tc>
        <w:tc>
          <w:tcPr>
            <w:tcW w:w="10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472,938</w:t>
            </w:r>
          </w:p>
        </w:tc>
        <w:tc>
          <w:tcPr>
            <w:tcW w:w="10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472,938</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Arial" w:cs="Arial" w:eastAsia="Arial" w:hAnsi="Arial"/>
                <w:sz w:val="13"/>
                <w:szCs w:val="13"/>
                <w:color w:val="auto"/>
              </w:rPr>
              <w:t>(PIK 1.00%)</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080" w:type="dxa"/>
            <w:vAlign w:val="bottom"/>
            <w:shd w:val="clear" w:color="auto" w:fill="CCEEFF"/>
          </w:tcPr>
          <w:p>
            <w:pPr>
              <w:jc w:val="center"/>
              <w:ind w:left="117"/>
              <w:spacing w:after="0" w:line="136" w:lineRule="exact"/>
              <w:rPr>
                <w:sz w:val="20"/>
                <w:szCs w:val="20"/>
                <w:color w:val="auto"/>
              </w:rPr>
            </w:pPr>
            <w:r>
              <w:rPr>
                <w:rFonts w:ascii="Arial" w:cs="Arial" w:eastAsia="Arial" w:hAnsi="Arial"/>
                <w:sz w:val="13"/>
                <w:szCs w:val="13"/>
                <w:color w:val="auto"/>
                <w:w w:val="89"/>
              </w:rPr>
              <w:t>01/14/2019</w:t>
            </w:r>
          </w:p>
        </w:tc>
        <w:tc>
          <w:tcPr>
            <w:tcW w:w="20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Telecommunications</w:t>
            </w:r>
          </w:p>
        </w:tc>
        <w:tc>
          <w:tcPr>
            <w:tcW w:w="94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8.50%</w:t>
            </w:r>
          </w:p>
        </w:tc>
        <w:tc>
          <w:tcPr>
            <w:tcW w:w="1020" w:type="dxa"/>
            <w:vAlign w:val="bottom"/>
            <w:shd w:val="clear" w:color="auto" w:fill="CCEEFF"/>
          </w:tcPr>
          <w:p>
            <w:pPr>
              <w:jc w:val="right"/>
              <w:ind w:right="217"/>
              <w:spacing w:after="0" w:line="136" w:lineRule="exact"/>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599,702</w:t>
            </w:r>
          </w:p>
        </w:tc>
        <w:tc>
          <w:tcPr>
            <w:tcW w:w="102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542,323</w:t>
            </w:r>
          </w:p>
        </w:tc>
        <w:tc>
          <w:tcPr>
            <w:tcW w:w="108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569,717</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01/14/2019</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151,090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Farathane, LLC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02/07/2022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6.75%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5,925,000</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5,808,932</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5,969,437</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10"/>
                <w:szCs w:val="10"/>
                <w:color w:val="auto"/>
              </w:rPr>
              <w:t>(8)</w:t>
            </w:r>
          </w:p>
        </w:tc>
        <w:tc>
          <w:tcPr>
            <w:tcW w:w="10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9"/>
              </w:rPr>
              <w:t>12/22/2016</w:t>
            </w:r>
          </w:p>
        </w:tc>
        <w:tc>
          <w:tcPr>
            <w:tcW w:w="20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7.26%</w:t>
            </w:r>
          </w:p>
        </w:tc>
        <w:tc>
          <w:tcPr>
            <w:tcW w:w="10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2,910,663</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2,902,146</w:t>
            </w: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2,343,084</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Wilton Brands, LLC</w:t>
            </w:r>
          </w:p>
        </w:tc>
        <w:tc>
          <w:tcPr>
            <w:tcW w:w="1080" w:type="dxa"/>
            <w:vAlign w:val="bottom"/>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9"/>
              </w:rPr>
              <w:t>08/30/2018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7.55%</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L+625</w:t>
            </w:r>
          </w:p>
        </w:tc>
        <w:tc>
          <w:tcPr>
            <w:tcW w:w="9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2,932,653</w:t>
            </w:r>
          </w:p>
        </w:tc>
        <w:tc>
          <w:tcPr>
            <w:tcW w:w="10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2,897,375</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2,795,786</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Worley Claims Services, LLC</w:t>
            </w:r>
          </w:p>
        </w:tc>
        <w:tc>
          <w:tcPr>
            <w:tcW w:w="1080" w:type="dxa"/>
            <w:vAlign w:val="bottom"/>
          </w:tcPr>
          <w:p>
            <w:pPr>
              <w:jc w:val="center"/>
              <w:ind w:left="117"/>
              <w:spacing w:after="0" w:line="121" w:lineRule="exact"/>
              <w:rPr>
                <w:sz w:val="20"/>
                <w:szCs w:val="20"/>
                <w:color w:val="auto"/>
              </w:rPr>
            </w:pPr>
            <w:r>
              <w:rPr>
                <w:rFonts w:ascii="Arial" w:cs="Arial" w:eastAsia="Arial" w:hAnsi="Arial"/>
                <w:sz w:val="13"/>
                <w:szCs w:val="13"/>
                <w:color w:val="auto"/>
                <w:w w:val="89"/>
              </w:rPr>
              <w:t>10/30/2020</w:t>
            </w:r>
          </w:p>
        </w:tc>
        <w:tc>
          <w:tcPr>
            <w:tcW w:w="2000" w:type="dxa"/>
            <w:vAlign w:val="bottom"/>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9.00%</w:t>
            </w:r>
          </w:p>
        </w:tc>
        <w:tc>
          <w:tcPr>
            <w:tcW w:w="10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L+800</w:t>
            </w:r>
          </w:p>
        </w:tc>
        <w:tc>
          <w:tcPr>
            <w:tcW w:w="9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3,591,000</w:t>
            </w:r>
          </w:p>
        </w:tc>
        <w:tc>
          <w:tcPr>
            <w:tcW w:w="10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3,556,987</w:t>
            </w:r>
          </w:p>
        </w:tc>
        <w:tc>
          <w:tcPr>
            <w:tcW w:w="10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3,591,000</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86"/>
              </w:rPr>
              <w:t>Real Estate</w:t>
            </w: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gridSpan w:val="2"/>
            <w:vMerge w:val="continue"/>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14"/>
        </w:trPr>
        <w:tc>
          <w:tcPr>
            <w:tcW w:w="41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YP LLC</w:t>
            </w:r>
          </w:p>
        </w:tc>
        <w:tc>
          <w:tcPr>
            <w:tcW w:w="1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06/04/2018</w:t>
            </w:r>
          </w:p>
        </w:tc>
        <w:tc>
          <w:tcPr>
            <w:tcW w:w="16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Media: Advertising, Printing and</w:t>
            </w: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8.00</w:t>
            </w:r>
          </w:p>
        </w:tc>
        <w:tc>
          <w:tcPr>
            <w:tcW w:w="300" w:type="dxa"/>
            <w:vAlign w:val="bottom"/>
            <w:tcBorders>
              <w:top w:val="single" w:sz="8" w:color="CCEEFF"/>
            </w:tcBorders>
            <w:shd w:val="clear" w:color="auto" w:fill="CCEEFF"/>
          </w:tcPr>
          <w:p>
            <w:pPr>
              <w:jc w:val="right"/>
              <w:ind w:right="117"/>
              <w:spacing w:after="0" w:line="114" w:lineRule="exact"/>
              <w:rPr>
                <w:sz w:val="20"/>
                <w:szCs w:val="20"/>
                <w:color w:val="auto"/>
              </w:rPr>
            </w:pPr>
            <w:r>
              <w:rPr>
                <w:rFonts w:ascii="Arial" w:cs="Arial" w:eastAsia="Arial" w:hAnsi="Arial"/>
                <w:sz w:val="13"/>
                <w:szCs w:val="13"/>
                <w:color w:val="auto"/>
                <w:w w:val="86"/>
              </w:rPr>
              <w:t>%</w:t>
            </w: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L+675</w:t>
            </w:r>
          </w:p>
        </w:tc>
        <w:tc>
          <w:tcPr>
            <w:tcW w:w="2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2,596,273</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2,551,331</w:t>
            </w:r>
          </w:p>
        </w:tc>
        <w:tc>
          <w:tcPr>
            <w:tcW w:w="2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2,628,727</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Publishing</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280,436,826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277,582,772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Debt—23.0%</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160" w:type="dxa"/>
            <w:vAlign w:val="bottom"/>
          </w:tcPr>
          <w:p>
            <w:pPr>
              <w:spacing w:after="0"/>
              <w:rPr>
                <w:sz w:val="11"/>
                <w:szCs w:val="11"/>
                <w:color w:val="auto"/>
              </w:rPr>
            </w:pPr>
          </w:p>
        </w:tc>
        <w:tc>
          <w:tcPr>
            <w:tcW w:w="18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Metals and Mining</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1,000,000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Cannery Casino Resorts, LLC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10/02/2019</w:t>
            </w:r>
          </w:p>
        </w:tc>
        <w:tc>
          <w:tcPr>
            <w:tcW w:w="1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Hotel, Gaming and Leisure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L+875</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1,700,000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1,676,619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1,382,321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0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Carolina Beverage Group, LLC </w:t>
            </w:r>
            <w:r>
              <w:rPr>
                <w:rFonts w:ascii="Arial" w:cs="Arial" w:eastAsia="Arial" w:hAnsi="Arial"/>
                <w:sz w:val="10"/>
                <w:szCs w:val="10"/>
                <w:color w:val="auto"/>
              </w:rPr>
              <w:t>(5), (8)</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08/01/2018</w:t>
            </w:r>
          </w:p>
        </w:tc>
        <w:tc>
          <w:tcPr>
            <w:tcW w:w="160" w:type="dxa"/>
            <w:vAlign w:val="bottom"/>
          </w:tcPr>
          <w:p>
            <w:pPr>
              <w:spacing w:after="0"/>
              <w:rPr>
                <w:sz w:val="10"/>
                <w:szCs w:val="10"/>
                <w:color w:val="auto"/>
              </w:rPr>
            </w:pP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6"/>
              </w:rPr>
              <w:t>Beverage, Food and</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10.63%</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3,500,000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3,500,000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3,430,000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3"/>
                <w:szCs w:val="13"/>
                <w:color w:val="auto"/>
                <w:w w:val="84"/>
              </w:rPr>
              <w:t>Tobacco</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09/30/2020</w:t>
            </w:r>
          </w:p>
        </w:tc>
        <w:tc>
          <w:tcPr>
            <w:tcW w:w="1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Wholesale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9"/>
              </w:rPr>
              <w:t>11,000,000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10,385,531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16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3,932,295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3,987,830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12/20/2016</w:t>
            </w:r>
          </w:p>
        </w:tc>
        <w:tc>
          <w:tcPr>
            <w:tcW w:w="1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10.50%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L+875</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9,250,000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9,176,378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9,180,625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16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11.75%</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9"/>
              </w:rPr>
              <w:t>11,000,000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10,897,254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10/02/2020</w:t>
            </w:r>
          </w:p>
        </w:tc>
        <w:tc>
          <w:tcPr>
            <w:tcW w:w="16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Media: Diversified and</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9.00%</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L+775</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5,600,000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5,533,021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5,614,000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Production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160" w:type="dxa"/>
            <w:vAlign w:val="bottom"/>
          </w:tcPr>
          <w:p>
            <w:pPr>
              <w:spacing w:after="0"/>
              <w:rPr>
                <w:sz w:val="12"/>
                <w:szCs w:val="12"/>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Energy: Oil and Gas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2,812,500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2,669,986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2,531,250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48,771,084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49,048,526</w:t>
            </w: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Notes—2.9% </w:t>
            </w:r>
            <w:r>
              <w:rPr>
                <w:rFonts w:ascii="Arial" w:cs="Arial" w:eastAsia="Arial" w:hAnsi="Arial"/>
                <w:sz w:val="10"/>
                <w:szCs w:val="10"/>
                <w:b w:val="1"/>
                <w:bCs w:val="1"/>
                <w:color w:val="auto"/>
              </w:rPr>
              <w:t>(8)</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09/14/2018</w:t>
            </w:r>
          </w:p>
        </w:tc>
        <w:tc>
          <w:tcPr>
            <w:tcW w:w="16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14.50%</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4,462,922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3,989,769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2,900,899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w w:val="95"/>
              </w:rPr>
              <w:t>(PIK 14.50%)</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Affinion Investments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08/15/2018</w:t>
            </w:r>
          </w:p>
        </w:tc>
        <w:tc>
          <w:tcPr>
            <w:tcW w:w="16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1,734,000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1,734,000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1,057,740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10/26/2018</w:t>
            </w:r>
          </w:p>
        </w:tc>
        <w:tc>
          <w:tcPr>
            <w:tcW w:w="16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13.00%</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2,007,414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1,978,812</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2,014,239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(PIK 1.75%)</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30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07/15/2019</w:t>
            </w:r>
          </w:p>
        </w:tc>
        <w:tc>
          <w:tcPr>
            <w:tcW w:w="160" w:type="dxa"/>
            <w:vAlign w:val="bottom"/>
          </w:tcPr>
          <w:p>
            <w:pPr>
              <w:spacing w:after="0"/>
              <w:rPr>
                <w:sz w:val="10"/>
                <w:szCs w:val="10"/>
                <w:color w:val="auto"/>
              </w:rPr>
            </w:pPr>
          </w:p>
        </w:tc>
        <w:tc>
          <w:tcPr>
            <w:tcW w:w="18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121,647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121,647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121,647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77"/>
              <w:spacing w:after="0"/>
              <w:rPr>
                <w:sz w:val="20"/>
                <w:szCs w:val="20"/>
                <w:color w:val="auto"/>
              </w:rPr>
            </w:pPr>
            <w:r>
              <w:rPr>
                <w:rFonts w:ascii="Arial" w:cs="Arial" w:eastAsia="Arial" w:hAnsi="Arial"/>
                <w:sz w:val="13"/>
                <w:szCs w:val="13"/>
                <w:color w:val="auto"/>
                <w:w w:val="95"/>
              </w:rPr>
              <w:t>(PIK 15.00%)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7,824,228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6,094,525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Equity—0.6%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7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8.00%</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399,704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438,539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rPr>
              <w:t>—</w:t>
            </w:r>
          </w:p>
        </w:tc>
        <w:tc>
          <w:tcPr>
            <w:tcW w:w="18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1,047,317</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791,398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1,069,987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1,229,937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Equity/Warrants—0.8%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7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Retail</w:t>
            </w:r>
          </w:p>
        </w:tc>
        <w:tc>
          <w:tcPr>
            <w:tcW w:w="90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118,817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575,311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16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554,715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1,186,649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540,848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1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1,135,743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430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7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rPr>
              <w:t>—</w:t>
            </w: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296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16,706</w:t>
            </w:r>
          </w:p>
        </w:tc>
        <w:tc>
          <w:tcPr>
            <w:tcW w:w="0" w:type="dxa"/>
            <w:vAlign w:val="bottom"/>
          </w:tcPr>
          <w:p>
            <w:pPr>
              <w:spacing w:after="0"/>
              <w:rPr>
                <w:sz w:val="1"/>
                <w:szCs w:val="1"/>
                <w:color w:val="auto"/>
              </w:rPr>
            </w:pPr>
          </w:p>
        </w:tc>
      </w:tr>
      <w:tr>
        <w:trPr>
          <w:trHeight w:val="149"/>
        </w:trPr>
        <w:tc>
          <w:tcPr>
            <w:tcW w:w="430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11/27/2023</w:t>
            </w:r>
          </w:p>
        </w:tc>
        <w:tc>
          <w:tcPr>
            <w:tcW w:w="16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w:t>
            </w:r>
          </w:p>
        </w:tc>
        <w:tc>
          <w:tcPr>
            <w:tcW w:w="900" w:type="dxa"/>
            <w:vAlign w:val="bottom"/>
            <w:gridSpan w:val="2"/>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14,484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28,002</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145,275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4"/>
              </w:rPr>
              <w:t>and Real Estate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rPr>
              <w:t>—</w:t>
            </w:r>
          </w:p>
        </w:tc>
        <w:tc>
          <w:tcPr>
            <w:tcW w:w="18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149,617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Advertising, Printing</w:t>
            </w:r>
          </w:p>
        </w:tc>
        <w:tc>
          <w:tcPr>
            <w:tcW w:w="900" w:type="dxa"/>
            <w:vAlign w:val="bottom"/>
            <w:gridSpan w:val="2"/>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15,179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56,895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267,926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6"/>
              </w:rPr>
              <w:t>and Publishing</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1,390,659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1,568,781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5"/>
              </w:rPr>
              <w:t>339,492,784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1"/>
              </w:rPr>
              <w:t>335,524,541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Cash Equivalents—4.6%</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7"/>
              </w:rPr>
              <w:t>BlackRock Liquidity Funds, Temp Cash and Temp Fund, Institutional Shares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9,835,853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9,835,853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Equivalents—162.2%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349,328,637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345,360,394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Assets—(62.2)%</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6"/>
              </w:rPr>
              <w:t>(132,389,436)</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1"/>
              </w:rPr>
              <w:t>212,970,958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93980</wp:posOffset>
            </wp:positionV>
            <wp:extent cx="1028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68" w:lineRule="exact"/>
        <w:rPr>
          <w:sz w:val="20"/>
          <w:szCs w:val="20"/>
          <w:color w:val="auto"/>
        </w:rPr>
      </w:pPr>
    </w:p>
    <w:p>
      <w:pPr>
        <w:ind w:left="460" w:right="40" w:hanging="452"/>
        <w:spacing w:after="0" w:line="273"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37" w:lineRule="exact"/>
        <w:rPr>
          <w:rFonts w:ascii="Arial" w:cs="Arial" w:eastAsia="Arial" w:hAnsi="Arial"/>
          <w:sz w:val="12"/>
          <w:szCs w:val="12"/>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5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5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5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460" w:right="44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56" w:lineRule="exact"/>
        <w:rPr>
          <w:rFonts w:ascii="Arial" w:cs="Arial" w:eastAsia="Arial" w:hAnsi="Arial"/>
          <w:sz w:val="13"/>
          <w:szCs w:val="13"/>
          <w:color w:val="auto"/>
        </w:rPr>
      </w:pPr>
    </w:p>
    <w:p>
      <w:pPr>
        <w:ind w:left="460" w:right="28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center"/>
              <w:ind w:right="117"/>
              <w:spacing w:after="0"/>
              <w:rPr>
                <w:sz w:val="20"/>
                <w:szCs w:val="20"/>
                <w:color w:val="auto"/>
              </w:rPr>
            </w:pPr>
            <w:r>
              <w:rPr>
                <w:rFonts w:ascii="Arial" w:cs="Arial" w:eastAsia="Arial" w:hAnsi="Arial"/>
                <w:sz w:val="13"/>
                <w:szCs w:val="13"/>
                <w:b w:val="1"/>
                <w:bCs w:val="1"/>
                <w:color w:val="auto"/>
                <w:w w:val="84"/>
              </w:rPr>
              <w:t>Basis Point</w:t>
            </w: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90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Par /</w:t>
            </w: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Maturity</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Coupon</w:t>
            </w: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Cost</w:t>
            </w: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 xml:space="preserve">Investments in Non-Controlled, Non-Affiliated Portfolio Companies—162.4% </w:t>
            </w:r>
            <w:r>
              <w:rPr>
                <w:rFonts w:ascii="Arial" w:cs="Arial" w:eastAsia="Arial" w:hAnsi="Arial"/>
                <w:sz w:val="10"/>
                <w:szCs w:val="10"/>
                <w:b w:val="1"/>
                <w:bCs w:val="1"/>
                <w:color w:val="auto"/>
              </w:rPr>
              <w:t>(3), (4)</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Debt—141.0%</w:t>
            </w: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04/02/2018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Retail</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11.92%</w:t>
            </w:r>
          </w:p>
        </w:tc>
        <w:tc>
          <w:tcPr>
            <w:tcW w:w="9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9,060,104</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$ 8,865,835</w:t>
            </w:r>
          </w:p>
        </w:tc>
        <w:tc>
          <w:tcPr>
            <w:tcW w:w="3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9,167,028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(10)</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04/02/2018</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6"/>
              </w:rPr>
              <w:t>Retail</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2,000,000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2,023,603</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02/28/2019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7,334,751</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7,289,756</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7,261,403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Alvogen Pharma US,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05/23/2018</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2,764,276</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2,738,582</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2,781,553</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07/16/2018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4,333,333</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4,299,220</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4,327,917</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12/21/2020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9.25%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L+825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1,389,500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1,351,463</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1,396,447</w:t>
            </w: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Ascend Learning, LLC</w:t>
            </w:r>
          </w:p>
        </w:tc>
        <w:tc>
          <w:tcPr>
            <w:tcW w:w="1220" w:type="dxa"/>
            <w:vAlign w:val="bottom"/>
            <w:shd w:val="clear" w:color="auto" w:fill="CCEEFF"/>
          </w:tcPr>
          <w:p>
            <w:pPr>
              <w:jc w:val="center"/>
              <w:ind w:left="257"/>
              <w:spacing w:after="0" w:line="121" w:lineRule="exact"/>
              <w:rPr>
                <w:sz w:val="20"/>
                <w:szCs w:val="20"/>
                <w:color w:val="auto"/>
              </w:rPr>
            </w:pPr>
            <w:r>
              <w:rPr>
                <w:rFonts w:ascii="Arial" w:cs="Arial" w:eastAsia="Arial" w:hAnsi="Arial"/>
                <w:sz w:val="13"/>
                <w:szCs w:val="13"/>
                <w:color w:val="auto"/>
                <w:w w:val="89"/>
              </w:rPr>
              <w:t>07/31/2019</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Media: Broadcasting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3,476,244</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3,463,094</w:t>
            </w: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3,479,720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Aspen Dental Management,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10/06/2016</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Consumer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2,917,500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2,900,680</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2,902,912</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ATI Holdings,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12/20/2019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2,947,500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2,924,974</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2,956,107</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2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6"/>
              </w:rPr>
              <w:t>11/15/2018</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5,293,750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5,228,951</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5,240,812</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BBB Industries,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03/27/2019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3,023,140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3,004,531</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3,005,515</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Blue Bird Body Company</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06/29/2020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4,927,548</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Bowlmor AMF, Corp.</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09/17/2021</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Retail</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8,000,000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7,880,197</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7,970,000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07/02/2020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8.25%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L+700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4,957,132</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5,087,500</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Charming Charlie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12/24/2019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Retail</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4,477,500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4,416,233</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01/08/2019</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9"/>
              </w:rPr>
              <w:t>Media: Advertising, Printing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7.25%</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L+600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4,975,000</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4,928,906</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Publishing</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Creative Circle, LLC</w:t>
            </w:r>
          </w:p>
        </w:tc>
        <w:tc>
          <w:tcPr>
            <w:tcW w:w="1220" w:type="dxa"/>
            <w:vAlign w:val="bottom"/>
            <w:shd w:val="clear" w:color="auto" w:fill="CCEEFF"/>
          </w:tcPr>
          <w:p>
            <w:pPr>
              <w:jc w:val="center"/>
              <w:ind w:left="257"/>
              <w:spacing w:after="0" w:line="121" w:lineRule="exact"/>
              <w:rPr>
                <w:sz w:val="20"/>
                <w:szCs w:val="20"/>
                <w:color w:val="auto"/>
              </w:rPr>
            </w:pPr>
            <w:r>
              <w:rPr>
                <w:rFonts w:ascii="Arial" w:cs="Arial" w:eastAsia="Arial" w:hAnsi="Arial"/>
                <w:sz w:val="13"/>
                <w:szCs w:val="13"/>
                <w:color w:val="auto"/>
                <w:w w:val="89"/>
              </w:rPr>
              <w:t>06/25/2020</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Media: Advertising, Printing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5,900,000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5,843,227</w:t>
            </w: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5,811,500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Publishing</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Curo Health Services, LLC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06/08/2020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1,995,000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1,947,166</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1,963,419</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03/19/2018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3,253,740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3,218,698</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3,172,396</w:t>
            </w: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Edmentum, Inc.</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05/17/2018</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8"/>
              </w:rPr>
              <w:t>Media: Broadcasting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924,982</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924,982</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915,732</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eResearchTechnology,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05/02/2018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2,858,864</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2,847,367</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2,855,291</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e-Rewards,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10/29/2018</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9,812,500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9,652,736</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9,665,312</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01/09/2018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4,258,929</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4,226,747</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4,258,929</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Fishnet Security, Inc.</w:t>
            </w:r>
          </w:p>
        </w:tc>
        <w:tc>
          <w:tcPr>
            <w:tcW w:w="12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6"/>
              </w:rPr>
              <w:t>11/30/2017</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3,610,688</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3,591,818</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3,592,634</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05/31/2019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3,970,000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3,934,577</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3,840,975</w:t>
            </w: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05/23/2018</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8"/>
              </w:rPr>
              <w:t>Media: Broadcasting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6.75%</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1,096,930</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1,094,839</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1,094,188</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2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6"/>
              </w:rPr>
              <w:t>11/04/2020</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6,947,500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6,888,768</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6,912,762</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Help/Systems Holdings,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06/28/2019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4,950,000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4,909,380</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4,894,312</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10/21/2020</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1,182,000</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1,182,000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12/13/2019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4,906,250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4,864,869</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4,881,719</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08/05/2019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7,000,000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6,931,037</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6,912,500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 (8)</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03/30/2017</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11.50%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2,000,000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1,977,245</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2,167,500</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05/01/2019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12,409,413</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12,270,960</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11,788,942</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InfuSystem Holdings, Inc.</w:t>
            </w:r>
          </w:p>
        </w:tc>
        <w:tc>
          <w:tcPr>
            <w:tcW w:w="12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6"/>
              </w:rPr>
              <w:t>11/30/2016</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13.16%</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P+992</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1,500,000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1,500,000</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1,535,715</w:t>
            </w: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220" w:type="dxa"/>
            <w:vAlign w:val="bottom"/>
            <w:shd w:val="clear" w:color="auto" w:fill="CCEEFF"/>
          </w:tcPr>
          <w:p>
            <w:pPr>
              <w:jc w:val="center"/>
              <w:ind w:left="257"/>
              <w:spacing w:after="0" w:line="121" w:lineRule="exact"/>
              <w:rPr>
                <w:sz w:val="20"/>
                <w:szCs w:val="20"/>
                <w:color w:val="auto"/>
              </w:rPr>
            </w:pPr>
            <w:r>
              <w:rPr>
                <w:rFonts w:ascii="Arial" w:cs="Arial" w:eastAsia="Arial" w:hAnsi="Arial"/>
                <w:sz w:val="13"/>
                <w:szCs w:val="13"/>
                <w:color w:val="auto"/>
                <w:w w:val="89"/>
              </w:rPr>
              <w:t>03/28/2019</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Media: Advertising, Printing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5,453,617</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5,377,967</w:t>
            </w: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5,453,617</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Publishing</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03/28/2019</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9"/>
              </w:rPr>
              <w:t>Media: Advertising, Printing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12.00%</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L+1,100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4,500,000</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4,436,038</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Publishing</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10/16/2017</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Consumer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L+850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5,140,179</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5,059,028</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5,114,478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08/19/2019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L+900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6,157,648</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6,048,214</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6,064,275</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12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6"/>
              </w:rPr>
              <w:t>11/13/2020</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1,985,004</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1,977,359</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1,967,635</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2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6"/>
              </w:rPr>
              <w:t>11/30/2018</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5,925,000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5,855,212</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5,821,312</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Meritas Schools Holdings,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06/25/2019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Consumer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2,505,285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2,484,597</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2,506,864</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National Surgical Hospitals,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08/01/2019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5.25%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8,130,872</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8,111,416</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8,090,218</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07/31/2019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9,900,000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9,817,130</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9,809,217</w:t>
            </w: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Patriot National, Inc.</w:t>
            </w:r>
          </w:p>
        </w:tc>
        <w:tc>
          <w:tcPr>
            <w:tcW w:w="122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6"/>
              </w:rPr>
              <w:t>11/27/2018</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Banking, Finance, Insurance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L+1,150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13,293,846</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12,716,069</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13,426,785</w:t>
            </w:r>
          </w:p>
        </w:tc>
        <w:tc>
          <w:tcPr>
            <w:tcW w:w="0" w:type="dxa"/>
            <w:vAlign w:val="bottom"/>
          </w:tcPr>
          <w:p>
            <w:pPr>
              <w:spacing w:after="0"/>
              <w:rPr>
                <w:sz w:val="1"/>
                <w:szCs w:val="1"/>
                <w:color w:val="auto"/>
              </w:rPr>
            </w:pPr>
          </w:p>
        </w:tc>
      </w:tr>
      <w:tr>
        <w:trPr>
          <w:trHeight w:val="149"/>
        </w:trPr>
        <w:tc>
          <w:tcPr>
            <w:tcW w:w="3100" w:type="dxa"/>
            <w:vAlign w:val="bottom"/>
          </w:tcPr>
          <w:p>
            <w:pPr>
              <w:ind w:left="140"/>
              <w:spacing w:after="0"/>
              <w:rPr>
                <w:sz w:val="20"/>
                <w:szCs w:val="20"/>
                <w:color w:val="auto"/>
              </w:rPr>
            </w:pPr>
            <w:r>
              <w:rPr>
                <w:rFonts w:ascii="Arial" w:cs="Arial" w:eastAsia="Arial" w:hAnsi="Arial"/>
                <w:sz w:val="13"/>
                <w:szCs w:val="13"/>
                <w:color w:val="auto"/>
              </w:rPr>
              <w:t>(f/k/a Old Guard Risk Services, Inc.)</w:t>
            </w:r>
          </w:p>
        </w:tc>
        <w:tc>
          <w:tcPr>
            <w:tcW w:w="1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Real Estate</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06/28/2019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7,717,766</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7,653,621</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7,669,530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2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6"/>
              </w:rPr>
              <w:t>11/01/2018</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Consumer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8,303,261</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8,187,838</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8,220,228</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12/17/2018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7.75%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4,962,500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4,921,444</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4,970,787</w:t>
            </w: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RCS Capital Corporation</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04/29/2019</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Banking, Finance, Insurance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4,937,500</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4,891,688</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4,956,016</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Real Estate</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Robertshaw US Holding Corp.</w:t>
            </w:r>
          </w:p>
        </w:tc>
        <w:tc>
          <w:tcPr>
            <w:tcW w:w="1220" w:type="dxa"/>
            <w:vAlign w:val="bottom"/>
            <w:shd w:val="clear" w:color="auto" w:fill="CCEEFF"/>
          </w:tcPr>
          <w:p>
            <w:pPr>
              <w:jc w:val="center"/>
              <w:ind w:left="257"/>
              <w:spacing w:after="0" w:line="121" w:lineRule="exact"/>
              <w:rPr>
                <w:sz w:val="20"/>
                <w:szCs w:val="20"/>
                <w:color w:val="auto"/>
              </w:rPr>
            </w:pPr>
            <w:r>
              <w:rPr>
                <w:rFonts w:ascii="Arial" w:cs="Arial" w:eastAsia="Arial" w:hAnsi="Arial"/>
                <w:sz w:val="13"/>
                <w:szCs w:val="13"/>
                <w:color w:val="auto"/>
                <w:w w:val="89"/>
              </w:rPr>
              <w:t>06/18/2019</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Goods: Durable</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3,294,118</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3,262,700</w:t>
            </w: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3,288,278</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Fox US Bidco Corp.)</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06/18/2019</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Goods: Durable</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705,882</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705,882</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704,631</w:t>
            </w:r>
          </w:p>
        </w:tc>
        <w:tc>
          <w:tcPr>
            <w:tcW w:w="0" w:type="dxa"/>
            <w:vAlign w:val="bottom"/>
          </w:tcPr>
          <w:p>
            <w:pPr>
              <w:spacing w:after="0"/>
              <w:rPr>
                <w:sz w:val="1"/>
                <w:szCs w:val="1"/>
                <w:color w:val="auto"/>
              </w:rPr>
            </w:pPr>
          </w:p>
        </w:tc>
      </w:tr>
      <w:tr>
        <w:trPr>
          <w:trHeight w:val="149"/>
        </w:trPr>
        <w:tc>
          <w:tcPr>
            <w:tcW w:w="3100" w:type="dxa"/>
            <w:vAlign w:val="bottom"/>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(10)</w:t>
            </w: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SCE Partners, LLC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08/14/2019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12,000,000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11,898,121</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12,000,000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Securus Technologies Holdings,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04/30/2020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4.75%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L+350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1,980,002</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1,963,277</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1,955,252</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04/21/2017</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6,643,409</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6,382,042</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5,979,068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08/09/2021</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Consumer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2,000,000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1,990,000</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2,002,500</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08/22/2018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3,375,000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3,347,830</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3,366,563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Sutherland Global Services, Inc.</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03/06/2019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L+600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925,000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910,694</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922,688</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10/18/2019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L+400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5,955,000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5,931,546</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5,910,338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12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89"/>
              </w:rPr>
              <w:t>07/09/2021</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Construction and Building</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4,950,448</w:t>
            </w:r>
          </w:p>
        </w:tc>
        <w:tc>
          <w:tcPr>
            <w:tcW w:w="3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4,968,750</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Therakos, Inc.</w:t>
            </w:r>
          </w:p>
        </w:tc>
        <w:tc>
          <w:tcPr>
            <w:tcW w:w="1220" w:type="dxa"/>
            <w:vAlign w:val="bottom"/>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12/27/2017</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Healthcare and Pharmaceuticals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L+625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4,843,177</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4,775,215</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4,861,339</w:t>
            </w: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220" w:type="dxa"/>
            <w:vAlign w:val="bottom"/>
          </w:tcPr>
          <w:p>
            <w:pPr>
              <w:jc w:val="center"/>
              <w:ind w:left="257"/>
              <w:spacing w:after="0" w:line="121" w:lineRule="exact"/>
              <w:rPr>
                <w:sz w:val="20"/>
                <w:szCs w:val="20"/>
                <w:color w:val="auto"/>
              </w:rPr>
            </w:pPr>
            <w:r>
              <w:rPr>
                <w:rFonts w:ascii="Arial" w:cs="Arial" w:eastAsia="Arial" w:hAnsi="Arial"/>
                <w:sz w:val="13"/>
                <w:szCs w:val="13"/>
                <w:color w:val="auto"/>
                <w:w w:val="89"/>
              </w:rPr>
              <w:t>04/15/2016</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12.25%</w:t>
            </w:r>
          </w:p>
        </w:tc>
        <w:tc>
          <w:tcPr>
            <w:tcW w:w="9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L+1,125</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135,817</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135,817</w:t>
            </w:r>
          </w:p>
        </w:tc>
        <w:tc>
          <w:tcPr>
            <w:tcW w:w="320" w:type="dxa"/>
            <w:vAlign w:val="bottom"/>
          </w:tcPr>
          <w:p>
            <w:pPr>
              <w:spacing w:after="0"/>
              <w:rPr>
                <w:sz w:val="10"/>
                <w:szCs w:val="10"/>
                <w:color w:val="auto"/>
              </w:rPr>
            </w:pP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135,817</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Arial" w:cs="Arial" w:eastAsia="Arial" w:hAnsi="Arial"/>
                <w:sz w:val="13"/>
                <w:szCs w:val="13"/>
                <w:color w:val="auto"/>
              </w:rPr>
              <w:t>(PIK 7.25%)</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UniTek Global Services, Inc.</w:t>
            </w:r>
          </w:p>
        </w:tc>
        <w:tc>
          <w:tcPr>
            <w:tcW w:w="1220" w:type="dxa"/>
            <w:vAlign w:val="bottom"/>
            <w:shd w:val="clear" w:color="auto" w:fill="CCEEFF"/>
          </w:tcPr>
          <w:p>
            <w:pPr>
              <w:jc w:val="center"/>
              <w:ind w:left="257"/>
              <w:spacing w:after="0" w:line="136" w:lineRule="exact"/>
              <w:rPr>
                <w:sz w:val="20"/>
                <w:szCs w:val="20"/>
                <w:color w:val="auto"/>
              </w:rPr>
            </w:pPr>
            <w:r>
              <w:rPr>
                <w:rFonts w:ascii="Arial" w:cs="Arial" w:eastAsia="Arial" w:hAnsi="Arial"/>
                <w:sz w:val="13"/>
                <w:szCs w:val="13"/>
                <w:color w:val="auto"/>
                <w:w w:val="89"/>
              </w:rPr>
              <w:t>04/16/2018</w:t>
            </w:r>
          </w:p>
        </w:tc>
        <w:tc>
          <w:tcPr>
            <w:tcW w:w="20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Telecommunications</w:t>
            </w:r>
          </w:p>
        </w:tc>
        <w:tc>
          <w:tcPr>
            <w:tcW w:w="94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80" w:type="dxa"/>
            <w:vAlign w:val="bottom"/>
            <w:shd w:val="clear" w:color="auto" w:fill="CCEEFF"/>
          </w:tcPr>
          <w:p>
            <w:pPr>
              <w:jc w:val="right"/>
              <w:ind w:right="217"/>
              <w:spacing w:after="0" w:line="13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2,184,319</w:t>
            </w:r>
          </w:p>
        </w:tc>
        <w:tc>
          <w:tcPr>
            <w:tcW w:w="104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2,150,875</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1,332,435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22"/>
              <w:spacing w:after="0" w:line="135" w:lineRule="exact"/>
              <w:rPr>
                <w:sz w:val="20"/>
                <w:szCs w:val="20"/>
                <w:color w:val="auto"/>
              </w:rPr>
            </w:pPr>
            <w:r>
              <w:rPr>
                <w:rFonts w:ascii="Arial" w:cs="Arial" w:eastAsia="Arial" w:hAnsi="Arial"/>
                <w:sz w:val="13"/>
                <w:szCs w:val="13"/>
                <w:b w:val="1"/>
                <w:bCs w:val="1"/>
                <w:color w:val="auto"/>
              </w:rPr>
              <w:t>Current</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gridSpan w:val="2"/>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Industry</w:t>
            </w:r>
          </w:p>
        </w:tc>
        <w:tc>
          <w:tcPr>
            <w:tcW w:w="900" w:type="dxa"/>
            <w:vAlign w:val="bottom"/>
            <w:gridSpan w:val="2"/>
          </w:tcPr>
          <w:p>
            <w:pPr>
              <w:jc w:val="right"/>
              <w:ind w:right="322"/>
              <w:spacing w:after="0"/>
              <w:rPr>
                <w:sz w:val="20"/>
                <w:szCs w:val="20"/>
                <w:color w:val="auto"/>
              </w:rPr>
            </w:pPr>
            <w:r>
              <w:rPr>
                <w:rFonts w:ascii="Arial" w:cs="Arial" w:eastAsia="Arial" w:hAnsi="Arial"/>
                <w:sz w:val="13"/>
                <w:szCs w:val="13"/>
                <w:b w:val="1"/>
                <w:bCs w:val="1"/>
                <w:color w:val="auto"/>
              </w:rPr>
              <w:t>Coupon</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4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10"/>
                <w:szCs w:val="10"/>
                <w:color w:val="auto"/>
              </w:rPr>
              <w:t>(8)</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12/22/2016</w:t>
            </w: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4"/>
              </w:rPr>
              <w:t>Business Services</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7.26</w:t>
            </w:r>
          </w:p>
        </w:tc>
        <w:tc>
          <w:tcPr>
            <w:tcW w:w="300" w:type="dxa"/>
            <w:vAlign w:val="bottom"/>
            <w:tcBorders>
              <w:top w:val="single" w:sz="8" w:color="CCEEFF"/>
            </w:tcBorders>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w w:val="74"/>
              </w:rPr>
              <w:t>%</w:t>
            </w:r>
          </w:p>
        </w:tc>
        <w:tc>
          <w:tcPr>
            <w:tcW w:w="600" w:type="dxa"/>
            <w:vAlign w:val="bottom"/>
            <w:tcBorders>
              <w:top w:val="single" w:sz="8" w:color="auto"/>
            </w:tcBorders>
            <w:shd w:val="clear" w:color="auto" w:fill="CCEEFF"/>
          </w:tcPr>
          <w:p>
            <w:pPr>
              <w:ind w:left="280"/>
              <w:spacing w:after="0" w:line="129" w:lineRule="exact"/>
              <w:rPr>
                <w:sz w:val="20"/>
                <w:szCs w:val="20"/>
                <w:color w:val="auto"/>
              </w:rPr>
            </w:pPr>
            <w:r>
              <w:rPr>
                <w:rFonts w:ascii="Arial" w:cs="Arial" w:eastAsia="Arial" w:hAnsi="Arial"/>
                <w:sz w:val="13"/>
                <w:szCs w:val="13"/>
                <w:color w:val="auto"/>
                <w:w w:val="82"/>
              </w:rPr>
              <w:t>L+550</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2,925,663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2,915,553</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2,157,677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08/30/2018</w:t>
            </w:r>
          </w:p>
        </w:tc>
        <w:tc>
          <w:tcPr>
            <w:tcW w:w="100" w:type="dxa"/>
            <w:vAlign w:val="bottom"/>
          </w:tcPr>
          <w:p>
            <w:pPr>
              <w:spacing w:after="0"/>
              <w:rPr>
                <w:sz w:val="11"/>
                <w:szCs w:val="11"/>
                <w:color w:val="auto"/>
              </w:rPr>
            </w:pP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Non-Durable</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7.50%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L+625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3,017,653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2,977,186</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2,844,138</w:t>
            </w: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YP LLC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06/04/2018</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0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8.00%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L+675</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3,224,845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3,160,701</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3,230,907</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Publishing</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Zest Holdings,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08/17/2020</w:t>
            </w:r>
          </w:p>
        </w:tc>
        <w:tc>
          <w:tcPr>
            <w:tcW w:w="100" w:type="dxa"/>
            <w:vAlign w:val="bottom"/>
          </w:tcPr>
          <w:p>
            <w:pPr>
              <w:spacing w:after="0"/>
              <w:rPr>
                <w:sz w:val="11"/>
                <w:szCs w:val="11"/>
                <w:color w:val="auto"/>
              </w:rPr>
            </w:pP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5.25%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L+425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8,910,169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8,910,169</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8,910,169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2"/>
              </w:rPr>
              <w:t>302,889,195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302,565,355</w:t>
            </w: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Debt—17.0%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Metals and Mining</w:t>
            </w:r>
          </w:p>
        </w:tc>
        <w:tc>
          <w:tcPr>
            <w:tcW w:w="90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11.50%</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1,080,000</w:t>
            </w: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Cannery Casino Resorts, LLC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10/02/2019</w:t>
            </w:r>
          </w:p>
        </w:tc>
        <w:tc>
          <w:tcPr>
            <w:tcW w:w="100" w:type="dxa"/>
            <w:vAlign w:val="bottom"/>
          </w:tcPr>
          <w:p>
            <w:pPr>
              <w:spacing w:after="0"/>
              <w:rPr>
                <w:sz w:val="11"/>
                <w:szCs w:val="11"/>
                <w:color w:val="auto"/>
              </w:rPr>
            </w:pP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Hotel, Gaming and Leisure</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L+875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1,675,421</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1,687,250</w:t>
            </w: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Carolina Beverage Group, LLC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08/01/2018</w:t>
            </w: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Beverage, Food and Tobacco</w:t>
            </w:r>
          </w:p>
        </w:tc>
        <w:tc>
          <w:tcPr>
            <w:tcW w:w="90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10.63%</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3,500,000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3,613,750</w:t>
            </w: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100" w:type="dxa"/>
            <w:vAlign w:val="bottom"/>
          </w:tcPr>
          <w:p>
            <w:pPr>
              <w:spacing w:after="0"/>
              <w:rPr>
                <w:sz w:val="11"/>
                <w:szCs w:val="11"/>
                <w:color w:val="auto"/>
              </w:rPr>
            </w:pP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3,926,394</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4,059,524</w:t>
            </w: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12/20/2016</w:t>
            </w: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6"/>
              </w:rPr>
              <w:t>Consumer Services</w:t>
            </w:r>
          </w:p>
        </w:tc>
        <w:tc>
          <w:tcPr>
            <w:tcW w:w="90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10.50%</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L+875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7,026,077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7,023,107</w:t>
            </w: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100" w:type="dxa"/>
            <w:vAlign w:val="bottom"/>
          </w:tcPr>
          <w:p>
            <w:pPr>
              <w:spacing w:after="0"/>
              <w:rPr>
                <w:sz w:val="11"/>
                <w:szCs w:val="11"/>
                <w:color w:val="auto"/>
              </w:rPr>
            </w:pP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11.75%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10,893,446</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10,780,000</w:t>
            </w: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10/02/2020</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0"/>
              </w:rPr>
              <w:t>Media: Diversified and</w:t>
            </w:r>
          </w:p>
        </w:tc>
        <w:tc>
          <w:tcPr>
            <w:tcW w:w="90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9.00%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L+775</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5,600,000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5,527,495</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5,593,000</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Production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100" w:type="dxa"/>
            <w:vAlign w:val="bottom"/>
          </w:tcPr>
          <w:p>
            <w:pPr>
              <w:spacing w:after="0"/>
              <w:rPr>
                <w:sz w:val="11"/>
                <w:szCs w:val="11"/>
                <w:color w:val="auto"/>
              </w:rPr>
            </w:pP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Energy: Oil and Gas</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2,645,114</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2,638,153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36,193,947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36,474,784</w:t>
            </w: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Notes—3.3% </w:t>
            </w:r>
            <w:r>
              <w:rPr>
                <w:rFonts w:ascii="Arial" w:cs="Arial" w:eastAsia="Arial" w:hAnsi="Arial"/>
                <w:sz w:val="10"/>
                <w:szCs w:val="10"/>
                <w:b w:val="1"/>
                <w:bCs w:val="1"/>
                <w:color w:val="auto"/>
              </w:rPr>
              <w:t>(8)</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09/14/2018</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14.50%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4,161,233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3,639,478</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3,537,048</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w w:val="93"/>
              </w:rPr>
              <w:t>(PIK 14.50%)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08/15/2018</w:t>
            </w:r>
          </w:p>
        </w:tc>
        <w:tc>
          <w:tcPr>
            <w:tcW w:w="100" w:type="dxa"/>
            <w:vAlign w:val="bottom"/>
          </w:tcPr>
          <w:p>
            <w:pPr>
              <w:spacing w:after="0"/>
              <w:rPr>
                <w:sz w:val="11"/>
                <w:szCs w:val="11"/>
                <w:color w:val="auto"/>
              </w:rPr>
            </w:pP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13.50%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1,734,000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1,734,000</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1,612,620</w:t>
            </w: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10/26/2018</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12.50%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1,993,762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1,961,974</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1,924,017</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(PIK 1.25%)</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7,335,452</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7,073,685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Equity—0.2%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68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rPr>
              <w:t>—</w:t>
            </w:r>
          </w:p>
        </w:tc>
        <w:tc>
          <w:tcPr>
            <w:tcW w:w="178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42"/>
              <w:spacing w:after="0" w:line="121" w:lineRule="exact"/>
              <w:rPr>
                <w:sz w:val="20"/>
                <w:szCs w:val="20"/>
                <w:color w:val="auto"/>
              </w:rPr>
            </w:pPr>
            <w:r>
              <w:rPr>
                <w:rFonts w:ascii="Arial" w:cs="Arial" w:eastAsia="Arial" w:hAnsi="Arial"/>
                <w:sz w:val="13"/>
                <w:szCs w:val="13"/>
                <w:color w:val="auto"/>
              </w:rPr>
              <w:t>8.00%</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399,704</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421,215</w:t>
            </w:r>
          </w:p>
        </w:tc>
        <w:tc>
          <w:tcPr>
            <w:tcW w:w="0" w:type="dxa"/>
            <w:vAlign w:val="bottom"/>
          </w:tcPr>
          <w:p>
            <w:pPr>
              <w:spacing w:after="0"/>
              <w:rPr>
                <w:sz w:val="1"/>
                <w:szCs w:val="1"/>
                <w:color w:val="auto"/>
              </w:rPr>
            </w:pPr>
          </w:p>
        </w:tc>
      </w:tr>
      <w:tr>
        <w:trPr>
          <w:trHeight w:val="156"/>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Equity/Warrants—0.9%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0" w:type="dxa"/>
            <w:vAlign w:val="bottom"/>
            <w:gridSpan w:val="2"/>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12/12/2023</w:t>
            </w:r>
          </w:p>
        </w:tc>
        <w:tc>
          <w:tcPr>
            <w:tcW w:w="100" w:type="dxa"/>
            <w:vAlign w:val="bottom"/>
          </w:tcPr>
          <w:p>
            <w:pPr>
              <w:spacing w:after="0"/>
              <w:rPr>
                <w:sz w:val="10"/>
                <w:szCs w:val="10"/>
                <w:color w:val="auto"/>
              </w:rPr>
            </w:pPr>
          </w:p>
        </w:tc>
        <w:tc>
          <w:tcPr>
            <w:tcW w:w="178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554,715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1,186,649</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1,040,091</w:t>
            </w:r>
          </w:p>
        </w:tc>
        <w:tc>
          <w:tcPr>
            <w:tcW w:w="0" w:type="dxa"/>
            <w:vAlign w:val="bottom"/>
          </w:tcPr>
          <w:p>
            <w:pPr>
              <w:spacing w:after="0"/>
              <w:rPr>
                <w:sz w:val="1"/>
                <w:szCs w:val="1"/>
                <w:color w:val="auto"/>
              </w:rPr>
            </w:pPr>
          </w:p>
        </w:tc>
      </w:tr>
      <w:tr>
        <w:trPr>
          <w:trHeight w:val="149"/>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(Warrants)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12/12/2023</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1,135,743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68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rPr>
              <w:t>—</w:t>
            </w:r>
          </w:p>
        </w:tc>
        <w:tc>
          <w:tcPr>
            <w:tcW w:w="178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296</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58,055</w:t>
            </w:r>
          </w:p>
        </w:tc>
        <w:tc>
          <w:tcPr>
            <w:tcW w:w="0" w:type="dxa"/>
            <w:vAlign w:val="bottom"/>
          </w:tcPr>
          <w:p>
            <w:pPr>
              <w:spacing w:after="0"/>
              <w:rPr>
                <w:sz w:val="1"/>
                <w:szCs w:val="1"/>
                <w:color w:val="auto"/>
              </w:rPr>
            </w:pPr>
          </w:p>
        </w:tc>
      </w:tr>
      <w:tr>
        <w:trPr>
          <w:trHeight w:val="149"/>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24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2"/>
              </w:rPr>
              <w:t>11/27/2023  Banking, Finance, Insurance and</w:t>
            </w:r>
          </w:p>
        </w:tc>
        <w:tc>
          <w:tcPr>
            <w:tcW w:w="90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7,403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151,853</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399,833</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 (Warrants)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 (Warrants)</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rPr>
              <w:t>—</w:t>
            </w: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56,717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95,285</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6,239</w:t>
            </w:r>
          </w:p>
        </w:tc>
        <w:tc>
          <w:tcPr>
            <w:tcW w:w="0" w:type="dxa"/>
            <w:vAlign w:val="bottom"/>
          </w:tcPr>
          <w:p>
            <w:pPr>
              <w:spacing w:after="0"/>
              <w:rPr>
                <w:sz w:val="1"/>
                <w:szCs w:val="1"/>
                <w:color w:val="auto"/>
              </w:rPr>
            </w:pPr>
          </w:p>
        </w:tc>
      </w:tr>
      <w:tr>
        <w:trPr>
          <w:trHeight w:val="121"/>
        </w:trPr>
        <w:tc>
          <w:tcPr>
            <w:tcW w:w="4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68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rPr>
              <w:t>—</w:t>
            </w:r>
          </w:p>
        </w:tc>
        <w:tc>
          <w:tcPr>
            <w:tcW w:w="178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0"/>
              </w:rPr>
              <w:t>Media: Advertising, Printing</w:t>
            </w:r>
          </w:p>
        </w:tc>
        <w:tc>
          <w:tcPr>
            <w:tcW w:w="90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15,179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56,895</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244,631</w:t>
            </w: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(Vestcom International, Inc.)</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and</w:t>
            </w: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Publishing</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gridSpan w:val="2"/>
          </w:tcPr>
          <w:p>
            <w:pPr>
              <w:spacing w:after="0" w:line="121" w:lineRule="exact"/>
              <w:rPr>
                <w:sz w:val="20"/>
                <w:szCs w:val="20"/>
                <w:color w:val="auto"/>
              </w:rPr>
            </w:pPr>
            <w:r>
              <w:rPr>
                <w:rFonts w:ascii="Arial" w:cs="Arial" w:eastAsia="Arial" w:hAnsi="Arial"/>
                <w:sz w:val="13"/>
                <w:szCs w:val="13"/>
                <w:color w:val="auto"/>
              </w:rPr>
              <w:t>Z Wireless Holdings,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10/21/2021</w:t>
            </w:r>
          </w:p>
        </w:tc>
        <w:tc>
          <w:tcPr>
            <w:tcW w:w="100" w:type="dxa"/>
            <w:vAlign w:val="bottom"/>
          </w:tcPr>
          <w:p>
            <w:pPr>
              <w:spacing w:after="0"/>
              <w:rPr>
                <w:sz w:val="10"/>
                <w:szCs w:val="10"/>
                <w:color w:val="auto"/>
              </w:rPr>
            </w:pPr>
          </w:p>
        </w:tc>
        <w:tc>
          <w:tcPr>
            <w:tcW w:w="178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0"/>
              </w:rPr>
              <w:t>Retail</w:t>
            </w:r>
          </w:p>
        </w:tc>
        <w:tc>
          <w:tcPr>
            <w:tcW w:w="90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45,019</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121,889</w:t>
            </w:r>
          </w:p>
        </w:tc>
        <w:tc>
          <w:tcPr>
            <w:tcW w:w="0" w:type="dxa"/>
            <w:vAlign w:val="bottom"/>
          </w:tcPr>
          <w:p>
            <w:pPr>
              <w:spacing w:after="0"/>
              <w:rPr>
                <w:sz w:val="1"/>
                <w:szCs w:val="1"/>
                <w:color w:val="auto"/>
              </w:rPr>
            </w:pPr>
          </w:p>
        </w:tc>
      </w:tr>
      <w:tr>
        <w:trPr>
          <w:trHeight w:val="156"/>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(AKA Diversified Holdings, Inc.) (Warrants)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1,535,997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1,893,453</w:t>
            </w: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348,354,295</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348,428,492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Equivalents—6.1%</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13,113,817</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13,113,817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Equivalents—168.5%</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2"/>
              </w:rPr>
              <w:t>361,468,112</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361,542,309</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Assets—(68.5)%</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(147,014,599)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214,527,710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93980</wp:posOffset>
            </wp:positionV>
            <wp:extent cx="1028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5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5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5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101" w:lineRule="exact"/>
        <w:rPr>
          <w:rFonts w:ascii="Arial" w:cs="Arial" w:eastAsia="Arial" w:hAnsi="Arial"/>
          <w:sz w:val="10"/>
          <w:szCs w:val="10"/>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460" w:right="44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80" w:firstLine="786"/>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4" w:lineRule="exact"/>
        <w:rPr>
          <w:sz w:val="20"/>
          <w:szCs w:val="20"/>
          <w:color w:val="auto"/>
        </w:rPr>
      </w:pPr>
    </w:p>
    <w:p>
      <w:pPr>
        <w:ind w:right="160" w:firstLine="786"/>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85" w:lineRule="exact"/>
        <w:rPr>
          <w:sz w:val="20"/>
          <w:szCs w:val="20"/>
          <w:color w:val="auto"/>
        </w:rPr>
      </w:pPr>
    </w:p>
    <w:p>
      <w:pPr>
        <w:jc w:val="both"/>
        <w:ind w:right="220" w:firstLine="786"/>
        <w:spacing w:after="0" w:line="335"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28" w:lineRule="exact"/>
        <w:rPr>
          <w:sz w:val="20"/>
          <w:szCs w:val="20"/>
          <w:color w:val="auto"/>
        </w:rPr>
      </w:pPr>
    </w:p>
    <w:p>
      <w:pPr>
        <w:ind w:right="120" w:firstLine="786"/>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9.</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79"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79" w:lineRule="exact"/>
        <w:rPr>
          <w:sz w:val="20"/>
          <w:szCs w:val="20"/>
          <w:color w:val="auto"/>
        </w:rPr>
      </w:pPr>
    </w:p>
    <w:p>
      <w:pPr>
        <w:ind w:right="20" w:firstLine="786"/>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448"/>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448"/>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448"/>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80" w:right="100" w:hanging="448"/>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448"/>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300" w:firstLine="786"/>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85"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85" w:lineRule="exact"/>
        <w:rPr>
          <w:sz w:val="20"/>
          <w:szCs w:val="20"/>
          <w:color w:val="auto"/>
        </w:rPr>
      </w:pPr>
    </w:p>
    <w:p>
      <w:pPr>
        <w:ind w:right="40" w:firstLine="786"/>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786"/>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federal income taxes as a RIC, we have elected to retain a portion of our calendar year income. As a result, for the three and six months ended March 31, 2015, we accrued estimated excise taxes of $0.1 million and $0.2 million, respectively. For the three and six months ended March 31, 2014, we accrued estimated excise taxes of $0.1 million and $0.2 million, respectively.</w:t>
      </w:r>
    </w:p>
    <w:p>
      <w:pPr>
        <w:spacing w:after="0" w:line="180" w:lineRule="exact"/>
        <w:rPr>
          <w:sz w:val="20"/>
          <w:szCs w:val="20"/>
          <w:color w:val="auto"/>
        </w:rPr>
      </w:pPr>
    </w:p>
    <w:p>
      <w:pPr>
        <w:ind w:right="60" w:firstLine="786"/>
        <w:spacing w:after="0" w:line="233"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85" w:lineRule="exact"/>
        <w:rPr>
          <w:sz w:val="20"/>
          <w:szCs w:val="20"/>
          <w:color w:val="auto"/>
        </w:rPr>
      </w:pPr>
    </w:p>
    <w:p>
      <w:pPr>
        <w:jc w:val="both"/>
        <w:ind w:right="60" w:firstLine="786"/>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786"/>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3" w:lineRule="exact"/>
        <w:rPr>
          <w:sz w:val="20"/>
          <w:szCs w:val="20"/>
          <w:color w:val="auto"/>
        </w:rPr>
      </w:pPr>
    </w:p>
    <w:p>
      <w:pPr>
        <w:ind w:right="340" w:firstLine="786"/>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 Consolidation</w:t>
      </w:r>
    </w:p>
    <w:p>
      <w:pPr>
        <w:spacing w:after="0" w:line="96"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96" w:lineRule="exact"/>
        <w:rPr>
          <w:sz w:val="20"/>
          <w:szCs w:val="20"/>
          <w:color w:val="auto"/>
        </w:rPr>
      </w:pPr>
    </w:p>
    <w:p>
      <w:pPr>
        <w:ind w:right="40" w:firstLine="786"/>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40" w:firstLine="786"/>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2015.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77" w:lineRule="exact"/>
        <w:rPr>
          <w:sz w:val="20"/>
          <w:szCs w:val="20"/>
          <w:color w:val="auto"/>
        </w:rPr>
      </w:pPr>
    </w:p>
    <w:p>
      <w:pPr>
        <w:ind w:right="40" w:firstLine="786"/>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investments,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2015, the Investment Adviser earned base management fees of $0.9 million and $1.7 million, respectively, from us. For the three and six months ended March 31, 2014, the Investment Adviser earned base management fees of $1.0 million and $1.8 million, respectively, from us.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204" w:lineRule="exact"/>
        <w:rPr>
          <w:sz w:val="20"/>
          <w:szCs w:val="20"/>
          <w:color w:val="auto"/>
        </w:rPr>
      </w:pPr>
    </w:p>
    <w:p>
      <w:pPr>
        <w:ind w:right="20" w:firstLine="786"/>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six months ended March 31, 2015, the Investment Adviser earned an incentive fee on net investment income as calculated under the Investment Management Agreement of $1.0 million and $1.7 million, respectively, from us. For the three and six months ended March 31, 2014, the Investment Adviser earned an incentive fee on net investment income as calculated under the Investment Management Agreement of $0.7 million and $0.8 million, respectively, from us.</w:t>
      </w:r>
    </w:p>
    <w:p>
      <w:pPr>
        <w:spacing w:after="0" w:line="189" w:lineRule="exact"/>
        <w:rPr>
          <w:sz w:val="20"/>
          <w:szCs w:val="20"/>
          <w:color w:val="auto"/>
        </w:rPr>
      </w:pPr>
    </w:p>
    <w:p>
      <w:pPr>
        <w:ind w:right="40" w:firstLine="786"/>
        <w:spacing w:after="0" w:line="22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six months ended March 31, 2015, the Investment Adviser earned an incentive fee on capital gains of zero and $(0.4) million, respectively, as calculated under the Investment Management Agreement. For the three and six months ended March 31, 2014, the Investment Adviser earned an incentive fee on capital gains of $0.3 million and $0.7 million, respectively, as calculated under the Investment Management Agreement (as described above).</w:t>
      </w:r>
    </w:p>
    <w:p>
      <w:pPr>
        <w:spacing w:after="0" w:line="185" w:lineRule="exact"/>
        <w:rPr>
          <w:sz w:val="20"/>
          <w:szCs w:val="20"/>
          <w:color w:val="auto"/>
        </w:rPr>
      </w:pPr>
    </w:p>
    <w:p>
      <w:pPr>
        <w:ind w:firstLine="786"/>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2015, the Investment Adviser accrued an incentive fee on unrealized and realized capital gains as calculated under GAAP of $0.3 million and $(0.3) million, respectively. For the three and six months ended March 31, 2014, the Investment Adviser accrued an incentive fee on unrealized and realized capital gains as calculated under GAAP of $0.4 million and $0.6 million,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86"/>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2015.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2015, the Investment Adviser was reimbursed approximately $0.3 million and $0.4 million, respectively, from us, including expenses the Investment Adviser incurred on behalf of the Administrator, for services described above. For the three and six months ended March 31, 2014, the Investment Adviser was reimbursed approximately $0.3 million and $0.4 million, respectively, from us, including expenses the Investment Adviser incurred on behalf of the Administrator, for services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100" w:firstLine="786"/>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2015 totaled $38.5 million and $85.7 million, respectively. For the same periods in the prior year, purchases of investments, including PIK interest, totaled $50.5 million and $154.5 million, respectively. Sales and repayments of investments for the three and six months ended March 31, 2015 totaled $48.0 million and $92.9 million, respectively. For the same periods in the prior year, sales and repayments of investments totaled $35.7 million and $91.2 million, respectively.</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660" w:type="dxa"/>
            <w:vAlign w:val="bottom"/>
          </w:tcPr>
          <w:p>
            <w:pPr>
              <w:spacing w:after="0"/>
              <w:rPr>
                <w:sz w:val="13"/>
                <w:szCs w:val="13"/>
                <w:color w:val="auto"/>
              </w:rPr>
            </w:pPr>
          </w:p>
        </w:tc>
        <w:tc>
          <w:tcPr>
            <w:tcW w:w="2000" w:type="dxa"/>
            <w:vAlign w:val="bottom"/>
            <w:gridSpan w:val="3"/>
          </w:tcPr>
          <w:p>
            <w:pPr>
              <w:jc w:val="right"/>
              <w:ind w:right="530"/>
              <w:spacing w:after="0"/>
              <w:rPr>
                <w:sz w:val="20"/>
                <w:szCs w:val="20"/>
                <w:color w:val="auto"/>
              </w:rPr>
            </w:pPr>
            <w:r>
              <w:rPr>
                <w:rFonts w:ascii="Arial" w:cs="Arial" w:eastAsia="Arial" w:hAnsi="Arial"/>
                <w:sz w:val="13"/>
                <w:szCs w:val="13"/>
                <w:b w:val="1"/>
                <w:bCs w:val="1"/>
                <w:color w:val="auto"/>
              </w:rPr>
              <w:t>March 31, 2015</w:t>
            </w:r>
          </w:p>
        </w:tc>
        <w:tc>
          <w:tcPr>
            <w:tcW w:w="380" w:type="dxa"/>
            <w:vAlign w:val="bottom"/>
          </w:tcPr>
          <w:p>
            <w:pPr>
              <w:spacing w:after="0"/>
              <w:rPr>
                <w:sz w:val="13"/>
                <w:szCs w:val="13"/>
                <w:color w:val="auto"/>
              </w:rPr>
            </w:pPr>
          </w:p>
        </w:tc>
        <w:tc>
          <w:tcPr>
            <w:tcW w:w="2100" w:type="dxa"/>
            <w:vAlign w:val="bottom"/>
            <w:gridSpan w:val="4"/>
          </w:tcPr>
          <w:p>
            <w:pPr>
              <w:ind w:left="480"/>
              <w:spacing w:after="0"/>
              <w:rPr>
                <w:sz w:val="20"/>
                <w:szCs w:val="20"/>
                <w:color w:val="auto"/>
              </w:rPr>
            </w:pPr>
            <w:r>
              <w:rPr>
                <w:rFonts w:ascii="Arial" w:cs="Arial" w:eastAsia="Arial" w:hAnsi="Arial"/>
                <w:sz w:val="13"/>
                <w:szCs w:val="13"/>
                <w:b w:val="1"/>
                <w:bCs w:val="1"/>
                <w:color w:val="auto"/>
              </w:rPr>
              <w:t>September 30, 2014</w:t>
            </w:r>
          </w:p>
        </w:tc>
        <w:tc>
          <w:tcPr>
            <w:tcW w:w="0" w:type="dxa"/>
            <w:vAlign w:val="bottom"/>
          </w:tcPr>
          <w:p>
            <w:pPr>
              <w:spacing w:after="0"/>
              <w:rPr>
                <w:sz w:val="1"/>
                <w:szCs w:val="1"/>
                <w:color w:val="auto"/>
              </w:rPr>
            </w:pPr>
          </w:p>
        </w:tc>
      </w:tr>
      <w:tr>
        <w:trPr>
          <w:trHeight w:val="128"/>
        </w:trPr>
        <w:tc>
          <w:tcPr>
            <w:tcW w:w="420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80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1"/>
                <w:szCs w:val="11"/>
                <w:color w:val="auto"/>
              </w:rPr>
            </w:pPr>
          </w:p>
        </w:tc>
        <w:tc>
          <w:tcPr>
            <w:tcW w:w="82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3"/>
                <w:szCs w:val="13"/>
                <w:b w:val="1"/>
                <w:bCs w:val="1"/>
                <w:color w:val="auto"/>
              </w:rPr>
              <w:t>Cost</w:t>
            </w: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4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$ 280,436,826</w:t>
            </w:r>
          </w:p>
        </w:tc>
        <w:tc>
          <w:tcPr>
            <w:tcW w:w="3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$ 277,582,772</w:t>
            </w:r>
          </w:p>
        </w:tc>
        <w:tc>
          <w:tcPr>
            <w:tcW w:w="3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$ 302,889,195</w:t>
            </w:r>
          </w:p>
        </w:tc>
        <w:tc>
          <w:tcPr>
            <w:tcW w:w="3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$ 302,565,355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48,771,084</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49,048,526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36,193,947</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7,824,228</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6,094,525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7,335,452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16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2,460,646</w:t>
            </w:r>
          </w:p>
        </w:tc>
        <w:tc>
          <w:tcPr>
            <w:tcW w:w="3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2,798,718</w:t>
            </w:r>
          </w:p>
        </w:tc>
        <w:tc>
          <w:tcPr>
            <w:tcW w:w="3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3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339,492,784</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335,524,541</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348,354,295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w:t>
            </w:r>
          </w:p>
        </w:tc>
        <w:tc>
          <w:tcPr>
            <w:tcW w:w="16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9,835,853</w:t>
            </w:r>
          </w:p>
        </w:tc>
        <w:tc>
          <w:tcPr>
            <w:tcW w:w="3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9,835,853</w:t>
            </w:r>
          </w:p>
        </w:tc>
        <w:tc>
          <w:tcPr>
            <w:tcW w:w="3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3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$ 349,328,637</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$ 345,360,394</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$ 361,468,112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$ 361,542,309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786"/>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w:t>
      </w: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2"/>
              </w:rPr>
              <w:t>March 31, 2015</w:t>
            </w:r>
          </w:p>
        </w:tc>
        <w:tc>
          <w:tcPr>
            <w:tcW w:w="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w w:val="83"/>
              </w:rPr>
              <w:t>September 30, 2014</w:t>
            </w:r>
          </w:p>
        </w:tc>
        <w:tc>
          <w:tcPr>
            <w:tcW w:w="0" w:type="dxa"/>
            <w:vAlign w:val="bottom"/>
          </w:tcPr>
          <w:p>
            <w:pPr>
              <w:spacing w:after="0"/>
              <w:rPr>
                <w:sz w:val="1"/>
                <w:szCs w:val="1"/>
                <w:color w:val="auto"/>
              </w:rPr>
            </w:pPr>
          </w:p>
        </w:tc>
      </w:tr>
      <w:tr>
        <w:trPr>
          <w:trHeight w:val="142"/>
        </w:trPr>
        <w:tc>
          <w:tcPr>
            <w:tcW w:w="1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3"/>
              </w:rPr>
              <w:t>High Tech Industries</w:t>
            </w:r>
          </w:p>
        </w:tc>
        <w:tc>
          <w:tcPr>
            <w:tcW w:w="216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171"/>
              <w:spacing w:after="0" w:line="142" w:lineRule="exact"/>
              <w:rPr>
                <w:sz w:val="20"/>
                <w:szCs w:val="20"/>
                <w:color w:val="auto"/>
              </w:rPr>
            </w:pPr>
            <w:r>
              <w:rPr>
                <w:rFonts w:ascii="Arial" w:cs="Arial" w:eastAsia="Arial" w:hAnsi="Arial"/>
                <w:sz w:val="14"/>
                <w:szCs w:val="14"/>
                <w:color w:val="auto"/>
              </w:rPr>
              <w:t>13%</w:t>
            </w:r>
          </w:p>
        </w:tc>
        <w:tc>
          <w:tcPr>
            <w:tcW w:w="7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3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11</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9</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8</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8</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7</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7</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7</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5</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4</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4</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Construction and Building</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Wholesale</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760" w:type="dxa"/>
            <w:vAlign w:val="bottom"/>
          </w:tcPr>
          <w:p>
            <w:pPr>
              <w:spacing w:after="0"/>
              <w:rPr>
                <w:sz w:val="12"/>
                <w:szCs w:val="12"/>
                <w:color w:val="auto"/>
              </w:rPr>
            </w:pPr>
          </w:p>
        </w:tc>
        <w:tc>
          <w:tcPr>
            <w:tcW w:w="1040" w:type="dxa"/>
            <w:vAlign w:val="bottom"/>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2</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334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2</w:t>
            </w:r>
          </w:p>
        </w:tc>
        <w:tc>
          <w:tcPr>
            <w:tcW w:w="180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334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1</w:t>
            </w:r>
          </w:p>
        </w:tc>
        <w:tc>
          <w:tcPr>
            <w:tcW w:w="180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All Other</w:t>
            </w: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760" w:type="dxa"/>
            <w:vAlign w:val="bottom"/>
          </w:tcPr>
          <w:p>
            <w:pPr>
              <w:spacing w:after="0"/>
              <w:rPr>
                <w:sz w:val="13"/>
                <w:szCs w:val="13"/>
                <w:color w:val="auto"/>
              </w:rPr>
            </w:pPr>
          </w:p>
        </w:tc>
        <w:tc>
          <w:tcPr>
            <w:tcW w:w="1040" w:type="dxa"/>
            <w:vAlign w:val="bottom"/>
            <w:tcBorders>
              <w:bottom w:val="single" w:sz="8" w:color="auto"/>
            </w:tcBorders>
          </w:tcPr>
          <w:p>
            <w:pPr>
              <w:jc w:val="right"/>
              <w:ind w:right="33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340" w:type="dxa"/>
            <w:vAlign w:val="bottom"/>
            <w:gridSpan w:val="2"/>
            <w:shd w:val="clear" w:color="auto" w:fill="CCEEFF"/>
          </w:tcPr>
          <w:p>
            <w:pPr>
              <w:jc w:val="right"/>
              <w:ind w:right="171"/>
              <w:spacing w:after="0" w:line="149" w:lineRule="exact"/>
              <w:rPr>
                <w:sz w:val="20"/>
                <w:szCs w:val="20"/>
                <w:color w:val="auto"/>
              </w:rPr>
            </w:pPr>
            <w:r>
              <w:rPr>
                <w:rFonts w:ascii="Arial" w:cs="Arial" w:eastAsia="Arial" w:hAnsi="Arial"/>
                <w:sz w:val="14"/>
                <w:szCs w:val="14"/>
                <w:color w:val="auto"/>
              </w:rPr>
              <w:t>100%</w:t>
            </w:r>
          </w:p>
        </w:tc>
        <w:tc>
          <w:tcPr>
            <w:tcW w:w="1800" w:type="dxa"/>
            <w:vAlign w:val="bottom"/>
            <w:gridSpan w:val="2"/>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vMerge w:val="restart"/>
          </w:tcPr>
          <w:p>
            <w:pPr>
              <w:jc w:val="right"/>
              <w:ind w:right="1368"/>
              <w:spacing w:after="0"/>
              <w:rPr>
                <w:sz w:val="20"/>
                <w:szCs w:val="20"/>
                <w:color w:val="auto"/>
              </w:rPr>
            </w:pPr>
            <w:r>
              <w:rPr>
                <w:rFonts w:ascii="Arial" w:cs="Arial" w:eastAsia="Arial" w:hAnsi="Arial"/>
                <w:sz w:val="14"/>
                <w:szCs w:val="14"/>
                <w:color w:val="auto"/>
              </w:rPr>
              <w:t>15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40" w:firstLine="786"/>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820" w:hanging="782"/>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80" w:right="860" w:hanging="782"/>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40" w:firstLine="786"/>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68"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84"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84" w:lineRule="exact"/>
        <w:rPr>
          <w:sz w:val="20"/>
          <w:szCs w:val="20"/>
          <w:color w:val="auto"/>
        </w:rPr>
      </w:pPr>
    </w:p>
    <w:p>
      <w:pPr>
        <w:ind w:right="80" w:firstLine="786"/>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3 and one reclassification from Level 3 to 2 during the six months ended March 31, 2015 and no reclassification of assets between levels during the six months ended March 31, 2014.</w:t>
      </w:r>
    </w:p>
    <w:p>
      <w:pPr>
        <w:spacing w:after="0" w:line="185"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3" w:lineRule="exact"/>
        <w:rPr>
          <w:sz w:val="20"/>
          <w:szCs w:val="20"/>
          <w:color w:val="auto"/>
        </w:rPr>
      </w:pPr>
    </w:p>
    <w:p>
      <w:pPr>
        <w:ind w:right="20" w:firstLine="786"/>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5" w:lineRule="exact"/>
        <w:rPr>
          <w:sz w:val="20"/>
          <w:szCs w:val="20"/>
          <w:color w:val="auto"/>
        </w:rPr>
      </w:pPr>
    </w:p>
    <w:p>
      <w:pPr>
        <w:ind w:firstLine="786"/>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Fair Value at</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March 31, 2015</w:t>
            </w:r>
          </w:p>
        </w:tc>
        <w:tc>
          <w:tcPr>
            <w:tcW w:w="26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248,740,017</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82,928,066</w:t>
            </w:r>
          </w:p>
        </w:tc>
        <w:tc>
          <w:tcPr>
            <w:tcW w:w="26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6.4% – 30.4% (12.4%)</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563,563</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2,089,880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4.8x – 10.0x (6.7x)</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334,321,526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3.0%</w:t>
            </w:r>
          </w:p>
        </w:tc>
        <w:tc>
          <w:tcPr>
            <w:tcW w:w="0" w:type="dxa"/>
            <w:vAlign w:val="bottom"/>
          </w:tcPr>
          <w:p>
            <w:pPr>
              <w:spacing w:after="0" w:line="20" w:lineRule="exact"/>
              <w:rPr>
                <w:sz w:val="1"/>
                <w:szCs w:val="1"/>
                <w:color w:val="auto"/>
              </w:rPr>
            </w:pPr>
          </w:p>
        </w:tc>
      </w:tr>
      <w:tr>
        <w:trPr>
          <w:trHeight w:val="143"/>
        </w:trPr>
        <w:tc>
          <w:tcPr>
            <w:tcW w:w="516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117,593,250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Fair Value at</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160" w:type="dxa"/>
            <w:vAlign w:val="bottom"/>
            <w:gridSpan w:val="2"/>
            <w:vMerge w:val="continue"/>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w w:val="87"/>
              </w:rPr>
              <w:t>September 30, 2014</w:t>
            </w:r>
          </w:p>
        </w:tc>
        <w:tc>
          <w:tcPr>
            <w:tcW w:w="26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282,659,683</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58,304,473</w:t>
            </w:r>
          </w:p>
        </w:tc>
        <w:tc>
          <w:tcPr>
            <w:tcW w:w="26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6.5% – 14.1% (11.6%)</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1,062,806</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1,245,623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5.0x–9.5x (7.6x)</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343,272,585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line="20" w:lineRule="exact"/>
              <w:rPr>
                <w:sz w:val="1"/>
                <w:szCs w:val="1"/>
                <w:color w:val="auto"/>
              </w:rPr>
            </w:pPr>
          </w:p>
        </w:tc>
      </w:tr>
      <w:tr>
        <w:trPr>
          <w:trHeight w:val="143"/>
        </w:trPr>
        <w:tc>
          <w:tcPr>
            <w:tcW w:w="516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3"/>
                <w:szCs w:val="13"/>
                <w:b w:val="1"/>
                <w:bCs w:val="1"/>
                <w:color w:val="auto"/>
                <w:w w:val="88"/>
              </w:rPr>
              <w:t>Fair Value Measurements at March 31, 2015</w:t>
            </w: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1"/>
                <w:szCs w:val="11"/>
                <w:color w:val="auto"/>
              </w:rPr>
            </w:pPr>
          </w:p>
        </w:tc>
        <w:tc>
          <w:tcPr>
            <w:tcW w:w="820" w:type="dxa"/>
            <w:vAlign w:val="bottom"/>
          </w:tcPr>
          <w:p>
            <w:pPr>
              <w:jc w:val="right"/>
              <w:ind w:right="150"/>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$ 277,582,772</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$ 277,582,772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49,048,526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49,048,526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6,094,525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1,057,740</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5,036,785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40" w:type="dxa"/>
            <w:vAlign w:val="bottom"/>
            <w:gridSpan w:val="2"/>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2,798,718</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145,275</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2,653,443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335,524,541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1,203,015</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334,321,526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9,835,853</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9,835,853</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and cash equivalents</w:t>
            </w:r>
          </w:p>
        </w:tc>
        <w:tc>
          <w:tcPr>
            <w:tcW w:w="1840" w:type="dxa"/>
            <w:vAlign w:val="bottom"/>
            <w:gridSpan w:val="2"/>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$ 345,360,394</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9,835,853</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1,203,015</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$ 334,321,526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9"/>
              </w:rPr>
              <w:t>$ 117,593,250</w:t>
            </w:r>
          </w:p>
        </w:tc>
        <w:tc>
          <w:tcPr>
            <w:tcW w:w="3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7"/>
              </w:rPr>
              <w:t>$ 117,593,250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7"/>
              </w:rPr>
              <w:t>Fair Value Measurements at September 30, 2014</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1"/>
                <w:szCs w:val="11"/>
                <w:color w:val="auto"/>
              </w:rPr>
            </w:pPr>
          </w:p>
        </w:tc>
        <w:tc>
          <w:tcPr>
            <w:tcW w:w="820" w:type="dxa"/>
            <w:vAlign w:val="bottom"/>
          </w:tcPr>
          <w:p>
            <w:pPr>
              <w:jc w:val="right"/>
              <w:ind w:right="150"/>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$ 302,565,355</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$ 302,565,355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36,474,784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5,149,668</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1,924,017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40" w:type="dxa"/>
            <w:vAlign w:val="bottom"/>
            <w:gridSpan w:val="2"/>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6,239</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2,308,429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5,155,907</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13,113,817</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and cash equivalents</w:t>
            </w:r>
          </w:p>
        </w:tc>
        <w:tc>
          <w:tcPr>
            <w:tcW w:w="1840" w:type="dxa"/>
            <w:vAlign w:val="bottom"/>
            <w:gridSpan w:val="2"/>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$ 361,542,309</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$ 13,113,817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5,155,907</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9"/>
              </w:rPr>
              <w:t>$ 146,949,000</w:t>
            </w:r>
          </w:p>
        </w:tc>
        <w:tc>
          <w:tcPr>
            <w:tcW w:w="3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7"/>
              </w:rPr>
              <w:t>$ 146,949,000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9"/>
              </w:rPr>
              <w:t>Six Months Ended March 31, 2015</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tcPr>
          <w:p>
            <w:pPr>
              <w:jc w:val="center"/>
              <w:ind w:right="500"/>
              <w:spacing w:after="0" w:line="110" w:lineRule="exact"/>
              <w:rPr>
                <w:sz w:val="20"/>
                <w:szCs w:val="20"/>
                <w:color w:val="auto"/>
              </w:rPr>
            </w:pPr>
            <w:r>
              <w:rPr>
                <w:rFonts w:ascii="Arial" w:cs="Arial" w:eastAsia="Arial" w:hAnsi="Arial"/>
                <w:sz w:val="12"/>
                <w:szCs w:val="12"/>
                <w:b w:val="1"/>
                <w:bCs w:val="1"/>
                <w:color w:val="auto"/>
                <w:w w:val="90"/>
              </w:rPr>
              <w:t>Second lien,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2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86"/>
              </w:rPr>
              <w:t>subordinated debt</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First Lien</w:t>
            </w:r>
          </w:p>
        </w:tc>
        <w:tc>
          <w:tcPr>
            <w:tcW w:w="34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and equity investments</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302,565,355</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(353,349)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873,487</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520,138</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(2,530,212)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(855,352)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(3,385,564)</w:t>
            </w: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69,822,474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13,785,403</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83,607,877</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(91,921,496)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(997,338)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(92,918,834)</w:t>
            </w: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3,225,324</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3,225,324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277,582,772</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56,738,754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334,321,526</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4"/>
                <w:szCs w:val="14"/>
                <w:color w:val="auto"/>
                <w:w w:val="96"/>
              </w:rPr>
              <w:t>Net change in unrealized depreciation reported within the net change in unrealized depreciation on investments in our</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20" w:type="dxa"/>
            <w:vAlign w:val="bottom"/>
          </w:tcPr>
          <w:p>
            <w:pPr>
              <w:ind w:left="16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(2,447,038)</w:t>
            </w:r>
          </w:p>
        </w:tc>
        <w:tc>
          <w:tcPr>
            <w:tcW w:w="4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4"/>
                <w:szCs w:val="14"/>
                <w:color w:val="auto"/>
              </w:rPr>
              <w:t>(915,685)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(3,362,723)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9"/>
              </w:rPr>
              <w:t>Six Months Ended March 31, 2014</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tcPr>
          <w:p>
            <w:pPr>
              <w:jc w:val="center"/>
              <w:ind w:right="500"/>
              <w:spacing w:after="0" w:line="110" w:lineRule="exact"/>
              <w:rPr>
                <w:sz w:val="20"/>
                <w:szCs w:val="20"/>
                <w:color w:val="auto"/>
              </w:rPr>
            </w:pPr>
            <w:r>
              <w:rPr>
                <w:rFonts w:ascii="Arial" w:cs="Arial" w:eastAsia="Arial" w:hAnsi="Arial"/>
                <w:sz w:val="12"/>
                <w:szCs w:val="12"/>
                <w:b w:val="1"/>
                <w:bCs w:val="1"/>
                <w:color w:val="auto"/>
                <w:w w:val="90"/>
              </w:rPr>
              <w:t>Second lien,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2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subordinated debt and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First Lien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4"/>
              </w:rPr>
              <w:t>equity investments</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32,698,220</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313,744,468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955,594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159,004</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1,114,598</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2,340,694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1,340,332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3,681,026</w:t>
            </w: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140,115,484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14,085,741</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154,201,225</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(82,214,645)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(7,300,357)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(89,515,002)</w:t>
            </w:r>
          </w:p>
        </w:tc>
        <w:tc>
          <w:tcPr>
            <w:tcW w:w="0" w:type="dxa"/>
            <w:vAlign w:val="bottom"/>
          </w:tcPr>
          <w:p>
            <w:pPr>
              <w:spacing w:after="0"/>
              <w:rPr>
                <w:sz w:val="1"/>
                <w:szCs w:val="1"/>
                <w:color w:val="auto"/>
              </w:rPr>
            </w:pPr>
          </w:p>
        </w:tc>
      </w:tr>
      <w:tr>
        <w:trPr>
          <w:trHeight w:val="156"/>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342,243,375</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40,982,940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383,226,315</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4"/>
                <w:szCs w:val="14"/>
                <w:color w:val="auto"/>
                <w:w w:val="96"/>
              </w:rPr>
              <w:t>Net change in unrealized appreciation reported within the net change in unrealized appreciation on investments in our</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20" w:type="dxa"/>
            <w:vAlign w:val="bottom"/>
          </w:tcPr>
          <w:p>
            <w:pPr>
              <w:ind w:left="16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1,458,545</w:t>
            </w:r>
          </w:p>
        </w:tc>
        <w:tc>
          <w:tcPr>
            <w:tcW w:w="4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1,315,131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2,773,676</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560"/>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53"/>
        </w:trPr>
        <w:tc>
          <w:tcPr>
            <w:tcW w:w="7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20" w:type="dxa"/>
            <w:vAlign w:val="bottom"/>
          </w:tcPr>
          <w:p>
            <w:pPr>
              <w:spacing w:after="0"/>
              <w:rPr>
                <w:sz w:val="13"/>
                <w:szCs w:val="13"/>
                <w:color w:val="auto"/>
              </w:rPr>
            </w:pPr>
          </w:p>
        </w:tc>
        <w:tc>
          <w:tcPr>
            <w:tcW w:w="206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8"/>
              </w:rPr>
              <w:t>Six Months Ended March 31,</w:t>
            </w:r>
          </w:p>
        </w:tc>
        <w:tc>
          <w:tcPr>
            <w:tcW w:w="0" w:type="dxa"/>
            <w:vAlign w:val="bottom"/>
          </w:tcPr>
          <w:p>
            <w:pPr>
              <w:spacing w:after="0"/>
              <w:rPr>
                <w:sz w:val="1"/>
                <w:szCs w:val="1"/>
                <w:color w:val="auto"/>
              </w:rPr>
            </w:pPr>
          </w:p>
        </w:tc>
      </w:tr>
      <w:tr>
        <w:trPr>
          <w:trHeight w:val="128"/>
        </w:trPr>
        <w:tc>
          <w:tcPr>
            <w:tcW w:w="7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$146,400,000 and $99,600,000, respectively)</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$ 146,949,000</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99,600,000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change in unrealized appreciation included in earnings</w:t>
            </w:r>
          </w:p>
        </w:tc>
        <w:tc>
          <w:tcPr>
            <w:tcW w:w="11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(255,750)</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3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54,900,000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112,500,000</w:t>
            </w:r>
          </w:p>
        </w:tc>
        <w:tc>
          <w:tcPr>
            <w:tcW w:w="0" w:type="dxa"/>
            <w:vAlign w:val="bottom"/>
          </w:tcPr>
          <w:p>
            <w:pPr>
              <w:spacing w:after="0"/>
              <w:rPr>
                <w:sz w:val="1"/>
                <w:szCs w:val="1"/>
                <w:color w:val="auto"/>
              </w:rPr>
            </w:pPr>
          </w:p>
        </w:tc>
      </w:tr>
      <w:tr>
        <w:trPr>
          <w:trHeight w:val="148"/>
        </w:trPr>
        <w:tc>
          <w:tcPr>
            <w:tcW w:w="73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Repayments</w:t>
            </w:r>
          </w:p>
        </w:tc>
        <w:tc>
          <w:tcPr>
            <w:tcW w:w="11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(84,000,000)</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(38,900,000)</w:t>
            </w:r>
          </w:p>
        </w:tc>
        <w:tc>
          <w:tcPr>
            <w:tcW w:w="0" w:type="dxa"/>
            <w:vAlign w:val="bottom"/>
          </w:tcPr>
          <w:p>
            <w:pPr>
              <w:spacing w:after="0"/>
              <w:rPr>
                <w:sz w:val="1"/>
                <w:szCs w:val="1"/>
                <w:color w:val="auto"/>
              </w:rPr>
            </w:pPr>
          </w:p>
        </w:tc>
      </w:tr>
      <w:tr>
        <w:trPr>
          <w:trHeight w:val="148"/>
        </w:trPr>
        <w:tc>
          <w:tcPr>
            <w:tcW w:w="73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$117,300,000 and $173,200,000, respectively)</w:t>
            </w:r>
          </w:p>
        </w:tc>
        <w:tc>
          <w:tcPr>
            <w:tcW w:w="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$ 117,593,250</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173,200,000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786"/>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 expenses relating to amendment fees on the Credit Facility for both the three and six months ended March 31, 2015. For the same periods in the prior year, we incurred expenses of zero and $0.7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three and six months ended March 31, 2015, our Credit Facility had a net change in unrealized appreciation of $0.2 million and $0.3 million, respectively. For each of the three and six months ended March 31, 2014, our Credit Facility had a net change in unrealized appreciation of zero. As of March 31, 2015 and September 30, 2014, the net unrealized appreciation on our Credit Facility totaled $0.3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5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4"/>
          </w:tcPr>
          <w:p>
            <w:pPr>
              <w:jc w:val="right"/>
              <w:ind w:right="30"/>
              <w:spacing w:after="0"/>
              <w:rPr>
                <w:sz w:val="20"/>
                <w:szCs w:val="20"/>
                <w:color w:val="auto"/>
              </w:rPr>
            </w:pPr>
            <w:r>
              <w:rPr>
                <w:rFonts w:ascii="Arial" w:cs="Arial" w:eastAsia="Arial" w:hAnsi="Arial"/>
                <w:sz w:val="13"/>
                <w:szCs w:val="13"/>
                <w:b w:val="1"/>
                <w:bCs w:val="1"/>
                <w:color w:val="auto"/>
                <w:w w:val="89"/>
              </w:rPr>
              <w:t>Three Months Ended March 31,</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tcPr>
          <w:p>
            <w:pPr>
              <w:ind w:left="40"/>
              <w:spacing w:after="0"/>
              <w:rPr>
                <w:sz w:val="20"/>
                <w:szCs w:val="20"/>
                <w:color w:val="auto"/>
              </w:rPr>
            </w:pPr>
            <w:r>
              <w:rPr>
                <w:rFonts w:ascii="Arial" w:cs="Arial" w:eastAsia="Arial" w:hAnsi="Arial"/>
                <w:sz w:val="13"/>
                <w:szCs w:val="13"/>
                <w:b w:val="1"/>
                <w:bCs w:val="1"/>
                <w:color w:val="auto"/>
              </w:rPr>
              <w:t>Six Months Ended March 31,</w:t>
            </w:r>
          </w:p>
        </w:tc>
      </w:tr>
      <w:tr>
        <w:trPr>
          <w:trHeight w:val="128"/>
        </w:trPr>
        <w:tc>
          <w:tcPr>
            <w:tcW w:w="586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Arial" w:cs="Arial" w:eastAsia="Arial" w:hAnsi="Arial"/>
                <w:sz w:val="13"/>
                <w:szCs w:val="13"/>
                <w:b w:val="1"/>
                <w:bCs w:val="1"/>
                <w:color w:val="auto"/>
              </w:rPr>
              <w:t>2015</w:t>
            </w:r>
          </w:p>
        </w:tc>
        <w:tc>
          <w:tcPr>
            <w:tcW w:w="3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0"/>
              <w:spacing w:after="0" w:line="129" w:lineRule="exact"/>
              <w:rPr>
                <w:sz w:val="20"/>
                <w:szCs w:val="20"/>
                <w:color w:val="auto"/>
              </w:rPr>
            </w:pPr>
            <w:r>
              <w:rPr>
                <w:rFonts w:ascii="Arial" w:cs="Arial" w:eastAsia="Arial" w:hAnsi="Arial"/>
                <w:sz w:val="13"/>
                <w:szCs w:val="13"/>
                <w:b w:val="1"/>
                <w:bCs w:val="1"/>
                <w:color w:val="auto"/>
              </w:rPr>
              <w:t>2014</w:t>
            </w:r>
          </w:p>
        </w:tc>
        <w:tc>
          <w:tcPr>
            <w:tcW w:w="3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2"/>
              <w:spacing w:after="0" w:line="129" w:lineRule="exact"/>
              <w:rPr>
                <w:sz w:val="20"/>
                <w:szCs w:val="20"/>
                <w:color w:val="auto"/>
              </w:rPr>
            </w:pPr>
            <w:r>
              <w:rPr>
                <w:rFonts w:ascii="Arial" w:cs="Arial" w:eastAsia="Arial" w:hAnsi="Arial"/>
                <w:sz w:val="13"/>
                <w:szCs w:val="13"/>
                <w:b w:val="1"/>
                <w:bCs w:val="1"/>
                <w:color w:val="auto"/>
              </w:rPr>
              <w:t>2015</w:t>
            </w:r>
          </w:p>
        </w:tc>
        <w:tc>
          <w:tcPr>
            <w:tcW w:w="3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0"/>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6,124,487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7,237,297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6,562,689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13,294,078</w:t>
            </w:r>
          </w:p>
        </w:tc>
        <w:tc>
          <w:tcPr>
            <w:tcW w:w="80" w:type="dxa"/>
            <w:vAlign w:val="bottom"/>
            <w:shd w:val="clear" w:color="auto" w:fill="CCEEFF"/>
          </w:tcPr>
          <w:p>
            <w:pPr>
              <w:spacing w:after="0"/>
              <w:rPr>
                <w:sz w:val="12"/>
                <w:szCs w:val="12"/>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14,898,056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14,898,056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14,898,056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8"/>
              </w:rPr>
              <w:t>14,898,056</w:t>
            </w:r>
          </w:p>
        </w:tc>
        <w:tc>
          <w:tcPr>
            <w:tcW w:w="8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0.49</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80" w:type="dxa"/>
            <w:vAlign w:val="bottom"/>
            <w:shd w:val="clear" w:color="auto" w:fill="CCEEFF"/>
          </w:tcPr>
          <w:p>
            <w:pPr>
              <w:spacing w:after="0"/>
              <w:rPr>
                <w:sz w:val="12"/>
                <w:szCs w:val="1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100" w:lineRule="exact"/>
        <w:rPr>
          <w:sz w:val="20"/>
          <w:szCs w:val="20"/>
          <w:color w:val="auto"/>
        </w:rPr>
      </w:pPr>
    </w:p>
    <w:p>
      <w:pPr>
        <w:ind w:right="60" w:firstLine="786"/>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2015 and September 30, 2014, our cash equivalents consisted of money market funds in the amounts of $9.8 million and $13.1 million,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Below are the financial highlights:</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153"/>
        </w:trPr>
        <w:tc>
          <w:tcPr>
            <w:tcW w:w="5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8"/>
              </w:rPr>
              <w:t>Six Months Ended March 31,</w:t>
            </w:r>
          </w:p>
        </w:tc>
        <w:tc>
          <w:tcPr>
            <w:tcW w:w="0" w:type="dxa"/>
            <w:vAlign w:val="bottom"/>
          </w:tcPr>
          <w:p>
            <w:pPr>
              <w:spacing w:after="0"/>
              <w:rPr>
                <w:sz w:val="1"/>
                <w:szCs w:val="1"/>
                <w:color w:val="auto"/>
              </w:rPr>
            </w:pPr>
          </w:p>
        </w:tc>
      </w:tr>
      <w:tr>
        <w:trPr>
          <w:trHeight w:val="128"/>
        </w:trPr>
        <w:tc>
          <w:tcPr>
            <w:tcW w:w="50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2015</w:t>
            </w:r>
          </w:p>
        </w:tc>
        <w:tc>
          <w:tcPr>
            <w:tcW w:w="3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0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14.40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14.30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5.85%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14,898,056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14,898,056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9"/>
              </w:rPr>
              <w:t>212,970,958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215,352,767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9"/>
              </w:rPr>
              <w:t>135,029,670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142,153,846</w:t>
            </w:r>
          </w:p>
        </w:tc>
        <w:tc>
          <w:tcPr>
            <w:tcW w:w="0" w:type="dxa"/>
            <w:vAlign w:val="bottom"/>
          </w:tcPr>
          <w:p>
            <w:pPr>
              <w:spacing w:after="0"/>
              <w:rPr>
                <w:sz w:val="1"/>
                <w:szCs w:val="1"/>
                <w:color w:val="auto"/>
              </w:rPr>
            </w:pPr>
          </w:p>
        </w:tc>
      </w:tr>
      <w:tr>
        <w:trPr>
          <w:trHeight w:val="156"/>
        </w:trPr>
        <w:tc>
          <w:tcPr>
            <w:tcW w:w="50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2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9.06</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2,811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50.41%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7" w:lineRule="exact"/>
        <w:rPr>
          <w:sz w:val="20"/>
          <w:szCs w:val="20"/>
          <w:color w:val="auto"/>
        </w:rPr>
      </w:pPr>
    </w:p>
    <w:p>
      <w:pPr>
        <w:ind w:right="8260" w:firstLine="8"/>
        <w:spacing w:after="0" w:line="248" w:lineRule="auto"/>
        <w:tabs>
          <w:tab w:leader="none" w:pos="324" w:val="left"/>
        </w:tabs>
        <w:numPr>
          <w:ilvl w:val="0"/>
          <w:numId w:val="7"/>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36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Excludes Credit Facility related costs, if any.</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40" w:right="100" w:hanging="332"/>
        <w:spacing w:after="0" w:line="271" w:lineRule="auto"/>
        <w:tabs>
          <w:tab w:leader="none" w:pos="34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100"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Funding I’s Credit Facility with affiliates of SunTrust Bank, or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March 31, 2015 and September 30, 2014, Funding I had $117.3 million and $146.4 million of outstanding borrowings under the Credit Facility, respectively, and carried an interest rate of 2.18% and 2.16%, respectively, excluding the 0.50% and 0.375% undrawn commitment fee, respectively. The annualized weighted average cost of debt for the six months ended March 31, 2015 and 2014, inclusive of the fee on the undrawn commitment on the Credit Facility but excluding amendment costs, was 2.46% and 2.39%, respectively.</w:t>
      </w:r>
    </w:p>
    <w:p>
      <w:pPr>
        <w:spacing w:after="0" w:line="184" w:lineRule="exact"/>
        <w:rPr>
          <w:sz w:val="20"/>
          <w:szCs w:val="20"/>
          <w:color w:val="auto"/>
        </w:rPr>
      </w:pPr>
    </w:p>
    <w:p>
      <w:pPr>
        <w:jc w:val="both"/>
        <w:ind w:right="240" w:firstLine="786"/>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8" w:lineRule="exact"/>
        <w:rPr>
          <w:sz w:val="20"/>
          <w:szCs w:val="20"/>
          <w:color w:val="auto"/>
        </w:rPr>
      </w:pPr>
    </w:p>
    <w:p>
      <w:pPr>
        <w:ind w:right="20" w:firstLine="786"/>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2015, we were in compliance with the covenants relating to our Credit Facility.</w:t>
      </w:r>
    </w:p>
    <w:p>
      <w:pPr>
        <w:spacing w:after="0" w:line="175" w:lineRule="exact"/>
        <w:rPr>
          <w:sz w:val="20"/>
          <w:szCs w:val="20"/>
          <w:color w:val="auto"/>
        </w:rPr>
      </w:pPr>
    </w:p>
    <w:p>
      <w:pPr>
        <w:jc w:val="both"/>
        <w:ind w:right="160" w:firstLine="786"/>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100" w:firstLine="786"/>
        <w:spacing w:after="0" w:line="233"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00" w:lineRule="exact"/>
        <w:rPr>
          <w:sz w:val="20"/>
          <w:szCs w:val="20"/>
          <w:color w:val="auto"/>
        </w:rPr>
      </w:pPr>
    </w:p>
    <w:p>
      <w:pPr>
        <w:ind w:right="80" w:firstLine="786"/>
        <w:spacing w:after="0" w:line="255"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 of Investments. As of March 31, 2015 and September 30, 2014, we had $4.0 million and $2.7 million, respectively, in commitments to fund various revolving and delayed draw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100" w:lineRule="exact"/>
        <w:rPr>
          <w:sz w:val="20"/>
          <w:szCs w:val="20"/>
          <w:color w:val="auto"/>
        </w:rPr>
      </w:pPr>
    </w:p>
    <w:p>
      <w:pPr>
        <w:ind w:firstLine="786"/>
        <w:spacing w:after="0" w:line="251" w:lineRule="auto"/>
        <w:rPr>
          <w:sz w:val="20"/>
          <w:szCs w:val="20"/>
          <w:color w:val="auto"/>
        </w:rPr>
      </w:pPr>
      <w:r>
        <w:rPr>
          <w:rFonts w:ascii="Arial" w:cs="Arial" w:eastAsia="Arial" w:hAnsi="Arial"/>
          <w:sz w:val="13"/>
          <w:szCs w:val="13"/>
          <w:color w:val="auto"/>
        </w:rPr>
        <w:t>On April 29, 2015, PennantPark Floating Rate Capital Ltd. and MCG Capital Corporation (NASDAQ: MCGC) announced that they have entered into a definitive agreement under which PennantPark Floating Rate Capital Ltd. will acquire MCGC in a stock and cash transaction valued at approximately $175 million, or approximately $4.75 per MCGC share at closing. MCG stockholders will have the right to receive, per each share of MCG common stock, a number of shares of PennantPark Floating Rate Capital Ltd. common shares equal to $4.521 and $0.226 in cash (subject to an upward adjustment). The Boards of Directors of both companies have each unanimously approved the transaction. Consummation of the acquisition is subject to approval of both PennantPark Floating Rate Capital Ltd. and MCGC stockholders and other customary closing conditions. The transaction is expected to close during the third calendar quarter of 2015.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92" w:lineRule="exact"/>
        <w:rPr>
          <w:sz w:val="20"/>
          <w:szCs w:val="20"/>
          <w:color w:val="auto"/>
        </w:rPr>
      </w:pPr>
    </w:p>
    <w:p>
      <w:pPr>
        <w:ind w:right="200" w:firstLine="786"/>
        <w:spacing w:after="0" w:line="233"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Subsidiary (the “Company”), including the consolidated schedule of investments, as of March 31, 2015, the consolidated statements of operations for the three and six months ended March 31, 2015 and 2014, and the consolidated statements of changes in net assets and cash flows for the six months ended March 31, 2015 and 2014. These consolidated financial statements are the responsibility of the Company’s management.</w:t>
      </w:r>
    </w:p>
    <w:p>
      <w:pPr>
        <w:spacing w:after="0" w:line="185"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5" w:lineRule="exact"/>
        <w:rPr>
          <w:sz w:val="20"/>
          <w:szCs w:val="20"/>
          <w:color w:val="auto"/>
        </w:rPr>
      </w:pPr>
    </w:p>
    <w:p>
      <w:pPr>
        <w:ind w:right="20" w:firstLine="786"/>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74" w:lineRule="exact"/>
        <w:rPr>
          <w:sz w:val="20"/>
          <w:szCs w:val="20"/>
          <w:color w:val="auto"/>
        </w:rPr>
      </w:pPr>
    </w:p>
    <w:p>
      <w:pPr>
        <w:ind w:right="100" w:firstLine="786"/>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2014, and the related consolidated statements of operations, changes in net assets, and cash flows for the year then ended (not presented herein); and in our report dated November 13, 2014, we expressed an unqualified opinion on those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7,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280"/>
        <w:spacing w:after="0" w:line="385" w:lineRule="auto"/>
        <w:rPr>
          <w:sz w:val="20"/>
          <w:szCs w:val="20"/>
          <w:color w:val="auto"/>
        </w:rPr>
      </w:pPr>
      <w:r>
        <w:rPr>
          <w:rFonts w:ascii="Arial" w:cs="Arial" w:eastAsia="Arial" w:hAnsi="Arial"/>
          <w:sz w:val="14"/>
          <w:szCs w:val="14"/>
          <w:b w:val="1"/>
          <w:bCs w:val="1"/>
          <w:color w:val="auto"/>
        </w:rPr>
        <w:t>Item 2. MANAGEMENT’S DISCUSSION AND ANALYSIS OF FINANCIAL CONDITION AND RESULTS OF OPERATIONS FORWARD-LOOKING STATEMENTS</w:t>
      </w:r>
    </w:p>
    <w:p>
      <w:pPr>
        <w:jc w:val="both"/>
        <w:ind w:right="160" w:firstLine="78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jc w:val="both"/>
        <w:ind w:right="100" w:firstLine="786"/>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83"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85" w:lineRule="exact"/>
        <w:rPr>
          <w:sz w:val="20"/>
          <w:szCs w:val="20"/>
          <w:color w:val="auto"/>
        </w:rPr>
      </w:pPr>
    </w:p>
    <w:p>
      <w:pPr>
        <w:ind w:right="180" w:firstLine="786"/>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85" w:lineRule="exact"/>
        <w:rPr>
          <w:sz w:val="20"/>
          <w:szCs w:val="20"/>
          <w:color w:val="auto"/>
        </w:rPr>
      </w:pPr>
    </w:p>
    <w:p>
      <w:pPr>
        <w:ind w:right="140" w:firstLine="786"/>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52" w:lineRule="exact"/>
        <w:rPr>
          <w:sz w:val="20"/>
          <w:szCs w:val="20"/>
          <w:color w:val="auto"/>
        </w:rPr>
      </w:pPr>
    </w:p>
    <w:p>
      <w:pPr>
        <w:ind w:right="200" w:firstLine="786"/>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120" w:firstLine="786"/>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100" w:firstLine="786"/>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75"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360" w:firstLine="786"/>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52"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80" w:firstLine="786"/>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90"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580" w:hanging="329"/>
        <w:spacing w:after="0" w:line="253" w:lineRule="auto"/>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140" w:firstLine="786"/>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jc w:val="both"/>
        <w:ind w:right="260" w:firstLine="786"/>
        <w:spacing w:after="0" w:line="255" w:lineRule="auto"/>
        <w:rPr>
          <w:sz w:val="20"/>
          <w:szCs w:val="20"/>
          <w:color w:val="auto"/>
        </w:rPr>
      </w:pPr>
      <w:r>
        <w:rPr>
          <w:rFonts w:ascii="Arial" w:cs="Arial" w:eastAsia="Arial" w:hAnsi="Arial"/>
          <w:sz w:val="13"/>
          <w:szCs w:val="13"/>
          <w:color w:val="auto"/>
        </w:rPr>
        <w:t>As of March 31, 2015, our portfolio totaled $335.5 million and consisted of $277.6 million of senior secured loans, $49.0 million of second lien secured debt and $8.9 million of subordinated debt, preferred and common equity. Our debt portfolio consisted of 95% variable-rate investments (including 91% with a LIBOR or prime floor) and 5% fixed-rate investments. Overall, the portfolio had net unrealized depreciation of $4.0 million. Our overall portfolio consisted of 71 companies with an average investment size of $4.7 million, had a weighted average yield on debt investments of 8.4%, and was invested 83% in senior secured loans, 14% in second lien secured debt and 3% in subordinated debt, preferred and common equity.</w:t>
      </w:r>
    </w:p>
    <w:p>
      <w:pPr>
        <w:spacing w:after="0" w:line="175" w:lineRule="exact"/>
        <w:rPr>
          <w:sz w:val="20"/>
          <w:szCs w:val="20"/>
          <w:color w:val="auto"/>
        </w:rPr>
      </w:pPr>
    </w:p>
    <w:p>
      <w:pPr>
        <w:ind w:right="20" w:firstLine="786"/>
        <w:spacing w:after="0" w:line="231" w:lineRule="auto"/>
        <w:rPr>
          <w:sz w:val="20"/>
          <w:szCs w:val="20"/>
          <w:color w:val="auto"/>
        </w:rPr>
      </w:pPr>
      <w:r>
        <w:rPr>
          <w:rFonts w:ascii="Arial" w:cs="Arial" w:eastAsia="Arial" w:hAnsi="Arial"/>
          <w:sz w:val="14"/>
          <w:szCs w:val="14"/>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84" w:lineRule="exact"/>
        <w:rPr>
          <w:sz w:val="20"/>
          <w:szCs w:val="20"/>
          <w:color w:val="auto"/>
        </w:rPr>
      </w:pPr>
    </w:p>
    <w:p>
      <w:pPr>
        <w:ind w:right="40" w:firstLine="786"/>
        <w:spacing w:after="0" w:line="264" w:lineRule="auto"/>
        <w:rPr>
          <w:sz w:val="20"/>
          <w:szCs w:val="20"/>
          <w:color w:val="auto"/>
        </w:rPr>
      </w:pPr>
      <w:r>
        <w:rPr>
          <w:rFonts w:ascii="Arial" w:cs="Arial" w:eastAsia="Arial" w:hAnsi="Arial"/>
          <w:sz w:val="13"/>
          <w:szCs w:val="13"/>
          <w:color w:val="auto"/>
        </w:rPr>
        <w:t>For the three months ended March 31, 2015, we invested $38.4 million in six new and nine existing portfolio companies with a weighted average yield on debt investments of 7.1%. Sales and repayments of investments for the three months ended March 31, 2015 totaled $48.0 million. For the six months ended March 31, 2015, we invested $85.4 million in 14 new and 14 existing portfolio companies with a weighted average yield on debt investments of 8.0%. Sales and repayments of investments for the six months ended March 31, 2015 totaled $92.9 million.</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For the three months ended March 31, 2014, we invested $50.4 million in eight new and seven existing portfolio companies with a weighted average yield on debt investments of</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8.3%. Sales and repayments of investments for the three months ended March 31, 2014 totaled $35.7 million. For the six months ended March 31, 2014, we invested $154.3 million in 25 new and</w:t>
      </w:r>
    </w:p>
    <w:p>
      <w:pPr>
        <w:spacing w:after="0"/>
        <w:rPr>
          <w:sz w:val="20"/>
          <w:szCs w:val="20"/>
          <w:color w:val="auto"/>
        </w:rPr>
      </w:pPr>
      <w:r>
        <w:rPr>
          <w:rFonts w:ascii="Arial" w:cs="Arial" w:eastAsia="Arial" w:hAnsi="Arial"/>
          <w:sz w:val="13"/>
          <w:szCs w:val="13"/>
          <w:color w:val="auto"/>
        </w:rPr>
        <w:t>18 existing portfolio companies with a weighted average yield on debt investments of 7.9%. Sales and repayments of investments for the six months ended March 31, 2014 totaled $91.2 million.</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79" w:lineRule="exact"/>
        <w:rPr>
          <w:sz w:val="20"/>
          <w:szCs w:val="20"/>
          <w:color w:val="auto"/>
        </w:rPr>
      </w:pPr>
    </w:p>
    <w:p>
      <w:pPr>
        <w:ind w:right="100" w:firstLine="786"/>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1120" w:right="2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1120" w:right="8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1120" w:right="120" w:hanging="329"/>
        <w:spacing w:after="0" w:line="238"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1120" w:right="14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5" w:lineRule="exact"/>
        <w:rPr>
          <w:sz w:val="20"/>
          <w:szCs w:val="20"/>
          <w:color w:val="auto"/>
        </w:rPr>
      </w:pPr>
    </w:p>
    <w:p>
      <w:pPr>
        <w:ind w:firstLine="786"/>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96" w:lineRule="exact"/>
        <w:rPr>
          <w:sz w:val="20"/>
          <w:szCs w:val="20"/>
          <w:color w:val="auto"/>
        </w:rPr>
      </w:pPr>
    </w:p>
    <w:p>
      <w:pPr>
        <w:ind w:left="1480" w:right="940" w:hanging="566"/>
        <w:spacing w:after="0" w:line="238"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480" w:right="980" w:hanging="566"/>
        <w:spacing w:after="0" w:line="253" w:lineRule="auto"/>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60" w:firstLine="786"/>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68" w:lineRule="exact"/>
        <w:rPr>
          <w:sz w:val="20"/>
          <w:szCs w:val="20"/>
          <w:color w:val="auto"/>
        </w:rPr>
      </w:pPr>
    </w:p>
    <w:p>
      <w:pPr>
        <w:ind w:right="180" w:firstLine="786"/>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786"/>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 expenses relating to amendment fees on the Credit Facility for both the three and six months ended March 31, 2015. For the same periods in the prior year, we incurred expenses of zero and $0.7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six months ended March 31, 2015, our Credit Facility had a net change in unrealized appreciation of $0.2 million and $0.3 million, respectively. For each of the three and six months ended March 31, 2014, our Credit Facility had a net change in unrealized appreciation of zero. As of March 31, 2015 and September 30, 2014, the net unrealized appreciation on our Credit Facility totaled $0.3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20" w:firstLine="786"/>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160" w:firstLine="786"/>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786"/>
        <w:spacing w:after="0" w:line="245"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3" w:lineRule="exact"/>
        <w:rPr>
          <w:sz w:val="20"/>
          <w:szCs w:val="20"/>
          <w:color w:val="auto"/>
        </w:rPr>
      </w:pPr>
    </w:p>
    <w:p>
      <w:pPr>
        <w:jc w:val="both"/>
        <w:ind w:right="60" w:firstLine="786"/>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Set forth below are the results of operations for the three and six months ended March 31, 2015 and 2014.</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60" w:firstLine="786"/>
        <w:spacing w:after="0" w:line="255" w:lineRule="auto"/>
        <w:rPr>
          <w:sz w:val="20"/>
          <w:szCs w:val="20"/>
          <w:color w:val="auto"/>
        </w:rPr>
      </w:pPr>
      <w:r>
        <w:rPr>
          <w:rFonts w:ascii="Arial" w:cs="Arial" w:eastAsia="Arial" w:hAnsi="Arial"/>
          <w:sz w:val="13"/>
          <w:szCs w:val="13"/>
          <w:color w:val="auto"/>
        </w:rPr>
        <w:t>Investment income for the three and six months ended March 31, 2015 was $8.0 million and $15.5 million, respectively, and was attributable to $6.2 million and $12.0 million from senior secured loans and $1.8 million and $3.5 million from second lien secured debt and subordinated debt. This compares to investment income for the three and six months ended March 31, 2014, which was $7.6 million and $14.5 million, respectively, and was attributable to $6.3 million and $11.8 million from senior secured loans and $1.3 million and $2.7 million from second lien secured debt and subordinated debt. The increase in investment income compared to the same periods over the prior year was primarily due to a higher yielding portfolio.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786"/>
        <w:spacing w:after="0" w:line="244" w:lineRule="auto"/>
        <w:rPr>
          <w:sz w:val="20"/>
          <w:szCs w:val="20"/>
          <w:color w:val="auto"/>
        </w:rPr>
      </w:pPr>
      <w:r>
        <w:rPr>
          <w:rFonts w:ascii="Arial" w:cs="Arial" w:eastAsia="Arial" w:hAnsi="Arial"/>
          <w:sz w:val="13"/>
          <w:szCs w:val="13"/>
          <w:color w:val="auto"/>
        </w:rPr>
        <w:t>Expenses for the three and six months ended March 31, 2015 totaled $3.5 million and $5.5 million, respectively. Base management fee for the same periods totaled $0.9 million and $1.7 million, incentive fee totaled $1.3 million (including zero on net realized gains and $0.3 million on net unrealized gains accrued but not payable) and $1.0 million (including $(0.4) million on net realized gains and $(0.3) million on net unrealized gains accrued but not payable), Credit Facility expenses totaled $0.8 million and $1.7 million, general and administrative expenses totaled $0.4 million and $0.9 million and excise taxes were $0.1 million and $0.2 million, respectively. This compares to expenses for the three and six months ended March 31, 2014, which totaled $3.9 million and $7.5 million, respectively. Base management fee for the same periods totaled $1.0 million and $1.8 million, incentive fee totaled $1.4 million (including $0.3 million on net realized gains and $0.4 million on net unrealized gains accrued but not payable) and $2.1 million (including $0.7 million on net realized gains and $0.6 million on net unrealized gains accrued but not payable), Credit Facility expenses totaled $1.0 million and $2.4 million (including $0.7 million of Credit Facility amendment expenses), general and administrative expenses totaled $0.4 million and $1.0 million and excise taxes were $0.1 million and $0.2 million, respectively. The decrease in expenses compared to the same periods in the prior year was primarily due to a reduction in the accrual of incentive fees on realized and unrealized gains on the portfolio and the absence of Credit Facility amendment fees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40" w:firstLine="786"/>
        <w:spacing w:after="0" w:line="233" w:lineRule="auto"/>
        <w:rPr>
          <w:sz w:val="20"/>
          <w:szCs w:val="20"/>
          <w:color w:val="auto"/>
        </w:rPr>
      </w:pPr>
      <w:r>
        <w:rPr>
          <w:rFonts w:ascii="Arial" w:cs="Arial" w:eastAsia="Arial" w:hAnsi="Arial"/>
          <w:sz w:val="14"/>
          <w:szCs w:val="14"/>
          <w:color w:val="auto"/>
        </w:rPr>
        <w:t>Net investment income totaled $4.5 million and $9.9 million, or $0.30 and $0.67 per share, for the three and six months ended March 31, 2015, respectively. Net investment income totaled $3.7 million and $7.0 million, or $0.25 and $0.47 per share, for the three and six months ended March 31, 2014, respectively. The increase in net investment income compared to the same periods in the prior year was due to a higher yielding portfolio, reduction in incentive fees on net realized and net unrealized gains on the portfolio and the absence of amendment fees in the current period on our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40" w:firstLine="786"/>
        <w:spacing w:after="0" w:line="264" w:lineRule="auto"/>
        <w:rPr>
          <w:sz w:val="20"/>
          <w:szCs w:val="20"/>
          <w:color w:val="auto"/>
        </w:rPr>
      </w:pPr>
      <w:r>
        <w:rPr>
          <w:rFonts w:ascii="Arial" w:cs="Arial" w:eastAsia="Arial" w:hAnsi="Arial"/>
          <w:sz w:val="13"/>
          <w:szCs w:val="13"/>
          <w:color w:val="auto"/>
        </w:rPr>
        <w:t>Sales and repayments of investments for the three and six months ended March 31, 2015 totaled $48.0 million and $92.9 million and net realized gains totaled $0.6 million and $0.4 million, respectively. Sales and repayments of investments totaled $35.7 million and $91.2 million and realized gains totaled $0.5 million and $1.1 million for the three and six months ended March 31, 2014, respectively. The change in realized gains compared to the same periods in the prior year was primarily driven by changes in market conditions for our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For the three and six months ended March 31, 2015, we reported net unrealized appreciation (depreciation) on investments of $0.9 million and $(4.0) million, respectively. For the three and six months ended March 31, 2014, we reported net unrealized appreciation on investments of $3.0 million and $5.3 million, respectively. As of March 31, 2015 and September 30, 2014, net unrealized (depreciation) appreciation on investments totaled $(4.0) million and $0.1 million, respectively. The change in net unrealized appreciation (depreciation) compared to the same periods in the prior year was primarily the result of the overall variation in the leveraged finance markets.</w:t>
      </w:r>
    </w:p>
    <w:p>
      <w:pPr>
        <w:spacing w:after="0" w:line="185" w:lineRule="exact"/>
        <w:rPr>
          <w:sz w:val="20"/>
          <w:szCs w:val="20"/>
          <w:color w:val="auto"/>
        </w:rPr>
      </w:pPr>
    </w:p>
    <w:p>
      <w:pPr>
        <w:ind w:right="180" w:firstLine="786"/>
        <w:spacing w:after="0" w:line="264" w:lineRule="auto"/>
        <w:rPr>
          <w:sz w:val="20"/>
          <w:szCs w:val="20"/>
          <w:color w:val="auto"/>
        </w:rPr>
      </w:pPr>
      <w:r>
        <w:rPr>
          <w:rFonts w:ascii="Arial" w:cs="Arial" w:eastAsia="Arial" w:hAnsi="Arial"/>
          <w:sz w:val="13"/>
          <w:szCs w:val="13"/>
          <w:color w:val="auto"/>
        </w:rPr>
        <w:t>For the three and six months ended March 31, 2015, our Credit Facility had an unrealized appreciation of $0.2 million and $0.3 million, respectively. For each of the three and six months ended March 31, 2014, our Credit Facility had an unrealized appreciation of zero. As of March 31, 2015 and September 30, 2014, net unrealized appreciation on our Credit Facility totaled $0.3 million and $0.5 million, respectively. The change in net unrealized appreciation compared to the same period in the prior year was primarily due to changes in the capital markets.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Net change in net assets resulting from operations totaled $6.1 million and $6.6 million, or $0.41 and $0.44 per share, respectively, for the three and six months ended March 31, 2015. This compares to a net change in net assets resulting from operations which totaled $7.2 million and $13.3 million, or $0.49 and $0.89 per share, respectively, for the three and six months ended March 31, 2014. The decrease in the net change in nets assets from operations compared to the same period in the prior year is due to lower net realized and unrealized gains partially offset by higher net investment income.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firstLine="786"/>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3" w:lineRule="exact"/>
        <w:rPr>
          <w:sz w:val="20"/>
          <w:szCs w:val="20"/>
          <w:color w:val="auto"/>
        </w:rPr>
      </w:pPr>
    </w:p>
    <w:p>
      <w:pPr>
        <w:ind w:firstLine="786"/>
        <w:spacing w:after="0" w:line="248" w:lineRule="auto"/>
        <w:rPr>
          <w:sz w:val="20"/>
          <w:szCs w:val="20"/>
          <w:color w:val="auto"/>
        </w:rPr>
      </w:pPr>
      <w:r>
        <w:rPr>
          <w:rFonts w:ascii="Arial" w:cs="Arial" w:eastAsia="Arial" w:hAnsi="Arial"/>
          <w:sz w:val="13"/>
          <w:szCs w:val="13"/>
          <w:color w:val="auto"/>
        </w:rPr>
        <w:t>Funding I’s Credit Facility with affiliates of SunTrust Bank, or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March 31, 2015 and September 30, 2014, Funding I had $117.3 million and $146.4 million of outstanding borrowings under the Credit Facility, respectively, and carried an interest rate of 2.18% and 2.16%, respectively, excluding the 0.50% and 0.375% undrawn commitment fee, respectively. The annualized weighted average cost of debt for the six months ended March 31, 2015 and 2014, inclusive of the fee on the undrawn commitment on the Credit Facility but excluding amendment costs, was 2.46% and 2.39%, respectively. As of March 31, 2015 and September 30, 2014, we had $82.7 million and $53.6 million of unused borrowing capacity, respectively, subject to the regulatory restrictions that the 1940 Act imposes on us as a BDC.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60" w:firstLine="786"/>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8"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2015, we were in compliance with the covenants relating to our Credit Facility.</w:t>
      </w:r>
    </w:p>
    <w:p>
      <w:pPr>
        <w:spacing w:after="0" w:line="175" w:lineRule="exact"/>
        <w:rPr>
          <w:sz w:val="20"/>
          <w:szCs w:val="20"/>
          <w:color w:val="auto"/>
        </w:rPr>
      </w:pPr>
    </w:p>
    <w:p>
      <w:pPr>
        <w:jc w:val="both"/>
        <w:ind w:right="160" w:firstLine="786"/>
        <w:spacing w:after="0" w:line="23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3" w:lineRule="exact"/>
        <w:rPr>
          <w:sz w:val="20"/>
          <w:szCs w:val="20"/>
          <w:color w:val="auto"/>
        </w:rPr>
      </w:pPr>
    </w:p>
    <w:p>
      <w:pPr>
        <w:ind w:right="140" w:firstLine="786"/>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84" w:lineRule="exact"/>
        <w:rPr>
          <w:sz w:val="20"/>
          <w:szCs w:val="20"/>
          <w:color w:val="auto"/>
        </w:rPr>
      </w:pPr>
    </w:p>
    <w:p>
      <w:pPr>
        <w:jc w:val="both"/>
        <w:ind w:right="40" w:firstLine="786"/>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68" w:lineRule="exact"/>
        <w:rPr>
          <w:sz w:val="20"/>
          <w:szCs w:val="20"/>
          <w:color w:val="auto"/>
        </w:rPr>
      </w:pPr>
    </w:p>
    <w:p>
      <w:pPr>
        <w:ind w:right="260" w:firstLine="786"/>
        <w:spacing w:after="0" w:line="253" w:lineRule="auto"/>
        <w:rPr>
          <w:sz w:val="20"/>
          <w:szCs w:val="20"/>
          <w:color w:val="auto"/>
        </w:rPr>
      </w:pPr>
      <w:r>
        <w:rPr>
          <w:rFonts w:ascii="Arial" w:cs="Arial" w:eastAsia="Arial" w:hAnsi="Arial"/>
          <w:sz w:val="14"/>
          <w:szCs w:val="14"/>
          <w:color w:val="auto"/>
        </w:rPr>
        <w:t>On March 31, 2015 and September 30, 2014, we had cash equivalents of $9.8 million and $13.1 million, respectively, available for investing and general corporate purposes. We believe our liquidity and capital resources are sufficient to take advantage of market opportunities.</w:t>
      </w:r>
    </w:p>
    <w:p>
      <w:pPr>
        <w:spacing w:after="0" w:line="174" w:lineRule="exact"/>
        <w:rPr>
          <w:sz w:val="20"/>
          <w:szCs w:val="20"/>
          <w:color w:val="auto"/>
        </w:rPr>
      </w:pPr>
    </w:p>
    <w:p>
      <w:pPr>
        <w:ind w:right="60" w:firstLine="786"/>
        <w:spacing w:after="0" w:line="290" w:lineRule="auto"/>
        <w:rPr>
          <w:sz w:val="20"/>
          <w:szCs w:val="20"/>
          <w:color w:val="auto"/>
        </w:rPr>
      </w:pPr>
      <w:r>
        <w:rPr>
          <w:rFonts w:ascii="Arial" w:cs="Arial" w:eastAsia="Arial" w:hAnsi="Arial"/>
          <w:sz w:val="13"/>
          <w:szCs w:val="13"/>
          <w:color w:val="auto"/>
        </w:rPr>
        <w:t>Our operating activities provided cash of $33.9 million for the six months ended March 31, 2015, and our financing activities used cash of $37.1 million for the same period. Our operating activities provided cash primarily from sales and repayments on our investment activities and our financing activities used cash primarily from net repayments under the Credit Facility.</w:t>
      </w:r>
    </w:p>
    <w:p>
      <w:pPr>
        <w:spacing w:after="0" w:line="152" w:lineRule="exact"/>
        <w:rPr>
          <w:sz w:val="20"/>
          <w:szCs w:val="20"/>
          <w:color w:val="auto"/>
        </w:rPr>
      </w:pPr>
    </w:p>
    <w:p>
      <w:pPr>
        <w:ind w:right="220" w:firstLine="786"/>
        <w:spacing w:after="0" w:line="253" w:lineRule="auto"/>
        <w:rPr>
          <w:sz w:val="20"/>
          <w:szCs w:val="20"/>
          <w:color w:val="auto"/>
        </w:rPr>
      </w:pPr>
      <w:r>
        <w:rPr>
          <w:rFonts w:ascii="Arial" w:cs="Arial" w:eastAsia="Arial" w:hAnsi="Arial"/>
          <w:sz w:val="14"/>
          <w:szCs w:val="14"/>
          <w:color w:val="auto"/>
        </w:rPr>
        <w:t>Our operating activities used cash of $65.1 million for the six months ended March 31, 2014, and our financing activities provided cash of $65.6 million for the same period. Our operating activities used cash primarily for our investment activities and our financing activities provided cash primarily from net draws under the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 summary of our significant contractual payment obligations as of March 31, 2015, including borrowings under our Credit Facility and other contractual obligations,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3"/>
                <w:szCs w:val="13"/>
                <w:b w:val="1"/>
                <w:bCs w:val="1"/>
                <w:color w:val="auto"/>
                <w:w w:val="89"/>
              </w:rPr>
              <w:t>Payments due by period (millions)</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10"/>
        </w:trPr>
        <w:tc>
          <w:tcPr>
            <w:tcW w:w="3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33"/>
              <w:spacing w:after="0" w:line="110" w:lineRule="exact"/>
              <w:rPr>
                <w:sz w:val="20"/>
                <w:szCs w:val="20"/>
                <w:color w:val="auto"/>
              </w:rPr>
            </w:pPr>
            <w:r>
              <w:rPr>
                <w:rFonts w:ascii="Arial" w:cs="Arial" w:eastAsia="Arial" w:hAnsi="Arial"/>
                <w:sz w:val="12"/>
                <w:szCs w:val="12"/>
                <w:b w:val="1"/>
                <w:bCs w:val="1"/>
                <w:color w:val="auto"/>
                <w:w w:val="92"/>
              </w:rPr>
              <w:t>Less than</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253"/>
              <w:spacing w:after="0" w:line="110" w:lineRule="exact"/>
              <w:rPr>
                <w:sz w:val="20"/>
                <w:szCs w:val="20"/>
                <w:color w:val="auto"/>
              </w:rPr>
            </w:pPr>
            <w:r>
              <w:rPr>
                <w:rFonts w:ascii="Arial" w:cs="Arial" w:eastAsia="Arial" w:hAnsi="Arial"/>
                <w:sz w:val="12"/>
                <w:szCs w:val="12"/>
                <w:b w:val="1"/>
                <w:bCs w:val="1"/>
                <w:color w:val="auto"/>
              </w:rPr>
              <w:t>1-3</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253"/>
              <w:spacing w:after="0" w:line="110" w:lineRule="exact"/>
              <w:rPr>
                <w:sz w:val="20"/>
                <w:szCs w:val="20"/>
                <w:color w:val="auto"/>
              </w:rPr>
            </w:pPr>
            <w:r>
              <w:rPr>
                <w:rFonts w:ascii="Arial" w:cs="Arial" w:eastAsia="Arial" w:hAnsi="Arial"/>
                <w:sz w:val="12"/>
                <w:szCs w:val="12"/>
                <w:b w:val="1"/>
                <w:bCs w:val="1"/>
                <w:color w:val="auto"/>
              </w:rPr>
              <w:t>3-5</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33"/>
              <w:spacing w:after="0" w:line="110" w:lineRule="exact"/>
              <w:rPr>
                <w:sz w:val="20"/>
                <w:szCs w:val="20"/>
                <w:color w:val="auto"/>
              </w:rPr>
            </w:pPr>
            <w:r>
              <w:rPr>
                <w:rFonts w:ascii="Arial" w:cs="Arial" w:eastAsia="Arial" w:hAnsi="Arial"/>
                <w:sz w:val="12"/>
                <w:szCs w:val="12"/>
                <w:b w:val="1"/>
                <w:bCs w:val="1"/>
                <w:color w:val="auto"/>
              </w:rPr>
              <w:t>More than</w:t>
            </w:r>
          </w:p>
        </w:tc>
        <w:tc>
          <w:tcPr>
            <w:tcW w:w="80" w:type="dxa"/>
            <w:vAlign w:val="bottom"/>
          </w:tcPr>
          <w:p>
            <w:pPr>
              <w:spacing w:after="0"/>
              <w:rPr>
                <w:sz w:val="9"/>
                <w:szCs w:val="9"/>
                <w:color w:val="auto"/>
              </w:rPr>
            </w:pPr>
          </w:p>
        </w:tc>
      </w:tr>
      <w:tr>
        <w:trPr>
          <w:trHeight w:val="153"/>
        </w:trPr>
        <w:tc>
          <w:tcPr>
            <w:tcW w:w="3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3"/>
              <w:spacing w:after="0"/>
              <w:rPr>
                <w:sz w:val="20"/>
                <w:szCs w:val="20"/>
                <w:color w:val="auto"/>
              </w:rPr>
            </w:pPr>
            <w:r>
              <w:rPr>
                <w:rFonts w:ascii="Arial" w:cs="Arial" w:eastAsia="Arial" w:hAnsi="Arial"/>
                <w:sz w:val="13"/>
                <w:szCs w:val="13"/>
                <w:b w:val="1"/>
                <w:bCs w:val="1"/>
                <w:color w:val="auto"/>
                <w:w w:val="85"/>
              </w:rPr>
              <w:t>1 year</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82"/>
              </w:rPr>
              <w:t>years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years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5 years</w:t>
            </w:r>
          </w:p>
        </w:tc>
      </w:tr>
      <w:tr>
        <w:trPr>
          <w:trHeight w:val="142"/>
        </w:trPr>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6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117.3</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117.3</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r>
      <w:tr>
        <w:trPr>
          <w:trHeight w:val="27"/>
        </w:trPr>
        <w:tc>
          <w:tcPr>
            <w:tcW w:w="3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r>
      <w:tr>
        <w:trPr>
          <w:trHeight w:val="20"/>
        </w:trPr>
        <w:tc>
          <w:tcPr>
            <w:tcW w:w="3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204" w:lineRule="exact"/>
        <w:rPr>
          <w:sz w:val="20"/>
          <w:szCs w:val="20"/>
          <w:color w:val="auto"/>
        </w:rPr>
      </w:pPr>
    </w:p>
    <w:p>
      <w:pPr>
        <w:ind w:right="200" w:firstLine="786"/>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2015,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786"/>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2015,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84" w:lineRule="exact"/>
        <w:rPr>
          <w:sz w:val="20"/>
          <w:szCs w:val="20"/>
          <w:color w:val="auto"/>
        </w:rPr>
      </w:pPr>
    </w:p>
    <w:p>
      <w:pPr>
        <w:ind w:right="260" w:firstLine="786"/>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ind w:firstLine="786"/>
        <w:spacing w:after="0" w:line="251" w:lineRule="auto"/>
        <w:rPr>
          <w:sz w:val="20"/>
          <w:szCs w:val="20"/>
          <w:color w:val="auto"/>
        </w:rPr>
      </w:pPr>
      <w:r>
        <w:rPr>
          <w:rFonts w:ascii="Arial" w:cs="Arial" w:eastAsia="Arial" w:hAnsi="Arial"/>
          <w:sz w:val="13"/>
          <w:szCs w:val="13"/>
          <w:color w:val="auto"/>
        </w:rPr>
        <w:t>On April 29, 2015, PennantPark Floating Rate Capital Ltd. and MCG Capital Corporation (NASDAQ: MCGC) announced that they have entered into a definitive agreement under which PennantPark Floating Rate Capital Ltd. will acquire MCGC in a stock and cash transaction valued at approximately $175 million, or approximately $4.75 per MCGC share at closing. MCG stockholders will have the right to receive, per each share of MCG common stock, a number of shares of PennantPark Floating Rate Capital Ltd. common shares equal to $4.521 and $0.226 in cash (subject to an upward adjustment). The Boards of Directors of both companies have each unanimously approved the transaction. Consummation of the acquisition is subject to approval of both PennantPark Floating Rate Capital Ltd. and MCGC stockholders and other customary closing conditions. The transaction is expected to close during the third calendar quarter of 2015.</w:t>
      </w:r>
    </w:p>
    <w:p>
      <w:pPr>
        <w:spacing w:after="0" w:line="177" w:lineRule="exact"/>
        <w:rPr>
          <w:sz w:val="20"/>
          <w:szCs w:val="20"/>
          <w:color w:val="auto"/>
        </w:rPr>
      </w:pPr>
    </w:p>
    <w:p>
      <w:pPr>
        <w:ind w:right="300" w:firstLine="786"/>
        <w:spacing w:after="0" w:line="238" w:lineRule="auto"/>
        <w:rPr>
          <w:sz w:val="20"/>
          <w:szCs w:val="20"/>
          <w:color w:val="auto"/>
        </w:rPr>
      </w:pPr>
      <w:r>
        <w:rPr>
          <w:rFonts w:ascii="Arial" w:cs="Arial" w:eastAsia="Arial" w:hAnsi="Arial"/>
          <w:sz w:val="14"/>
          <w:szCs w:val="14"/>
          <w:color w:val="auto"/>
        </w:rPr>
        <w:t>We believe this transaction presents a unique opportunity for value creation for both PennantPark Floating Rate Capital Ltd. and MCGC stockholders. This transaction creates a larger middle-market senior floating rate capital provider with greater market coverage, access to capital, scale and diversification. We believe that our diversified portfolio composition and lending track record throughout various business cycles have positioned us to deliver value for our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120" w:firstLine="786"/>
        <w:spacing w:after="0" w:line="227" w:lineRule="auto"/>
        <w:rPr>
          <w:sz w:val="20"/>
          <w:szCs w:val="20"/>
          <w:color w:val="auto"/>
        </w:rPr>
      </w:pPr>
      <w:r>
        <w:rPr>
          <w:rFonts w:ascii="Arial" w:cs="Arial" w:eastAsia="Arial" w:hAnsi="Arial"/>
          <w:sz w:val="14"/>
          <w:szCs w:val="14"/>
          <w:color w:val="auto"/>
        </w:rPr>
        <w:t>In order to qualify as a RIC and to not be subject to corporate-level tax on income, we are required, under Subchapter M of the Code, to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6" w:lineRule="exact"/>
        <w:rPr>
          <w:sz w:val="20"/>
          <w:szCs w:val="20"/>
          <w:color w:val="auto"/>
        </w:rPr>
      </w:pPr>
    </w:p>
    <w:p>
      <w:pPr>
        <w:ind w:right="40" w:firstLine="786"/>
        <w:spacing w:after="0" w:line="231" w:lineRule="auto"/>
        <w:rPr>
          <w:sz w:val="20"/>
          <w:szCs w:val="20"/>
          <w:color w:val="auto"/>
        </w:rPr>
      </w:pPr>
      <w:r>
        <w:rPr>
          <w:rFonts w:ascii="Arial" w:cs="Arial" w:eastAsia="Arial" w:hAnsi="Arial"/>
          <w:sz w:val="14"/>
          <w:szCs w:val="14"/>
          <w:color w:val="auto"/>
        </w:rPr>
        <w:t>During the three and six months ended March 31, 2015, we declared distributions of $0.275 and $0.545 per share, respectively, for total distributions of $4.1 million and $8.1 million, respectively. For the same periods in the prior year, we declared distributions of $0.270 and $0.540 per share, respectively, for total distributions of $4.0 million and $8.0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204" w:lineRule="exact"/>
        <w:rPr>
          <w:sz w:val="20"/>
          <w:szCs w:val="20"/>
          <w:color w:val="auto"/>
        </w:rPr>
      </w:pPr>
    </w:p>
    <w:p>
      <w:pPr>
        <w:ind w:right="740" w:firstLine="786"/>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52" w:lineRule="exact"/>
        <w:rPr>
          <w:sz w:val="20"/>
          <w:szCs w:val="20"/>
          <w:color w:val="auto"/>
        </w:rPr>
      </w:pPr>
    </w:p>
    <w:p>
      <w:pPr>
        <w:ind w:right="160" w:firstLine="786"/>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85"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8"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2015, our debt portfolio consisted of 95% variable-rate investments (including 91% with a LIBOR or prime floor) and 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84" w:lineRule="exact"/>
        <w:rPr>
          <w:sz w:val="20"/>
          <w:szCs w:val="20"/>
          <w:color w:val="auto"/>
        </w:rPr>
      </w:pPr>
    </w:p>
    <w:p>
      <w:pPr>
        <w:ind w:right="220" w:firstLine="786"/>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right"/>
              <w:ind w:right="1200"/>
              <w:spacing w:after="0"/>
              <w:rPr>
                <w:sz w:val="20"/>
                <w:szCs w:val="20"/>
                <w:color w:val="auto"/>
              </w:rPr>
            </w:pPr>
            <w:r>
              <w:rPr>
                <w:rFonts w:ascii="Arial" w:cs="Arial" w:eastAsia="Arial" w:hAnsi="Arial"/>
                <w:sz w:val="14"/>
                <w:szCs w:val="14"/>
                <w:color w:val="auto"/>
                <w:w w:val="93"/>
              </w:rPr>
              <w:t>Change In Interest</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Change In Interest Rates</w:t>
            </w:r>
          </w:p>
        </w:tc>
        <w:tc>
          <w:tcPr>
            <w:tcW w:w="24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Income, Net Of Interest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gridSpan w:val="2"/>
            <w:vMerge w:val="continue"/>
          </w:tcPr>
          <w:p>
            <w:pPr>
              <w:spacing w:after="0"/>
              <w:rPr>
                <w:sz w:val="14"/>
                <w:szCs w:val="14"/>
                <w:color w:val="auto"/>
              </w:rPr>
            </w:pPr>
          </w:p>
        </w:tc>
        <w:tc>
          <w:tcPr>
            <w:tcW w:w="2420" w:type="dxa"/>
            <w:vAlign w:val="bottom"/>
            <w:gridSpan w:val="3"/>
          </w:tcPr>
          <w:p>
            <w:pPr>
              <w:ind w:left="20"/>
              <w:spacing w:after="0"/>
              <w:rPr>
                <w:sz w:val="20"/>
                <w:szCs w:val="20"/>
                <w:color w:val="auto"/>
              </w:rPr>
            </w:pPr>
            <w:r>
              <w:rPr>
                <w:rFonts w:ascii="Arial" w:cs="Arial" w:eastAsia="Arial" w:hAnsi="Arial"/>
                <w:sz w:val="14"/>
                <w:szCs w:val="14"/>
                <w:color w:val="auto"/>
              </w:rPr>
              <w:t>Expense (in thousands)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2"/>
        </w:trPr>
        <w:tc>
          <w:tcPr>
            <w:tcW w:w="1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Up 1%</w:t>
            </w:r>
          </w:p>
        </w:tc>
        <w:tc>
          <w:tcPr>
            <w:tcW w:w="3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(975)</w:t>
            </w: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Up 2%</w:t>
            </w:r>
          </w:p>
        </w:tc>
        <w:tc>
          <w:tcPr>
            <w:tcW w:w="1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040"/>
              <w:spacing w:after="0" w:line="149" w:lineRule="exact"/>
              <w:rPr>
                <w:sz w:val="20"/>
                <w:szCs w:val="20"/>
                <w:color w:val="auto"/>
              </w:rPr>
            </w:pPr>
            <w:r>
              <w:rPr>
                <w:rFonts w:ascii="Arial" w:cs="Arial" w:eastAsia="Arial" w:hAnsi="Arial"/>
                <w:sz w:val="14"/>
                <w:szCs w:val="14"/>
                <w:color w:val="auto"/>
              </w:rPr>
              <w:t>1,096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8"/>
        </w:trPr>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3%</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040"/>
              <w:spacing w:after="0" w:line="149" w:lineRule="exact"/>
              <w:rPr>
                <w:sz w:val="20"/>
                <w:szCs w:val="20"/>
                <w:color w:val="auto"/>
              </w:rPr>
            </w:pPr>
            <w:r>
              <w:rPr>
                <w:rFonts w:ascii="Arial" w:cs="Arial" w:eastAsia="Arial" w:hAnsi="Arial"/>
                <w:sz w:val="14"/>
                <w:szCs w:val="14"/>
                <w:color w:val="auto"/>
              </w:rPr>
              <w:t>3,166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82"/>
        </w:trPr>
        <w:tc>
          <w:tcPr>
            <w:tcW w:w="4740" w:type="dxa"/>
            <w:vAlign w:val="bottom"/>
            <w:gridSpan w:val="2"/>
          </w:tcPr>
          <w:p>
            <w:pPr>
              <w:spacing w:after="0"/>
              <w:rPr>
                <w:sz w:val="20"/>
                <w:szCs w:val="20"/>
                <w:color w:val="auto"/>
              </w:rPr>
            </w:pPr>
            <w:r>
              <w:rPr>
                <w:rFonts w:ascii="Arial" w:cs="Arial" w:eastAsia="Arial" w:hAnsi="Arial"/>
                <w:sz w:val="14"/>
                <w:szCs w:val="14"/>
                <w:color w:val="auto"/>
              </w:rPr>
              <w:t>Up 4%</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040"/>
              <w:spacing w:after="0"/>
              <w:rPr>
                <w:sz w:val="20"/>
                <w:szCs w:val="20"/>
                <w:color w:val="auto"/>
              </w:rPr>
            </w:pPr>
            <w:r>
              <w:rPr>
                <w:rFonts w:ascii="Arial" w:cs="Arial" w:eastAsia="Arial" w:hAnsi="Arial"/>
                <w:sz w:val="14"/>
                <w:szCs w:val="14"/>
                <w:color w:val="auto"/>
              </w:rPr>
              <w:t>5,236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160" w:firstLine="786"/>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3" w:lineRule="exact"/>
        <w:rPr>
          <w:sz w:val="20"/>
          <w:szCs w:val="20"/>
          <w:color w:val="auto"/>
        </w:rPr>
      </w:pPr>
    </w:p>
    <w:p>
      <w:pPr>
        <w:ind w:right="200" w:firstLine="786"/>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3" w:lineRule="exact"/>
        <w:rPr>
          <w:sz w:val="20"/>
          <w:szCs w:val="20"/>
          <w:color w:val="auto"/>
        </w:rPr>
      </w:pPr>
    </w:p>
    <w:p>
      <w:pPr>
        <w:jc w:val="both"/>
        <w:ind w:right="20" w:firstLine="786"/>
        <w:spacing w:after="0" w:line="264"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the benefits of lower interest rates with respect to our portfolio of investments with fixed interest rates. During the periods covered by this Report, we did not engage in interest rate hedging activities.</w:t>
      </w:r>
    </w:p>
    <w:p>
      <w:pPr>
        <w:spacing w:after="0" w:line="24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160" w:firstLine="786"/>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9" w:lineRule="exact"/>
        <w:rPr>
          <w:sz w:val="20"/>
          <w:szCs w:val="20"/>
          <w:color w:val="auto"/>
        </w:rPr>
      </w:pPr>
    </w:p>
    <w:p>
      <w:pPr>
        <w:ind w:right="200" w:firstLine="786"/>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2015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w:t>
      </w:r>
      <w:r>
        <w:rPr>
          <w:sz w:val="20"/>
          <w:szCs w:val="20"/>
          <w:color w:val="auto"/>
        </w:rPr>
        <w:tab/>
      </w:r>
      <w:r>
        <w:rPr>
          <w:rFonts w:ascii="Arial" w:cs="Arial" w:eastAsia="Arial" w:hAnsi="Arial"/>
          <w:sz w:val="14"/>
          <w:szCs w:val="14"/>
          <w:b w:val="1"/>
          <w:bCs w:val="1"/>
          <w:color w:val="auto"/>
        </w:rPr>
        <w:t>1A. Risk Factors</w:t>
      </w:r>
    </w:p>
    <w:p>
      <w:pPr>
        <w:spacing w:after="0" w:line="100"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2014,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Not Applicable.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w:t>
      </w:r>
      <w:r>
        <w:rPr>
          <w:sz w:val="20"/>
          <w:szCs w:val="20"/>
          <w:color w:val="auto"/>
        </w:rPr>
        <w:tab/>
      </w:r>
      <w:r>
        <w:rPr>
          <w:rFonts w:ascii="Arial" w:cs="Arial" w:eastAsia="Arial" w:hAnsi="Arial"/>
          <w:sz w:val="14"/>
          <w:szCs w:val="14"/>
          <w:b w:val="1"/>
          <w:bCs w:val="1"/>
          <w:color w:val="auto"/>
        </w:rPr>
        <w:t>5. Other Information</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31" w:lineRule="exact"/>
        <w:rPr>
          <w:sz w:val="20"/>
          <w:szCs w:val="20"/>
          <w:color w:val="auto"/>
        </w:rPr>
      </w:pPr>
    </w:p>
    <w:p>
      <w:pPr>
        <w:ind w:left="68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66" w:lineRule="exact"/>
        <w:rPr>
          <w:sz w:val="20"/>
          <w:szCs w:val="20"/>
          <w:color w:val="auto"/>
        </w:rPr>
      </w:pPr>
    </w:p>
    <w:p>
      <w:pPr>
        <w:ind w:left="680" w:right="1900" w:hanging="602"/>
        <w:spacing w:after="0" w:line="253" w:lineRule="auto"/>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Amended and Restated Bylaws of the Registrant (Incorporated by reference to the Registrant’s Annual Report on Form 10-K (File No. 814-00891), filed on November 14, 2013).</w:t>
      </w:r>
    </w:p>
    <w:p>
      <w:pPr>
        <w:spacing w:after="0" w:line="79" w:lineRule="exact"/>
        <w:rPr>
          <w:sz w:val="20"/>
          <w:szCs w:val="20"/>
          <w:color w:val="auto"/>
        </w:rPr>
      </w:pPr>
    </w:p>
    <w:p>
      <w:pPr>
        <w:ind w:left="680" w:right="1880"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79"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96" w:lineRule="exact"/>
        <w:rPr>
          <w:sz w:val="20"/>
          <w:szCs w:val="20"/>
          <w:color w:val="auto"/>
        </w:rPr>
      </w:pPr>
    </w:p>
    <w:p>
      <w:pPr>
        <w:ind w:left="680" w:right="286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540" w:firstLine="78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PENNANTPARK FLOATING RATE CAPITAL LTD.</w:t>
            </w:r>
          </w:p>
        </w:tc>
      </w:tr>
      <w:tr>
        <w:trPr>
          <w:trHeight w:val="350"/>
        </w:trPr>
        <w:tc>
          <w:tcPr>
            <w:tcW w:w="3320" w:type="dxa"/>
            <w:vAlign w:val="bottom"/>
          </w:tcPr>
          <w:p>
            <w:pPr>
              <w:spacing w:after="0"/>
              <w:rPr>
                <w:sz w:val="20"/>
                <w:szCs w:val="20"/>
                <w:color w:val="auto"/>
              </w:rPr>
            </w:pPr>
            <w:r>
              <w:rPr>
                <w:rFonts w:ascii="Arial" w:cs="Arial" w:eastAsia="Arial" w:hAnsi="Arial"/>
                <w:sz w:val="14"/>
                <w:szCs w:val="14"/>
                <w:color w:val="auto"/>
              </w:rPr>
              <w:t>Date: May 7, 2015</w:t>
            </w:r>
          </w:p>
        </w:tc>
        <w:tc>
          <w:tcPr>
            <w:tcW w:w="2640" w:type="dxa"/>
            <w:vAlign w:val="bottom"/>
          </w:tcPr>
          <w:p>
            <w:pPr>
              <w:ind w:left="232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/s/  Arthur H. Penn</w:t>
            </w:r>
          </w:p>
        </w:tc>
      </w:tr>
      <w:tr>
        <w:trPr>
          <w:trHeight w:val="133"/>
        </w:trPr>
        <w:tc>
          <w:tcPr>
            <w:tcW w:w="3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48"/>
        </w:trPr>
        <w:tc>
          <w:tcPr>
            <w:tcW w:w="3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r>
      <w:tr>
        <w:trPr>
          <w:trHeight w:val="186"/>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r>
      <w:tr>
        <w:trPr>
          <w:trHeight w:val="363"/>
        </w:trPr>
        <w:tc>
          <w:tcPr>
            <w:tcW w:w="3320" w:type="dxa"/>
            <w:vAlign w:val="bottom"/>
          </w:tcPr>
          <w:p>
            <w:pPr>
              <w:spacing w:after="0"/>
              <w:rPr>
                <w:sz w:val="20"/>
                <w:szCs w:val="20"/>
                <w:color w:val="auto"/>
              </w:rPr>
            </w:pPr>
            <w:r>
              <w:rPr>
                <w:rFonts w:ascii="Arial" w:cs="Arial" w:eastAsia="Arial" w:hAnsi="Arial"/>
                <w:sz w:val="14"/>
                <w:szCs w:val="14"/>
                <w:color w:val="auto"/>
              </w:rPr>
              <w:t>Date: May 7, 2015</w:t>
            </w:r>
          </w:p>
        </w:tc>
        <w:tc>
          <w:tcPr>
            <w:tcW w:w="2640" w:type="dxa"/>
            <w:vAlign w:val="bottom"/>
          </w:tcPr>
          <w:p>
            <w:pPr>
              <w:ind w:left="232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/s/  Aviv Efrat</w:t>
            </w:r>
          </w:p>
        </w:tc>
      </w:tr>
      <w:tr>
        <w:trPr>
          <w:trHeight w:val="133"/>
        </w:trPr>
        <w:tc>
          <w:tcPr>
            <w:tcW w:w="3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Aviv Efrat</w:t>
            </w:r>
          </w:p>
        </w:tc>
      </w:tr>
      <w:tr>
        <w:trPr>
          <w:trHeight w:val="149"/>
        </w:trPr>
        <w:tc>
          <w:tcPr>
            <w:tcW w:w="3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Financial Officer and Treasurer</w:t>
            </w:r>
          </w:p>
        </w:tc>
      </w:tr>
      <w:tr>
        <w:trPr>
          <w:trHeight w:val="186"/>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310"/>
        </w:trPr>
        <w:tc>
          <w:tcPr>
            <w:tcW w:w="3320" w:type="dxa"/>
            <w:vAlign w:val="bottom"/>
          </w:tcPr>
          <w:p>
            <w:pPr>
              <w:spacing w:after="0"/>
              <w:rPr>
                <w:sz w:val="24"/>
                <w:szCs w:val="24"/>
                <w:color w:val="auto"/>
              </w:rPr>
            </w:pPr>
          </w:p>
        </w:tc>
        <w:tc>
          <w:tcPr>
            <w:tcW w:w="2640" w:type="dxa"/>
            <w:vAlign w:val="bottom"/>
          </w:tcPr>
          <w:p>
            <w:pPr>
              <w:jc w:val="right"/>
              <w:ind w:right="188"/>
              <w:spacing w:after="0"/>
              <w:rPr>
                <w:sz w:val="20"/>
                <w:szCs w:val="20"/>
                <w:color w:val="auto"/>
              </w:rPr>
            </w:pPr>
            <w:r>
              <w:rPr>
                <w:rFonts w:ascii="Arial" w:cs="Arial" w:eastAsia="Arial" w:hAnsi="Arial"/>
                <w:sz w:val="14"/>
                <w:szCs w:val="14"/>
                <w:color w:val="auto"/>
              </w:rPr>
              <w:t>34</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204" w:lineRule="exact"/>
        <w:rPr>
          <w:sz w:val="20"/>
          <w:szCs w:val="20"/>
          <w:color w:val="auto"/>
        </w:rPr>
      </w:pPr>
    </w:p>
    <w:p>
      <w:pPr>
        <w:ind w:left="480" w:hanging="135"/>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203" w:lineRule="exact"/>
        <w:rPr>
          <w:rFonts w:ascii="Arial" w:cs="Arial" w:eastAsia="Arial" w:hAnsi="Arial"/>
          <w:sz w:val="14"/>
          <w:szCs w:val="14"/>
          <w:color w:val="auto"/>
        </w:rPr>
      </w:pPr>
    </w:p>
    <w:p>
      <w:pPr>
        <w:ind w:right="500" w:firstLine="345"/>
        <w:spacing w:after="0" w:line="253" w:lineRule="auto"/>
        <w:tabs>
          <w:tab w:leader="none" w:pos="481"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right="580" w:firstLine="345"/>
        <w:spacing w:after="0" w:line="253" w:lineRule="auto"/>
        <w:tabs>
          <w:tab w:leader="none" w:pos="481"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right="180" w:firstLine="345"/>
        <w:spacing w:after="0" w:line="253" w:lineRule="auto"/>
        <w:tabs>
          <w:tab w:leader="none" w:pos="481"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4"/>
          <w:szCs w:val="14"/>
          <w:color w:val="auto"/>
        </w:rPr>
      </w:pPr>
    </w:p>
    <w:p>
      <w:pPr>
        <w:jc w:val="both"/>
        <w:ind w:right="260" w:firstLine="794"/>
        <w:spacing w:after="0" w:line="335" w:lineRule="auto"/>
        <w:tabs>
          <w:tab w:leader="none" w:pos="934"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5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3"/>
          <w:szCs w:val="13"/>
          <w:color w:val="auto"/>
        </w:rPr>
      </w:pPr>
    </w:p>
    <w:p>
      <w:pPr>
        <w:ind w:right="340" w:firstLine="345"/>
        <w:spacing w:after="0" w:line="253" w:lineRule="auto"/>
        <w:tabs>
          <w:tab w:leader="none" w:pos="481"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right="600" w:firstLine="794"/>
        <w:spacing w:after="0" w:line="563" w:lineRule="auto"/>
        <w:tabs>
          <w:tab w:leader="none" w:pos="934" w:val="left"/>
        </w:tabs>
        <w:numPr>
          <w:ilvl w:val="1"/>
          <w:numId w:val="1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May 7, 2015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204" w:lineRule="exact"/>
        <w:rPr>
          <w:sz w:val="20"/>
          <w:szCs w:val="20"/>
          <w:color w:val="auto"/>
        </w:rPr>
      </w:pPr>
    </w:p>
    <w:p>
      <w:pPr>
        <w:ind w:left="480" w:hanging="13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203" w:lineRule="exact"/>
        <w:rPr>
          <w:rFonts w:ascii="Arial" w:cs="Arial" w:eastAsia="Arial" w:hAnsi="Arial"/>
          <w:sz w:val="14"/>
          <w:szCs w:val="14"/>
          <w:color w:val="auto"/>
        </w:rPr>
      </w:pPr>
    </w:p>
    <w:p>
      <w:pPr>
        <w:ind w:right="500" w:firstLine="345"/>
        <w:spacing w:after="0" w:line="253" w:lineRule="auto"/>
        <w:tabs>
          <w:tab w:leader="none" w:pos="481"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right="580" w:firstLine="345"/>
        <w:spacing w:after="0" w:line="253" w:lineRule="auto"/>
        <w:tabs>
          <w:tab w:leader="none" w:pos="481"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right="180" w:firstLine="345"/>
        <w:spacing w:after="0" w:line="253" w:lineRule="auto"/>
        <w:tabs>
          <w:tab w:leader="none" w:pos="48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73" w:lineRule="exact"/>
        <w:rPr>
          <w:rFonts w:ascii="Arial" w:cs="Arial" w:eastAsia="Arial" w:hAnsi="Arial"/>
          <w:sz w:val="14"/>
          <w:szCs w:val="14"/>
          <w:color w:val="auto"/>
        </w:rPr>
      </w:pPr>
    </w:p>
    <w:p>
      <w:pPr>
        <w:jc w:val="both"/>
        <w:ind w:right="260" w:firstLine="794"/>
        <w:spacing w:after="0" w:line="335" w:lineRule="auto"/>
        <w:tabs>
          <w:tab w:leader="none" w:pos="934"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5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3"/>
          <w:szCs w:val="13"/>
          <w:color w:val="auto"/>
        </w:rPr>
      </w:pPr>
    </w:p>
    <w:p>
      <w:pPr>
        <w:ind w:right="340" w:firstLine="345"/>
        <w:spacing w:after="0" w:line="253" w:lineRule="auto"/>
        <w:tabs>
          <w:tab w:leader="none" w:pos="48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right="600" w:firstLine="794"/>
        <w:spacing w:after="0" w:line="56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May 7, 2015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right="40" w:firstLine="768"/>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2015,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52" w:lineRule="exact"/>
        <w:rPr>
          <w:sz w:val="20"/>
          <w:szCs w:val="20"/>
          <w:color w:val="auto"/>
        </w:rPr>
      </w:pPr>
    </w:p>
    <w:p>
      <w:pPr>
        <w:ind w:left="760" w:hanging="415"/>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03" w:lineRule="exact"/>
        <w:rPr>
          <w:rFonts w:ascii="Arial" w:cs="Arial" w:eastAsia="Arial" w:hAnsi="Arial"/>
          <w:sz w:val="14"/>
          <w:szCs w:val="14"/>
          <w:color w:val="auto"/>
        </w:rPr>
      </w:pPr>
    </w:p>
    <w:p>
      <w:pPr>
        <w:ind w:left="760" w:hanging="415"/>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May 7, 2015</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right="40" w:firstLine="768"/>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2015,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152" w:lineRule="exact"/>
        <w:rPr>
          <w:sz w:val="20"/>
          <w:szCs w:val="20"/>
          <w:color w:val="auto"/>
        </w:rPr>
      </w:pPr>
    </w:p>
    <w:p>
      <w:pPr>
        <w:ind w:left="760" w:hanging="415"/>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03" w:lineRule="exact"/>
        <w:rPr>
          <w:rFonts w:ascii="Arial" w:cs="Arial" w:eastAsia="Arial" w:hAnsi="Arial"/>
          <w:sz w:val="14"/>
          <w:szCs w:val="14"/>
          <w:color w:val="auto"/>
        </w:rPr>
      </w:pPr>
    </w:p>
    <w:p>
      <w:pPr>
        <w:ind w:left="760" w:hanging="415"/>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May 7,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2020-05-05T12:06:29Z</dcterms:created>
  <dcterms:modified xsi:type="dcterms:W3CDTF">2020-05-05T12:06:29Z</dcterms:modified>
</cp:coreProperties>
</file>