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1225.htm"/>
      <w:bookmarkStart w:id="1" w:name="ksf8k_0512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12,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r>
        <w:rPr>
          <w:sz w:val="20"/>
        </w:rPr>
        <w:t>On May 12, 2025, PennantPark Floating Rate Capital Ltd., or the Company, issued a press release announcing its financial results for the second fiscal quarter ended March 31, 2025. A copy of the press release is furnished as Exhibit 99.1 to this report pursuant to Item 2.02 on Form 8-K and Regulation FD.</w:t>
      </w:r>
    </w:p>
    <w:p>
      <w:pPr>
        <w:pStyle w:val="TextBody"/>
        <w:bidi w:val="0"/>
        <w:spacing w:before="0" w:after="283"/>
        <w:jc w:val="left"/>
        <w:rPr/>
      </w:pPr>
      <w:r>
        <w:rPr/>
        <w:t>       </w:t>
      </w:r>
      <w:r>
        <w:rPr>
          <w:sz w:val="20"/>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 xml:space="preserve">Forward-Looking Statements </w:t>
      </w:r>
    </w:p>
    <w:p>
      <w:pPr>
        <w:pStyle w:val="TextBody"/>
        <w:bidi w:val="0"/>
        <w:spacing w:before="0" w:after="283"/>
        <w:jc w:val="left"/>
        <w:rPr/>
      </w:pPr>
      <w:r>
        <w:rPr/>
        <w:t>       </w:t>
      </w:r>
      <w:r>
        <w:rPr>
          <w:sz w:val="20"/>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       </w:t>
      </w:r>
      <w:r>
        <w:rPr>
          <w:sz w:val="20"/>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 xml:space="preserve">(a) Financial statements: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(b) Pro forma financial information: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(c) Shell company transactions: </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May 12,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034" w:type="dxa"/>
        <w:jc w:val="left"/>
        <w:tblInd w:w="0" w:type="dxa"/>
        <w:tblLayout w:type="fixed"/>
        <w:tblCellMar>
          <w:top w:w="0" w:type="dxa"/>
          <w:left w:w="0" w:type="dxa"/>
          <w:bottom w:w="0" w:type="dxa"/>
          <w:right w:w="0" w:type="dxa"/>
        </w:tblCellMar>
      </w:tblPr>
      <w:tblGrid>
        <w:gridCol w:w="1640"/>
        <w:gridCol w:w="383"/>
        <w:gridCol w:w="3011"/>
      </w:tblGrid>
      <w:tr>
        <w:trPr/>
        <w:tc>
          <w:tcPr>
            <w:tcW w:w="164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64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sz w:val="20"/>
              </w:rPr>
            </w:pPr>
            <w:r>
              <w:rPr>
                <w:sz w:val="20"/>
              </w:rPr>
              <w:t>Date: May 12,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64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64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64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Financial Results for the Second Quarter Ended March 31, 2025</w:t>
      </w:r>
    </w:p>
    <w:p>
      <w:pPr>
        <w:pStyle w:val="TextBody"/>
        <w:bidi w:val="0"/>
        <w:jc w:val="left"/>
        <w:rPr/>
      </w:pPr>
      <w:r>
        <w:rPr/>
        <w:t>MIAMI, May 12, 2025 (GLOBE NEWSWIRE) -- PennantPark Floating Rate Capital Ltd. (NYSE: PFLT) announced today its financial results for the second quarter ended March 31, 2025.</w:t>
      </w:r>
    </w:p>
    <w:tbl>
      <w:tblPr>
        <w:tblW w:w="7567" w:type="dxa"/>
        <w:jc w:val="center"/>
        <w:tblInd w:w="0" w:type="dxa"/>
        <w:tblLayout w:type="fixed"/>
        <w:tblCellMar>
          <w:top w:w="28" w:type="dxa"/>
          <w:left w:w="28" w:type="dxa"/>
          <w:bottom w:w="28" w:type="dxa"/>
          <w:right w:w="28" w:type="dxa"/>
        </w:tblCellMar>
      </w:tblPr>
      <w:tblGrid>
        <w:gridCol w:w="5656"/>
        <w:gridCol w:w="146"/>
        <w:gridCol w:w="146"/>
        <w:gridCol w:w="146"/>
        <w:gridCol w:w="226"/>
        <w:gridCol w:w="826"/>
        <w:gridCol w:w="421"/>
      </w:tblGrid>
      <w:tr>
        <w:trPr/>
        <w:tc>
          <w:tcPr>
            <w:tcW w:w="5656" w:type="dxa"/>
            <w:tcBorders/>
            <w:vAlign w:val="center"/>
          </w:tcPr>
          <w:p>
            <w:pPr>
              <w:pStyle w:val="TableContents"/>
              <w:bidi w:val="0"/>
              <w:spacing w:before="0" w:after="283"/>
              <w:jc w:val="left"/>
              <w:rPr/>
            </w:pPr>
            <w:r>
              <w:rPr>
                <w:rStyle w:val="StrongEmphasis"/>
              </w:rPr>
              <w:t>HIGHLIGHTS</w:t>
            </w:r>
            <w:r>
              <w:rPr/>
              <w:br/>
              <w:t>Quarter ended March 31, 2025 (Unaudited)</w:t>
              <w:br/>
              <w:t>($ in millions, except per share amounts)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Assets and Liabilities: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2,344.1</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1,067.1</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GAAP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11.07</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Quarterly change in GAAP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(2.4</w:t>
            </w:r>
          </w:p>
        </w:tc>
        <w:tc>
          <w:tcPr>
            <w:tcW w:w="421" w:type="dxa"/>
            <w:tcBorders/>
            <w:vAlign w:val="center"/>
          </w:tcPr>
          <w:p>
            <w:pPr>
              <w:pStyle w:val="TableContents"/>
              <w:bidi w:val="0"/>
              <w:spacing w:before="0" w:after="283"/>
              <w:jc w:val="left"/>
              <w:rPr/>
            </w:pPr>
            <w:r>
              <w:rPr/>
              <w:t>)%</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Adjusted net asset value per share</w:t>
            </w:r>
            <w:r>
              <w:rPr>
                <w:position w:val="8"/>
                <w:sz w:val="19"/>
              </w:rPr>
              <w:t xml:space="preserve"> (2)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11.07</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Quarterly change in adjusted net asset value per share </w:t>
            </w:r>
            <w:r>
              <w:rPr>
                <w:position w:val="8"/>
                <w:sz w:val="19"/>
              </w:rPr>
              <w:t>(2)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(2.4</w:t>
            </w:r>
          </w:p>
        </w:tc>
        <w:tc>
          <w:tcPr>
            <w:tcW w:w="421" w:type="dxa"/>
            <w:tcBorders/>
            <w:vAlign w:val="center"/>
          </w:tcPr>
          <w:p>
            <w:pPr>
              <w:pStyle w:val="TableContents"/>
              <w:bidi w:val="0"/>
              <w:spacing w:before="0" w:after="283"/>
              <w:jc w:val="left"/>
              <w:rPr/>
            </w:pPr>
            <w:r>
              <w:rPr/>
              <w:t>)%</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Credit Facility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273.8</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2036 Asset-Backed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284.4</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2036-R Asset-Backed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265.3</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2026 Notes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184.2</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2037 Asset-Backed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358.1</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Regulatory debt to equity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1.29x</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Weighted average yield on debt investments at quarter-end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10.5</w:t>
            </w:r>
          </w:p>
        </w:tc>
        <w:tc>
          <w:tcPr>
            <w:tcW w:w="421" w:type="dxa"/>
            <w:tcBorders/>
            <w:vAlign w:val="center"/>
          </w:tcPr>
          <w:p>
            <w:pPr>
              <w:pStyle w:val="TableContents"/>
              <w:bidi w:val="0"/>
              <w:spacing w:before="0" w:after="283"/>
              <w:jc w:val="left"/>
              <w:rPr/>
            </w:pPr>
            <w:r>
              <w:rPr/>
              <w:t>%</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Operating Results: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25.0</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 per share (GAAP)</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0.28</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0.28</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0.31</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Portfolio Activity: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293.3</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122.4</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PSSL Portfolio data: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PSSL investment portfolio</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1,060.2</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60.0</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36.8</w:t>
            </w:r>
          </w:p>
        </w:tc>
        <w:tc>
          <w:tcPr>
            <w:tcW w:w="421" w:type="dxa"/>
            <w:tcBorders/>
            <w:vAlign w:val="center"/>
          </w:tcPr>
          <w:p>
            <w:pPr>
              <w:pStyle w:val="TableContents"/>
              <w:bidi w:val="0"/>
              <w:spacing w:before="0" w:after="283"/>
              <w:jc w:val="left"/>
              <w:rPr/>
            </w:pPr>
            <w:r>
              <w:rPr/>
              <w:t> </w:t>
            </w:r>
          </w:p>
        </w:tc>
      </w:tr>
    </w:tbl>
    <w:p>
      <w:pPr>
        <w:pStyle w:val="TextBody"/>
        <w:bidi w:val="0"/>
        <w:jc w:val="both"/>
        <w:rPr/>
      </w:pPr>
      <w:r>
        <w:rPr/>
        <w:t>(1)    Includes investments in PennantPark Senior Secured Loan Fund I LLC, or PSSL, an unconsolidated joint venture, totaling $297.3 million, at fair value.</w:t>
      </w:r>
    </w:p>
    <w:p>
      <w:pPr>
        <w:pStyle w:val="TextBody"/>
        <w:bidi w:val="0"/>
        <w:jc w:val="both"/>
        <w:rPr/>
      </w:pPr>
      <w:r>
        <w:rPr/>
        <w:t>(2)    This is a non-GAAP financial measure. The Company believes that this number provides useful information to investors and management because it reflects the Company’s financial performance excluding the impact of the unrealized amounts on the Credit Facility. The presentation of this additional information is not meant to be considered in isolation or as a substitute for financial results prepared in accordance with GAAP.</w:t>
      </w:r>
    </w:p>
    <w:p>
      <w:pPr>
        <w:pStyle w:val="TextBody"/>
        <w:bidi w:val="0"/>
        <w:jc w:val="both"/>
        <w:rPr/>
      </w:pPr>
      <w:r>
        <w:rPr/>
        <w:t>(3)    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2025, Core NII excluded: i) $0.4m of credit facility amendment costs and ii) $0.1m of incentive fee expense offset.</w:t>
      </w:r>
    </w:p>
    <w:p>
      <w:pPr>
        <w:pStyle w:val="TextBody"/>
        <w:bidi w:val="0"/>
        <w:jc w:val="both"/>
        <w:rPr/>
      </w:pPr>
      <w:r>
        <w:rPr>
          <w:rStyle w:val="StrongEmphasis"/>
        </w:rPr>
        <w:t xml:space="preserve">CONFERENCE CALL AT 9:00 A.M. ET ON May 13, 2025 </w:t>
      </w:r>
    </w:p>
    <w:p>
      <w:pPr>
        <w:pStyle w:val="TextBody"/>
        <w:bidi w:val="0"/>
        <w:jc w:val="both"/>
        <w:rPr/>
      </w:pPr>
      <w:r>
        <w:rPr/>
        <w:t>PennantPark Floating Rate Capital Ltd. ("we", "our", "us", or the "Company") will also host a conference call at 9:00 a.m. (Eastern Time) on Tuesday May 13, 2025 to discuss its financial results. All interested parties are welcome to participate. You can access the conference call by dialing toll-free (888) 394-8218 approximately 5-10 minutes prior to the call. International callers should dial (929) 477-0402. All callers should reference conference ID #6661250 or PennantPark Floating Rate Capital Ltd.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w:t>
      </w:r>
      <w:r>
        <w:rPr/>
        <w:t>We are pleased that we significantly increased our financial strength during the quarter. A lower cost credit facility, a new low cost long term securitization, new low cost securitization at our PSSL JV and additional equity capital at PFLT have positioned us well to take advantage of the upcoming attractive vintage of new loans," said Art Penn, Chairman and CEO. "Additionally, we are pleased that our senior secured loan portfolio, with among the lowest portfolio company leverage and most meaningful covenants in the industry, is positioned defensively and continues to perform well."</w:t>
      </w:r>
    </w:p>
    <w:p>
      <w:pPr>
        <w:pStyle w:val="TextBody"/>
        <w:bidi w:val="0"/>
        <w:jc w:val="both"/>
        <w:rPr/>
      </w:pPr>
      <w:r>
        <w:rPr/>
        <w:t>As of March 31, 2025, our portfolio totaled $2,344.1 million, and consisted of $2,100.2 million of first lien secured debt (including $237.7 million in PSSL), $4.4 million of subordinated debt and $239.5 million of preferred and common equity (including $59.6 million in PSSL). Our debt portfolio consisted of approximately 100% variable-rate investments. As of March 31, 2025, we had four portfolio companies on non-accrual, representing 2.2% and 1.2% of our overall portfolio on a cost and fair value basis, respectively. As of March 31, 2025, the portfolio had net unrealized depreciation of $61.2 million. Our overall portfolio consisted of 159 companies with an average investment size of $14.7 million and had a weighted average yield on debt investments of 10.5%.</w:t>
      </w:r>
    </w:p>
    <w:p>
      <w:pPr>
        <w:pStyle w:val="TextBody"/>
        <w:bidi w:val="0"/>
        <w:jc w:val="both"/>
        <w:rPr/>
      </w:pPr>
      <w:r>
        <w:rPr/>
        <w:t>As of September 30, 2024, our portfolio totaled $1,983.5 million and consisted of $1,746.7 million of first lien secured debt (including $237.7 million in PSSL),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of our overall portfolio on a cost and fair value basis, respectively. As of September 30, 2024, the portfolio had net unrealized depreciation of $11.4 million. Our overall portfolio consisted of 158 companies with an average investment size of $12.6 million, and a weighted average yield on debt investments of 11.5%.</w:t>
      </w:r>
    </w:p>
    <w:p>
      <w:pPr>
        <w:pStyle w:val="TextBody"/>
        <w:bidi w:val="0"/>
        <w:jc w:val="both"/>
        <w:rPr/>
      </w:pPr>
      <w:r>
        <w:rPr/>
        <w:t>For the three months ended March 31, 2025, we invested $293.3 million in three new and 54 existing portfolio companies at a weighted average yield on debt investments of 9.9%. Sales and repayments of investments for the same period totaled $122.4 million including $52.9 million of sales to PSSL. For the six months ended March 31, 2025, we invested $900.2 million in 14 new and 96 existing portfolio companies with a weighted average yield on debt investments of 10.2%. Sales and repayments of investments for the same period totaled $523.7 million, including $240.6 million of sales to PSSL.</w:t>
      </w:r>
    </w:p>
    <w:p>
      <w:pPr>
        <w:pStyle w:val="TextBody"/>
        <w:bidi w:val="0"/>
        <w:jc w:val="both"/>
        <w:rPr/>
      </w:pPr>
      <w:r>
        <w:rPr/>
        <w:t>For the three months ended March 31, 2024, we invested $338.3 million in 11 new and 48 existing portfolio companies at a weighted average yield on debt investments of 11.6%. For the three months ended March 31, 2024, sales and repayments of investments totaled $144.8 million, including $77.2 million of sales to PSSL. For the six months ended March 31, 2024, we invested $640.9 million in 24 new and 64 existing portfolio companies at a weighted average yield on debt investments of 11.8%. For the six months ended March 31, 2024, sales and repayments of investments totaled $248.7 million, including $139.9 million of sales to PSSL.</w:t>
      </w:r>
    </w:p>
    <w:p>
      <w:pPr>
        <w:pStyle w:val="TextBody"/>
        <w:bidi w:val="0"/>
        <w:jc w:val="both"/>
        <w:rPr/>
      </w:pPr>
      <w:r>
        <w:rPr>
          <w:rStyle w:val="StrongEmphasis"/>
        </w:rPr>
        <w:t>PennantPark Senior Secured Loan Fund I LLC</w:t>
      </w:r>
    </w:p>
    <w:p>
      <w:pPr>
        <w:pStyle w:val="TextBody"/>
        <w:bidi w:val="0"/>
        <w:jc w:val="both"/>
        <w:rPr/>
      </w:pPr>
      <w:r>
        <w:rPr/>
        <w:t>As of March 31, 2025, PSSL’s portfolio totaled $1,060.2 million, consisted of 118 companies with an average investment size of $9.0 million and had a weighted average yield on debt investments of 10.5%. As of September 30, 2024, PSSL’s portfolio totaled $913.3 million, consisted of 109 companies with an average investment size of $8.4 million and had a weighted average yield on debt investments of 11.4%.</w:t>
      </w:r>
    </w:p>
    <w:p>
      <w:pPr>
        <w:pStyle w:val="TextBody"/>
        <w:bidi w:val="0"/>
        <w:jc w:val="both"/>
        <w:rPr/>
      </w:pPr>
      <w:r>
        <w:rPr/>
        <w:t>For the three months ended March 31, 2025, PSSL invested $60.0 million (including $52.9 million purchase from the Company) in four new and five existing portfolio companies with a weighted average yield on debt investments of 9.8%. PSSL’s sales and repayments of investments for the same period totaled $36.8 million. For the six months ended March 31, 2025, PSSL invested $284.9 million (including $240.6 million purchased from the Company) in 21 new and 12 existing portfolio companies with a weighted average yield on debt investments of 10.2%. PSSL’s sales and repayments of investments for the same period totaled $123.4 million.</w:t>
      </w:r>
    </w:p>
    <w:p>
      <w:pPr>
        <w:pStyle w:val="TextBody"/>
        <w:bidi w:val="0"/>
        <w:jc w:val="both"/>
        <w:rPr/>
      </w:pPr>
      <w:r>
        <w:rPr/>
        <w:t>For the three months ended March 31, 2024, PSSL invested $80.1 million (including $77.2 million purchased from the Company) in six new and four existing portfolio companies at a weighted average yield on debt investments of 11.6%. Sales and repayments of investments for the three months ended March 31, 2024 totaled $49.5 million. For the six months ended March 31, 2024, PSSL invested $155.9 million (including $139.9 million purchased from the Company) in 10 new and 11 existing portfolio companies at a weighted average yield on debt investments of 11.9%. Sales and repayments of investments for the six months ended March 31, 2024 totaled $77.2 million.</w:t>
      </w:r>
    </w:p>
    <w:p>
      <w:pPr>
        <w:pStyle w:val="TextBody"/>
        <w:bidi w:val="0"/>
        <w:jc w:val="both"/>
        <w:rPr/>
      </w:pPr>
      <w:r>
        <w:rPr>
          <w:rStyle w:val="StrongEmphasis"/>
        </w:rPr>
        <w:t xml:space="preserve">RESULTS OF OPERATIONS </w:t>
      </w:r>
    </w:p>
    <w:p>
      <w:pPr>
        <w:pStyle w:val="TextBody"/>
        <w:bidi w:val="0"/>
        <w:jc w:val="left"/>
        <w:rPr/>
      </w:pPr>
      <w:r>
        <w:rPr/>
        <w:t>Set forth below are the results of operations for the three and six months ended March 31, 2025 and 2024.</w:t>
      </w:r>
    </w:p>
    <w:p>
      <w:pPr>
        <w:pStyle w:val="TextBody"/>
        <w:bidi w:val="0"/>
        <w:jc w:val="both"/>
        <w:rPr/>
      </w:pPr>
      <w:r>
        <w:rPr>
          <w:rStyle w:val="StrongEmphasis"/>
        </w:rPr>
        <w:t>Investment Income</w:t>
      </w:r>
    </w:p>
    <w:p>
      <w:pPr>
        <w:pStyle w:val="TextBody"/>
        <w:bidi w:val="0"/>
        <w:jc w:val="both"/>
        <w:rPr/>
      </w:pPr>
      <w:r>
        <w:rPr/>
        <w:t>For the three and six months ended March 31, 2025 investment income was $61.9 million and $128.9 million, respectively, which was attributable to $56.2 million and $117.2 million from first lien secured debt and $5.7 million and $11.7 million from other investments, respectively. For the three and six months ended March 31, 2024, investment income was $44.4 million and $82.3 million, respectively, which was attributable to $39.0 million and $72.2 million from first lien secured debt and $5.4 million and $10.1 million from other investments, respectively. The increase in investment income for the three and six months ended March 31, 2025, was primarily due to the increase in the size of the debt portfolio.</w:t>
      </w:r>
    </w:p>
    <w:p>
      <w:pPr>
        <w:pStyle w:val="TextBody"/>
        <w:bidi w:val="0"/>
        <w:jc w:val="both"/>
        <w:rPr/>
      </w:pPr>
      <w:r>
        <w:rPr>
          <w:rStyle w:val="StrongEmphasis"/>
        </w:rPr>
        <w:t>Expenses</w:t>
      </w:r>
    </w:p>
    <w:p>
      <w:pPr>
        <w:pStyle w:val="TextBody"/>
        <w:bidi w:val="0"/>
        <w:jc w:val="both"/>
        <w:rPr/>
      </w:pPr>
      <w:r>
        <w:rPr/>
        <w:t>For the three and six months ended March 31, 2025, expenses totaled $36.9 million and $74.0 million, respectively and were comprised of: $22.5 million and $44.9 million of debt related interest and expenses, $5.6 million and $10.9 million of base management fees, $6.3 million and $13.8 million of performance-based incentive fees, $1.9 million and $3.6 million of general and administrative expenses, $0.2 million and $0.5 million of taxes and $0.4 million and $0.4 million in Credit Facility amendment costs. For the three and six months ended March 31, 2024, expenses totaled $25.3 million and $43.8 million, respectively and were comprised of: $14.7 million and $23.6 million of debt related interest and expenses, $3.4 million and $6.4 million of base management fees, $4.8 million and $9.6 million of performance-based incentive fees, $1.8 million and $3.5 million of general and administrative expenses and $0.5 million and $0.7 million of taxes. The increase in expenses for the three and six months ended March 31, 2025, was primarily due to the increase in interest expense from increased borrowings and an increase in base management fees and incentive fee as a result of the increase in our investment portfolio.</w:t>
      </w:r>
    </w:p>
    <w:p>
      <w:pPr>
        <w:pStyle w:val="TextBody"/>
        <w:bidi w:val="0"/>
        <w:jc w:val="both"/>
        <w:rPr/>
      </w:pPr>
      <w:r>
        <w:rPr>
          <w:rStyle w:val="StrongEmphasis"/>
        </w:rPr>
        <w:t>Net Investment Income</w:t>
      </w:r>
    </w:p>
    <w:p>
      <w:pPr>
        <w:pStyle w:val="TextBody"/>
        <w:bidi w:val="0"/>
        <w:jc w:val="both"/>
        <w:rPr/>
      </w:pPr>
      <w:r>
        <w:rPr/>
        <w:t>For the three and six months ended March 31, 2025 net investment income totaled $25.0 million or $0.28 per share, and $55.0 million or $0.64 per share, respectively. For the three and six months ended March 31, 2024, net investment income totaled $19.1 million or $0.31 per share, and $38.5 million or $0.64 per share, respectively. The increase in net investment income for the three and six months ended March 31, 2025, was primarily due to an increase in investment income partially offset by an increase in expenses.</w:t>
      </w:r>
    </w:p>
    <w:p>
      <w:pPr>
        <w:pStyle w:val="TextBody"/>
        <w:bidi w:val="0"/>
        <w:jc w:val="both"/>
        <w:rPr/>
      </w:pPr>
      <w:r>
        <w:rPr>
          <w:rStyle w:val="StrongEmphasis"/>
        </w:rPr>
        <w:t>Net Realized Gains or Losses</w:t>
      </w:r>
    </w:p>
    <w:p>
      <w:pPr>
        <w:pStyle w:val="TextBody"/>
        <w:bidi w:val="0"/>
        <w:jc w:val="both"/>
        <w:rPr/>
      </w:pPr>
      <w:r>
        <w:rPr/>
        <w:t>For the three and six months ended March 31, 2025 net realized gains (losses) totaled $(3.5) million and $23.1 million, respectively. For the three and six months ended March 31, 2024, net realized gains (losses) totaled $4.0 million and $0.9 million, respectively. The change in net realized gains (losses) was primarily due to changes in the market conditions of our investments and the values at which they were realized.</w:t>
      </w:r>
    </w:p>
    <w:p>
      <w:pPr>
        <w:pStyle w:val="TextBody"/>
        <w:bidi w:val="0"/>
        <w:jc w:val="left"/>
        <w:rPr/>
      </w:pPr>
      <w:r>
        <w:rPr>
          <w:rStyle w:val="StrongEmphasis"/>
        </w:rPr>
        <w:t>Unrealized Appreciation or Depreciation on Investments and Debt</w:t>
      </w:r>
    </w:p>
    <w:p>
      <w:pPr>
        <w:pStyle w:val="TextBody"/>
        <w:bidi w:val="0"/>
        <w:jc w:val="both"/>
        <w:rPr/>
      </w:pPr>
      <w:r>
        <w:rPr/>
        <w:t>For the three and six months ended March 31, 2025 we reported net change in unrealized appreciation (depreciation) on investments of $(20.8) million and $(49.7) million, respectively. For the three and six months ended March 31, 2024, we reported net change in unrealized appreciation (depreciation) on investments of $7.7 million and $13.9 million, respectively. As of March 31, 2025 and September 30, 2024, our net unrealized appreciation (depreciation) on investments totaled $(61.2) million and $(11.4)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pStyle w:val="TextBody"/>
        <w:bidi w:val="0"/>
        <w:jc w:val="both"/>
        <w:rPr/>
      </w:pPr>
      <w:r>
        <w:rPr/>
        <w:t>For the three and six months ended March 31, 2025, our Credit Facility had a net change in unrealized appreciation (depreciation) of less than $0.1 million and $0.1 million, respectively. For the three and six months ended March 31, 2024, our Credit Facility had a net change in unrealized appreciation (depreciation) of less than $0.1 million and ($0.1) million, respectively. As of March 31, 2025 and September 30, 2024, the net unrealized appreciation (depreciation) on the Credit Facility totaled approximately $0.1 million and zero, respectively. The net change in net unrealized (appreciation) or depreciation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six months ended March 31, 2025, net increase (decrease) in net assets resulting from operations totaled $1.2 million or $0.01 per share and $29.6 million or $0.34 per share, respectively. For the three and six months ended March 31, 2024, net increase (decrease) in net assets resulting from operations totaled $31.1 million or $0.51 per share and $53.6 million, or $0.89 per share, respectively. The net increase or (decrease) from operations for the three and six months ended March 31, 2025, was primarily due to operating performance of our portfolio and changes in capital market conditions of our investments along with change in size and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pStyle w:val="TextBody"/>
        <w:bidi w:val="0"/>
        <w:jc w:val="both"/>
        <w:rPr/>
      </w:pPr>
      <w:r>
        <w:rPr/>
        <w:t>In February 2025 the Company, through the 2037 Securitization Issuer, completed a $474.6 million term debt securitization of which we retained $85.1 million of subordinated notes and $28.5 million of BBB-(sf) Class D Notes of the debt securitization. The weighted average credit spread is 1.59%. This 2037 Asset-Backed Debt is scheduled to mature on April 20, 2037.</w:t>
      </w:r>
    </w:p>
    <w:p>
      <w:pPr>
        <w:pStyle w:val="TextBody"/>
        <w:bidi w:val="0"/>
        <w:jc w:val="both"/>
        <w:rPr/>
      </w:pPr>
      <w:r>
        <w:rPr/>
        <w:t>For the six months ended March 31, 2025 and 2024, the annualized weighted average cost of debt, inclusive of the fee on the undrawn commitment on the Credit Facility, amendment costs and debt issuance costs, was 6.8% and 7.1%, respectively. As of March 31, 2025 and September 30, 2024, we had $462.1 million and $192.1 million of unused borrowing capacity under the Credit Facility, respectively, subject to leverage and borrowing base restrictions.</w:t>
      </w:r>
    </w:p>
    <w:p>
      <w:pPr>
        <w:pStyle w:val="TextBody"/>
        <w:bidi w:val="0"/>
        <w:jc w:val="both"/>
        <w:rPr/>
      </w:pPr>
      <w:r>
        <w:rPr/>
        <w:t>As of March 31, 2025 and September 30, 2024, we had cash equivalents of $111.4 million and $112.1 million, respectively, available for investing and general corporate purposes. We believe our liquidity and capital resources are sufficient to take advantage of market opportunities.</w:t>
      </w:r>
    </w:p>
    <w:p>
      <w:pPr>
        <w:pStyle w:val="TextBody"/>
        <w:bidi w:val="0"/>
        <w:jc w:val="both"/>
        <w:rPr/>
      </w:pPr>
      <w:r>
        <w:rPr/>
        <w:t>During the three and six months ended March 31, 2025 we issued 11,562,000 shares and 18,838,000 shares of our common stock through the 2024 ATM Program, respectively at an average price of $11.34 per share and $11.35 per share raising $131.0 million and $213.2 million of net proceeds after commissions to the Sales Agents and inclusive of proceeds from the Investment Adviser to ensure that all shares were sold at or above NAV, respectively. During the three and six months ended March 31, 2024, we issued 4,493,436 shares of common stock through the 2022 ATM Program at an average price of $11.35 per share, raising $51.0 million of net proceeds after commissions to the Sales Agents and inclusive of proceeds from the Investment Adviser to ensure that all shares were sold at or above NAV, respectively.</w:t>
      </w:r>
    </w:p>
    <w:p>
      <w:pPr>
        <w:pStyle w:val="TextBody"/>
        <w:bidi w:val="0"/>
        <w:jc w:val="both"/>
        <w:rPr/>
      </w:pPr>
      <w:r>
        <w:rPr/>
        <w:t>For the six months ended March 31, 2025, our operating activities used cash of $350.8 million and our financing activities provided cash of $350.1 million. Our operating activities used cash primarily due to our investment activities and our financing activities provided cash primarily due to borrowings under our Credit Facility, proceeds from the 2037 Asset-Backed debt and proceeds from the public offerings under our 2024 ATM Program.</w:t>
      </w:r>
    </w:p>
    <w:p>
      <w:pPr>
        <w:pStyle w:val="TextBody"/>
        <w:bidi w:val="0"/>
        <w:jc w:val="both"/>
        <w:rPr/>
      </w:pPr>
      <w:r>
        <w:rPr/>
        <w:t>For the six months ended March 31, 2024, our operating activities used cash of $354.5 million and our financing activities provided cash of $379.2 million. Our operating activities used cash primarily due to our investment activities and our financing activities provided cash primarily due to borrowings under the Credit Facility and proceeds from the 2036 Asset-Backed debt partially offset by the repayment of the 2023 Notes.</w:t>
      </w:r>
    </w:p>
    <w:p>
      <w:pPr>
        <w:pStyle w:val="TextBody"/>
        <w:bidi w:val="0"/>
        <w:jc w:val="both"/>
        <w:rPr/>
      </w:pPr>
      <w:r>
        <w:rPr>
          <w:rStyle w:val="StrongEmphasis"/>
        </w:rPr>
        <w:t>DISTRIBUTIONS</w:t>
      </w:r>
    </w:p>
    <w:p>
      <w:pPr>
        <w:pStyle w:val="TextBody"/>
        <w:bidi w:val="0"/>
        <w:jc w:val="both"/>
        <w:rPr/>
      </w:pPr>
      <w:r>
        <w:rPr/>
        <w:t>During the three and six months ended March 31, 2025 we declared distributions of $0.3075 and $0.615 per share for total distributions of $27.7 million and $52.9 million, respectively. During the three and six months ended March 31, 2024, we declared distributions of $0.3075 and $0.615 per share for total distributions of $18.8 million and $36.9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jc w:val="both"/>
        <w:rPr/>
      </w:pPr>
      <w:r>
        <w:rPr/>
        <w:t>In April 2025, PennantPark Floating Rate Capital Ltd. amended its credit facility agreement led by Truist Bank. As part of the amendment, the Company pricing decreased to SOFR plus 200 basis points from SOFR plus 225 basis points, the reinvestment period was extended one year to August 2028, the maturity date was extended one year to August 2030, and the maximum first lien advance rate was increased to 72.5% from 70.0%. As part of this amendment, commitments decreased from $736 million to $718 million.</w:t>
      </w:r>
    </w:p>
    <w:p>
      <w:pPr>
        <w:pStyle w:val="TextBody"/>
        <w:bidi w:val="0"/>
        <w:jc w:val="both"/>
        <w:rPr/>
      </w:pPr>
      <w:r>
        <w:rPr/>
        <w:t>In April 2025, PSSL through its wholly-owned and consolidated subsidiary, PennantPark CLO 12, LLC closed a four year reinvestment period, twelve-year final maturity $301 million debt securitization in the form of a collateralized loan obligation. The debt in this securitization is structured in the following manner: (i) $30.0 million of Class A-1 Loans, which bear interest at three-month SOFR plus 1.45%, (ii) $141.0 million of Class A-1 Notes,which bear interest at three-month SOFR plus 1.45%, (iii) $12.0 million of Class A-2 Notes, which bear interest at a three-month SOFR plus 1.60%, (iv) $21.0 million of Class B notes, which bears interest at three-month SOFR plus 1.85%, (v) $24.0 million of Class C notes, which bears interest at three-month SOFR plus 2.30%, (vi) $18.0 million Class D notes, which bears interest at three-month SOFR plus 3.30%, (vii) $55.0 million of Sub notes. The weighted average credit spread is 1.71%. PSSL will continue to retain all of the subordinated notes through a consolidated subsidiary. The reinvestment period for the term debt securitization ends in April 2029 and the debt is scheduled to mature in April 2037. The term debt securitization is expected to be approximately 100% funded at close. The proceeds from the debt will be used to repay a portion of PSSL's $325 million secured credit facility.</w:t>
      </w:r>
    </w:p>
    <w:p>
      <w:pPr>
        <w:pStyle w:val="TextBody"/>
        <w:bidi w:val="0"/>
        <w:jc w:val="both"/>
        <w:rPr/>
      </w:pPr>
      <w:r>
        <w:rPr>
          <w:rStyle w:val="StrongEmphasis"/>
        </w:rPr>
        <w:t xml:space="preserve">AVAILABLE INFORMATION </w:t>
      </w:r>
    </w:p>
    <w:p>
      <w:pPr>
        <w:pStyle w:val="TextBody"/>
        <w:bidi w:val="0"/>
        <w:jc w:val="both"/>
        <w:rPr/>
      </w:pPr>
      <w:r>
        <w:rPr/>
        <w:t xml:space="preserve">The Company makes available on its website its Quarterly Report on Form 10-Q filed with the SEC, and stockholders may find such report on its website at </w:t>
      </w:r>
      <w:r>
        <w:rPr>
          <w:u w:val="single"/>
        </w:rPr>
        <w:t>www.pennantpark.com</w:t>
      </w:r>
      <w:r>
        <w:rPr/>
        <w:t>.</w:t>
      </w:r>
    </w:p>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6461"/>
        <w:gridCol w:w="146"/>
        <w:gridCol w:w="252"/>
        <w:gridCol w:w="1192"/>
        <w:gridCol w:w="181"/>
        <w:gridCol w:w="146"/>
        <w:gridCol w:w="279"/>
        <w:gridCol w:w="1319"/>
        <w:gridCol w:w="229"/>
      </w:tblGrid>
      <w:tr>
        <w:trPr/>
        <w:tc>
          <w:tcPr>
            <w:tcW w:w="9976" w:type="dxa"/>
            <w:gridSpan w:val="8"/>
            <w:tcBorders/>
            <w:vAlign w:val="center"/>
          </w:tcPr>
          <w:p>
            <w:pPr>
              <w:pStyle w:val="TableContents"/>
              <w:bidi w:val="0"/>
              <w:spacing w:before="0" w:after="283"/>
              <w:jc w:val="center"/>
              <w:rPr/>
            </w:pPr>
            <w:r>
              <w:rPr>
                <w:rStyle w:val="StrongEmphasis"/>
              </w:rPr>
              <w:t>PENNANTPARK FLOATING RATE CAPITAL LTD. AND SUBSIDIARIES</w:t>
            </w:r>
            <w:r>
              <w:rPr/>
              <w:br/>
            </w:r>
            <w:r>
              <w:rPr>
                <w:rStyle w:val="StrongEmphasis"/>
              </w:rPr>
              <w:t>CONSOLIDATED STATEMENTS OF ASSETS AND LIABILITIES</w:t>
            </w:r>
            <w:r>
              <w:rPr/>
              <w:br/>
            </w:r>
            <w:r>
              <w:rPr>
                <w:rStyle w:val="StrongEmphasis"/>
              </w:rPr>
              <w:t>(in thousands, except per share data)</w:t>
            </w:r>
          </w:p>
        </w:tc>
        <w:tc>
          <w:tcPr>
            <w:tcW w:w="229" w:type="dxa"/>
            <w:tcBorders/>
            <w:vAlign w:val="center"/>
          </w:tcPr>
          <w:p>
            <w:pPr>
              <w:pStyle w:val="TableContents"/>
              <w:bidi w:val="0"/>
              <w:spacing w:before="0" w:after="283"/>
              <w:jc w:val="center"/>
              <w:rPr/>
            </w:pPr>
            <w:r>
              <w:rPr/>
              <w:t> </w:t>
            </w:r>
          </w:p>
        </w:tc>
      </w:tr>
      <w:tr>
        <w:trPr/>
        <w:tc>
          <w:tcPr>
            <w:tcW w:w="9976" w:type="dxa"/>
            <w:gridSpan w:val="8"/>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center"/>
              <w:rPr/>
            </w:pPr>
            <w:r>
              <w:rPr/>
              <w:t> </w:t>
            </w:r>
          </w:p>
        </w:tc>
      </w:tr>
      <w:tr>
        <w:trPr/>
        <w:tc>
          <w:tcPr>
            <w:tcW w:w="64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March 31, 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2024</w:t>
            </w:r>
          </w:p>
        </w:tc>
        <w:tc>
          <w:tcPr>
            <w:tcW w:w="229" w:type="dxa"/>
            <w:tcBorders/>
            <w:vAlign w:val="center"/>
          </w:tcPr>
          <w:p>
            <w:pPr>
              <w:pStyle w:val="TableContents"/>
              <w:bidi w:val="0"/>
              <w:spacing w:before="0" w:after="283"/>
              <w:jc w:val="center"/>
              <w:rPr/>
            </w:pPr>
            <w:r>
              <w:rPr/>
              <w:t> </w:t>
            </w:r>
          </w:p>
        </w:tc>
      </w:tr>
      <w:tr>
        <w:trPr/>
        <w:tc>
          <w:tcPr>
            <w:tcW w:w="64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44"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598"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center"/>
              <w:rPr/>
            </w:pPr>
            <w:r>
              <w:rPr/>
              <w:t> </w:t>
            </w:r>
          </w:p>
        </w:tc>
      </w:tr>
      <w:tr>
        <w:trPr/>
        <w:tc>
          <w:tcPr>
            <w:tcW w:w="6461"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61"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8"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61"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 $2,043,844 and $1,622,669, respectively)</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2,046,762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w:t>
            </w:r>
          </w:p>
        </w:tc>
        <w:tc>
          <w:tcPr>
            <w:tcW w:w="1319" w:type="dxa"/>
            <w:tcBorders/>
            <w:vAlign w:val="center"/>
          </w:tcPr>
          <w:p>
            <w:pPr>
              <w:pStyle w:val="TableContents"/>
              <w:bidi w:val="0"/>
              <w:spacing w:before="0" w:after="283"/>
              <w:jc w:val="right"/>
              <w:rPr/>
            </w:pPr>
            <w:r>
              <w:rPr/>
              <w:t>1,632,269</w:t>
            </w:r>
          </w:p>
        </w:tc>
        <w:tc>
          <w:tcPr>
            <w:tcW w:w="229" w:type="dxa"/>
            <w:tcBorders/>
            <w:vAlign w:val="center"/>
          </w:tcPr>
          <w:p>
            <w:pPr>
              <w:pStyle w:val="TableContents"/>
              <w:bidi w:val="0"/>
              <w:spacing w:before="0" w:after="283"/>
              <w:jc w:val="left"/>
              <w:rPr/>
            </w:pPr>
            <w:r>
              <w:rPr/>
              <w:t> </w:t>
            </w:r>
          </w:p>
        </w:tc>
      </w:tr>
      <w:tr>
        <w:trPr/>
        <w:tc>
          <w:tcPr>
            <w:tcW w:w="6461"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 $361,375 and $372,271, respectively)</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297,290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351,235</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Total investments (amortized cost— $2,405,219 and $1,994,940, respectively)</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9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2,344,052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1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1,983,504</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Cash and cash equivalents (cost— $111,368 and $112,046, respectively)</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111,358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112,050</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11,094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12,167</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Receivables from investments sold</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2,048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Distributions receivable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946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635</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Due from affiliate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291</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198</w:t>
            </w:r>
          </w:p>
        </w:tc>
        <w:tc>
          <w:tcPr>
            <w:tcW w:w="229" w:type="dxa"/>
            <w:tcBorders/>
            <w:vAlign w:val="center"/>
          </w:tcPr>
          <w:p>
            <w:pPr>
              <w:pStyle w:val="TableContents"/>
              <w:bidi w:val="0"/>
              <w:spacing w:before="0" w:after="283"/>
              <w:jc w:val="left"/>
              <w:rPr/>
            </w:pPr>
            <w:r>
              <w:rPr/>
              <w:t> </w:t>
            </w:r>
          </w:p>
        </w:tc>
      </w:tr>
      <w:tr>
        <w:trPr/>
        <w:tc>
          <w:tcPr>
            <w:tcW w:w="646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2,471,848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2,108,845</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left"/>
              <w:rPr/>
            </w:pPr>
            <w:r>
              <w:rPr/>
              <w:t> </w:t>
            </w:r>
          </w:p>
        </w:tc>
        <w:tc>
          <w:tcPr>
            <w:tcW w:w="144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61" w:type="dxa"/>
            <w:tcBorders/>
            <w:vAlign w:val="center"/>
          </w:tcPr>
          <w:p>
            <w:pPr>
              <w:pStyle w:val="TableContents"/>
              <w:bidi w:val="0"/>
              <w:spacing w:before="0" w:after="283"/>
              <w:jc w:val="left"/>
              <w:rPr/>
            </w:pPr>
            <w:r>
              <w:rPr/>
              <w:t>Credit Facility payable, at fair value (cost— $273,855 and $443,855, respectively)</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273,790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443,880</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2026 Notes payable, net (par—$185,000)</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184,220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183,832</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2036 Asset-Backed Debt, net (par—$287,000)</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284,357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284,086</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2036-R Asset-Backed Debt, net (par-$266,000)</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265,300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265,235</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2037 Asset-Backed Debt, net (par— $361,000)</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358,083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Payable for investments purchased</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20,363</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15,202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14,645</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9,627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7,834</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5,604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4,588</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6,258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3,189</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1,664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2,187</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Deferred tax liability</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1,712</w:t>
            </w:r>
          </w:p>
        </w:tc>
        <w:tc>
          <w:tcPr>
            <w:tcW w:w="229" w:type="dxa"/>
            <w:tcBorders/>
            <w:vAlign w:val="center"/>
          </w:tcPr>
          <w:p>
            <w:pPr>
              <w:pStyle w:val="TableContents"/>
              <w:bidi w:val="0"/>
              <w:spacing w:before="0" w:after="283"/>
              <w:jc w:val="left"/>
              <w:rPr/>
            </w:pPr>
            <w:r>
              <w:rPr/>
              <w:t> </w:t>
            </w:r>
          </w:p>
        </w:tc>
      </w:tr>
      <w:tr>
        <w:trPr/>
        <w:tc>
          <w:tcPr>
            <w:tcW w:w="646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1,404,717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1,231,551</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left"/>
              <w:rPr/>
            </w:pPr>
            <w:r>
              <w:rPr/>
              <w:t> </w:t>
            </w:r>
          </w:p>
        </w:tc>
        <w:tc>
          <w:tcPr>
            <w:tcW w:w="144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61" w:type="dxa"/>
            <w:tcBorders/>
            <w:vAlign w:val="center"/>
          </w:tcPr>
          <w:p>
            <w:pPr>
              <w:pStyle w:val="TableContents"/>
              <w:bidi w:val="0"/>
              <w:spacing w:before="0" w:after="283"/>
              <w:jc w:val="left"/>
              <w:rPr/>
            </w:pPr>
            <w:r>
              <w:rPr/>
              <w:br/>
              <w:t>Common stock, 96,417,896 and 77,579,896 shares issued and outstanding, respectively Par value $0.001 per share and 200,000,000 shares authorized</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78</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1,189,888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976,744</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(122,853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(99,528</w:t>
            </w:r>
          </w:p>
        </w:tc>
        <w:tc>
          <w:tcPr>
            <w:tcW w:w="229" w:type="dxa"/>
            <w:tcBorders/>
            <w:vAlign w:val="center"/>
          </w:tcPr>
          <w:p>
            <w:pPr>
              <w:pStyle w:val="TableContents"/>
              <w:bidi w:val="0"/>
              <w:spacing w:before="0" w:after="283"/>
              <w:jc w:val="left"/>
              <w:rPr/>
            </w:pPr>
            <w:r>
              <w:rPr/>
              <w:t>)</w:t>
            </w:r>
          </w:p>
        </w:tc>
      </w:tr>
      <w:tr>
        <w:trPr/>
        <w:tc>
          <w:tcPr>
            <w:tcW w:w="6461" w:type="dxa"/>
            <w:tcBorders/>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1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1,067,131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877,294</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2,471,848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2,108,845</w:t>
            </w:r>
          </w:p>
        </w:tc>
        <w:tc>
          <w:tcPr>
            <w:tcW w:w="229"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left"/>
              <w:rPr/>
            </w:pPr>
            <w:r>
              <w:rPr/>
              <w:t> </w:t>
            </w:r>
          </w:p>
        </w:tc>
        <w:tc>
          <w:tcPr>
            <w:tcW w:w="25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9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1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11.31</w:t>
            </w:r>
          </w:p>
        </w:tc>
        <w:tc>
          <w:tcPr>
            <w:tcW w:w="229"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724"/>
        <w:gridCol w:w="146"/>
        <w:gridCol w:w="226"/>
        <w:gridCol w:w="841"/>
        <w:gridCol w:w="181"/>
        <w:gridCol w:w="146"/>
        <w:gridCol w:w="226"/>
        <w:gridCol w:w="766"/>
        <w:gridCol w:w="146"/>
        <w:gridCol w:w="146"/>
        <w:gridCol w:w="226"/>
        <w:gridCol w:w="886"/>
        <w:gridCol w:w="181"/>
        <w:gridCol w:w="146"/>
        <w:gridCol w:w="226"/>
        <w:gridCol w:w="766"/>
        <w:gridCol w:w="226"/>
      </w:tblGrid>
      <w:tr>
        <w:trPr/>
        <w:tc>
          <w:tcPr>
            <w:tcW w:w="9979" w:type="dxa"/>
            <w:gridSpan w:val="16"/>
            <w:tcBorders/>
            <w:vAlign w:val="center"/>
          </w:tcPr>
          <w:p>
            <w:pPr>
              <w:pStyle w:val="TableContents"/>
              <w:bidi w:val="0"/>
              <w:spacing w:before="0" w:after="283"/>
              <w:jc w:val="center"/>
              <w:rPr/>
            </w:pPr>
            <w:r>
              <w:rPr>
                <w:rStyle w:val="StrongEmphasis"/>
              </w:rPr>
              <w:t>PENNANTPARK FLOATING RATE CAPITAL LTD. AND SUBSIDIARIES</w:t>
            </w:r>
            <w:r>
              <w:rPr/>
              <w:br/>
            </w:r>
            <w:r>
              <w:rPr>
                <w:rStyle w:val="StrongEmphasis"/>
              </w:rPr>
              <w:t>CONSOLIDATED STATEMENTS OF OPERATIONS</w:t>
            </w:r>
            <w:r>
              <w:rPr/>
              <w:br/>
            </w:r>
            <w:r>
              <w:rPr>
                <w:rStyle w:val="StrongEmphasis"/>
              </w:rPr>
              <w:t>(in thousands, except per share data)</w:t>
            </w:r>
            <w:r>
              <w:rPr/>
              <w:br/>
            </w:r>
            <w:r>
              <w:rPr>
                <w:rStyle w:val="StrongEmphasis"/>
              </w:rPr>
              <w:t>(Unaudited)</w:t>
            </w:r>
          </w:p>
        </w:tc>
        <w:tc>
          <w:tcPr>
            <w:tcW w:w="226" w:type="dxa"/>
            <w:tcBorders/>
            <w:vAlign w:val="center"/>
          </w:tcPr>
          <w:p>
            <w:pPr>
              <w:pStyle w:val="TableContents"/>
              <w:bidi w:val="0"/>
              <w:spacing w:before="0" w:after="283"/>
              <w:jc w:val="center"/>
              <w:rPr/>
            </w:pPr>
            <w:r>
              <w:rPr/>
              <w:t> </w:t>
            </w:r>
          </w:p>
        </w:tc>
      </w:tr>
      <w:tr>
        <w:trPr/>
        <w:tc>
          <w:tcPr>
            <w:tcW w:w="9979" w:type="dxa"/>
            <w:gridSpan w:val="16"/>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r>
      <w:tr>
        <w:trPr/>
        <w:tc>
          <w:tcPr>
            <w:tcW w:w="47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t xml:space="preserve">Three Months Ended </w:t>
              <w:br/>
              <w:t>March 31,</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43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t>Six months Ended</w:t>
              <w:br/>
              <w:t>March 31,</w:t>
            </w:r>
          </w:p>
        </w:tc>
        <w:tc>
          <w:tcPr>
            <w:tcW w:w="226" w:type="dxa"/>
            <w:tcBorders/>
            <w:vAlign w:val="center"/>
          </w:tcPr>
          <w:p>
            <w:pPr>
              <w:pStyle w:val="TableContents"/>
              <w:bidi w:val="0"/>
              <w:spacing w:before="0" w:after="283"/>
              <w:jc w:val="center"/>
              <w:rPr/>
            </w:pPr>
            <w:r>
              <w:rPr/>
              <w:t> </w:t>
            </w:r>
          </w:p>
        </w:tc>
      </w:tr>
      <w:tr>
        <w:trPr/>
        <w:tc>
          <w:tcPr>
            <w:tcW w:w="47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226" w:type="dxa"/>
            <w:tcBorders/>
            <w:vAlign w:val="center"/>
          </w:tcPr>
          <w:p>
            <w:pPr>
              <w:pStyle w:val="TableContents"/>
              <w:bidi w:val="0"/>
              <w:spacing w:before="0" w:after="283"/>
              <w:jc w:val="center"/>
              <w:rPr/>
            </w:pPr>
            <w:r>
              <w:rPr/>
              <w:t> </w:t>
            </w:r>
          </w:p>
        </w:tc>
      </w:tr>
      <w:tr>
        <w:trPr/>
        <w:tc>
          <w:tcPr>
            <w:tcW w:w="4724"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4"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49,215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30,470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96,678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54,238</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577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946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1,085</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1,268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2,114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3,031</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7,345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8,320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20,153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16,754</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4,375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3,719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8,750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7,219</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61,938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44,354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128,947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82,327</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22,529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14,688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44,890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23,630</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Performance-based incentive fee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6,258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4,767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13,750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9,630</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5,604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3,424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10,868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6,375</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1,255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2,400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2,243</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585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1,211</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amendment costs and provision for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36,241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24,719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73,058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43,089</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547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701</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Credit Facility amendment costs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36,908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25,266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73,950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43,790</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25,030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19,088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54,997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38,537</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4" w:type="dxa"/>
            <w:tcBorders/>
            <w:vAlign w:val="center"/>
          </w:tcPr>
          <w:p>
            <w:pPr>
              <w:pStyle w:val="TableContents"/>
              <w:bidi w:val="0"/>
              <w:spacing w:before="0" w:after="283"/>
              <w:jc w:val="left"/>
              <w:rPr/>
            </w:pPr>
            <w:r>
              <w:rPr/>
              <w:t>Net realized gain (loss) on:</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4,010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921</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(2,682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22,811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(loss) on investments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(3,498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4,010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23,103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921</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(9,630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3,278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(6,688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8,506</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Controlled and non-controlled, 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(11,146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4,466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(43,050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5,408</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230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1,100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230</w:t>
            </w:r>
          </w:p>
        </w:tc>
        <w:tc>
          <w:tcPr>
            <w:tcW w:w="226" w:type="dxa"/>
            <w:tcBorders/>
            <w:vAlign w:val="center"/>
          </w:tcPr>
          <w:p>
            <w:pPr>
              <w:pStyle w:val="TableContents"/>
              <w:bidi w:val="0"/>
              <w:spacing w:before="0" w:after="283"/>
              <w:jc w:val="left"/>
              <w:rPr/>
            </w:pPr>
            <w:r>
              <w:rPr/>
              <w:t> </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w:t>
            </w:r>
          </w:p>
        </w:tc>
        <w:tc>
          <w:tcPr>
            <w:tcW w:w="226" w:type="dxa"/>
            <w:tcBorders/>
            <w:vAlign w:val="center"/>
          </w:tcPr>
          <w:p>
            <w:pPr>
              <w:pStyle w:val="TableContents"/>
              <w:bidi w:val="0"/>
              <w:spacing w:before="0" w:after="283"/>
              <w:jc w:val="left"/>
              <w:rPr/>
            </w:pPr>
            <w:r>
              <w:rPr/>
              <w:t>)</w:t>
            </w:r>
          </w:p>
        </w:tc>
      </w:tr>
      <w:tr>
        <w:trPr/>
        <w:tc>
          <w:tcPr>
            <w:tcW w:w="4724"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(20,307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8,013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(48,547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14,121</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(23,805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(25,444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15,042</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31,111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29,553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53,579</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0.89</w:t>
            </w:r>
          </w:p>
        </w:tc>
        <w:tc>
          <w:tcPr>
            <w:tcW w:w="226"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0.64</w:t>
            </w:r>
          </w:p>
        </w:tc>
        <w:tc>
          <w:tcPr>
            <w:tcW w:w="226"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FLOATING RATE CAPITAL LTD.</w:t>
      </w:r>
    </w:p>
    <w:p>
      <w:pPr>
        <w:pStyle w:val="TextBody"/>
        <w:bidi w:val="0"/>
        <w:jc w:val="both"/>
        <w:rPr/>
      </w:pPr>
      <w:r>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jc w:val="left"/>
        <w:rPr/>
      </w:pPr>
      <w:r>
        <w:rPr>
          <w:rStyle w:val="StrongEmphasis"/>
        </w:rPr>
        <w:t xml:space="preserve">ABOUT PENNANTPARK INVESTMENT ADVISERS, LLC </w:t>
      </w:r>
    </w:p>
    <w:p>
      <w:pPr>
        <w:pStyle w:val="TextBody"/>
        <w:bidi w:val="0"/>
        <w:jc w:val="both"/>
        <w:rPr/>
      </w:pPr>
      <w:r>
        <w:rPr/>
        <w:t>PennantPark Investment Advisers, LLC is a leading middle-market credit platform, managing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5222" w:type="dxa"/>
        <w:jc w:val="center"/>
        <w:tblInd w:w="0" w:type="dxa"/>
        <w:tblLayout w:type="fixed"/>
        <w:tblCellMar>
          <w:top w:w="28" w:type="dxa"/>
          <w:left w:w="28" w:type="dxa"/>
          <w:bottom w:w="28" w:type="dxa"/>
          <w:right w:w="28" w:type="dxa"/>
        </w:tblCellMar>
      </w:tblPr>
      <w:tblGrid>
        <w:gridCol w:w="1351"/>
        <w:gridCol w:w="3871"/>
      </w:tblGrid>
      <w:tr>
        <w:trPr/>
        <w:tc>
          <w:tcPr>
            <w:tcW w:w="1351" w:type="dxa"/>
            <w:tcBorders/>
            <w:vAlign w:val="center"/>
          </w:tcPr>
          <w:p>
            <w:pPr>
              <w:pStyle w:val="TableContents"/>
              <w:bidi w:val="0"/>
              <w:spacing w:before="0" w:after="283"/>
              <w:jc w:val="left"/>
              <w:rPr/>
            </w:pPr>
            <w:r>
              <w:rPr/>
              <w:t>CONTACT:</w:t>
            </w:r>
          </w:p>
        </w:tc>
        <w:tc>
          <w:tcPr>
            <w:tcW w:w="3871" w:type="dxa"/>
            <w:tcBorders/>
            <w:vAlign w:val="center"/>
          </w:tcPr>
          <w:p>
            <w:pPr>
              <w:pStyle w:val="TableContents"/>
              <w:bidi w:val="0"/>
              <w:spacing w:before="0" w:after="283"/>
              <w:jc w:val="both"/>
              <w:rPr/>
            </w:pPr>
            <w:r>
              <w:rPr/>
              <w:t>Richard T. Allorto, Jr.</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pPr>
            <w:r>
              <w:rPr/>
              <w:t>PennantPark Floating Rate Capital Ltd.</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(212) 905-1000</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u w:val="single"/>
              </w:rPr>
            </w:pPr>
            <w:r>
              <w:rPr>
                <w:u w:val="single"/>
              </w:rPr>
              <w:t>www.pennantpark.com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5083</Words>
  <Characters>28119</Characters>
  <CharactersWithSpaces>33572</CharactersWithSpaces>
  <Paragraphs>1305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