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04,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80"/>
        <w:spacing w:after="0" w:line="250" w:lineRule="auto"/>
        <w:rPr>
          <w:sz w:val="20"/>
          <w:szCs w:val="20"/>
          <w:color w:val="auto"/>
        </w:rPr>
      </w:pPr>
      <w:r>
        <w:rPr>
          <w:rFonts w:ascii="Arial" w:cs="Arial" w:eastAsia="Arial" w:hAnsi="Arial"/>
          <w:sz w:val="22"/>
          <w:szCs w:val="22"/>
          <w:color w:val="auto"/>
        </w:rPr>
        <w:t>On February 4, 2014,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February 04,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04, 2014</w:t>
            </w:r>
          </w:p>
        </w:tc>
        <w:tc>
          <w:tcPr>
            <w:tcW w:w="6700" w:type="dxa"/>
            <w:vAlign w:val="bottom"/>
            <w:gridSpan w:val="3"/>
          </w:tcPr>
          <w:p>
            <w:pPr>
              <w:ind w:left="17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20" w:type="dxa"/>
            <w:vAlign w:val="bottom"/>
          </w:tcPr>
          <w:p>
            <w:pPr>
              <w:spacing w:after="0"/>
              <w:rPr>
                <w:sz w:val="24"/>
                <w:szCs w:val="24"/>
                <w:color w:val="auto"/>
              </w:rPr>
            </w:pPr>
          </w:p>
        </w:tc>
        <w:tc>
          <w:tcPr>
            <w:tcW w:w="670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70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70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February 04,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February 04, 2014) - PennantPark Floating Rate Capital Ltd. (the "Company") (NASDAQ: PFLT) declares monthly distribution for February 2014 of $0.09 per share, payable on March 3, 2014 to stockholders of record as of February 19, 2014.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0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2020-05-05T12:04:19Z</dcterms:created>
  <dcterms:modified xsi:type="dcterms:W3CDTF">2020-05-05T12:04:19Z</dcterms:modified>
</cp:coreProperties>
</file>