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Washington, D.C. 20549</w:t>
      </w:r>
    </w:p>
    <w:p>
      <w:pPr>
        <w:spacing w:after="0" w:line="10"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8" w:lineRule="exact"/>
        <w:rPr>
          <w:sz w:val="24"/>
          <w:szCs w:val="24"/>
          <w:color w:val="auto"/>
        </w:rPr>
      </w:pPr>
    </w:p>
    <w:p>
      <w:pPr>
        <w:jc w:val="center"/>
        <w:ind w:right="-159"/>
        <w:spacing w:after="0"/>
        <w:rPr>
          <w:sz w:val="20"/>
          <w:szCs w:val="20"/>
          <w:color w:val="auto"/>
        </w:rPr>
      </w:pPr>
      <w:r>
        <w:rPr>
          <w:rFonts w:ascii="Arial" w:cs="Arial" w:eastAsia="Arial" w:hAnsi="Arial"/>
          <w:sz w:val="25"/>
          <w:szCs w:val="25"/>
          <w:b w:val="1"/>
          <w:bCs w:val="1"/>
          <w:color w:val="auto"/>
        </w:rPr>
        <w:t>FORM 8-K</w:t>
      </w:r>
    </w:p>
    <w:p>
      <w:pPr>
        <w:spacing w:after="0" w:line="38" w:lineRule="exact"/>
        <w:rPr>
          <w:sz w:val="24"/>
          <w:szCs w:val="24"/>
          <w:color w:val="auto"/>
        </w:rPr>
      </w:pPr>
    </w:p>
    <w:p>
      <w:pPr>
        <w:ind w:left="4300"/>
        <w:spacing w:after="0"/>
        <w:rPr>
          <w:sz w:val="20"/>
          <w:szCs w:val="20"/>
          <w:color w:val="auto"/>
        </w:rPr>
      </w:pPr>
      <w:r>
        <w:rPr>
          <w:rFonts w:ascii="Arial" w:cs="Arial" w:eastAsia="Arial" w:hAnsi="Arial"/>
          <w:sz w:val="25"/>
          <w:szCs w:val="25"/>
          <w:color w:val="auto"/>
        </w:rPr>
        <w:t>_____________________</w:t>
      </w:r>
    </w:p>
    <w:p>
      <w:pPr>
        <w:spacing w:after="0" w:line="193"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4"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Date of Report (Date of earliest event Reported): April 8, 2019</w:t>
      </w:r>
    </w:p>
    <w:p>
      <w:pPr>
        <w:spacing w:after="0" w:line="212" w:lineRule="exact"/>
        <w:rPr>
          <w:sz w:val="24"/>
          <w:szCs w:val="24"/>
          <w:color w:val="auto"/>
        </w:rPr>
      </w:pPr>
    </w:p>
    <w:p>
      <w:pPr>
        <w:jc w:val="center"/>
        <w:ind w:right="-159"/>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19"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(Exact Name of Registrant as Specified in Charter)</w:t>
      </w:r>
    </w:p>
    <w:p>
      <w:pPr>
        <w:sectPr>
          <w:pgSz w:w="11900" w:h="16838" w:orient="portrait"/>
          <w:cols w:equalWidth="0" w:num="1">
            <w:col w:w="11100"/>
          </w:cols>
          <w:pgMar w:left="320" w:top="724" w:right="479" w:bottom="1440" w:gutter="0" w:footer="0" w:header="0"/>
        </w:sectPr>
      </w:pPr>
    </w:p>
    <w:p>
      <w:pPr>
        <w:spacing w:after="0" w:line="205"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Maryland</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80"/>
        <w:spacing w:after="0"/>
        <w:rPr>
          <w:sz w:val="20"/>
          <w:szCs w:val="20"/>
          <w:color w:val="auto"/>
        </w:rPr>
      </w:pPr>
      <w:r>
        <w:rPr>
          <w:rFonts w:ascii="Arial" w:cs="Arial" w:eastAsia="Arial" w:hAnsi="Arial"/>
          <w:sz w:val="18"/>
          <w:szCs w:val="18"/>
          <w:b w:val="1"/>
          <w:bCs w:val="1"/>
          <w:color w:val="auto"/>
        </w:rPr>
        <w:t>814-00891</w:t>
      </w:r>
    </w:p>
    <w:p>
      <w:pPr>
        <w:spacing w:after="0" w:line="27" w:lineRule="exact"/>
        <w:rPr>
          <w:sz w:val="24"/>
          <w:szCs w:val="24"/>
          <w:color w:val="auto"/>
        </w:rPr>
      </w:pPr>
    </w:p>
    <w:p>
      <w:pPr>
        <w:jc w:val="center"/>
        <w:ind w:right="5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27-3794690</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6"/>
          <w:szCs w:val="16"/>
          <w:color w:val="auto"/>
        </w:rPr>
        <w:t>(I.R.S. Employer Identification Number)</w:t>
      </w:r>
    </w:p>
    <w:p>
      <w:pPr>
        <w:spacing w:after="0" w:line="200" w:lineRule="exact"/>
        <w:rPr>
          <w:sz w:val="24"/>
          <w:szCs w:val="24"/>
          <w:color w:val="auto"/>
        </w:rPr>
      </w:pPr>
    </w:p>
    <w:p>
      <w:pPr>
        <w:sectPr>
          <w:pgSz w:w="11900" w:h="16838" w:orient="portrait"/>
          <w:cols w:equalWidth="0" w:num="3">
            <w:col w:w="3920" w:space="720"/>
            <w:col w:w="2560" w:space="720"/>
            <w:col w:w="3180"/>
          </w:cols>
          <w:pgMar w:left="320" w:top="724" w:right="479" w:bottom="1440" w:gutter="0" w:footer="0" w:header="0"/>
          <w:type w:val="continuous"/>
        </w:sectPr>
      </w:pPr>
    </w:p>
    <w:p>
      <w:pPr>
        <w:spacing w:after="0" w:line="200" w:lineRule="exact"/>
        <w:rPr>
          <w:sz w:val="24"/>
          <w:szCs w:val="24"/>
          <w:color w:val="auto"/>
        </w:rPr>
      </w:pPr>
    </w:p>
    <w:p>
      <w:pPr>
        <w:spacing w:after="0" w:line="262"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590 Madison Avenue, 15th Floor, New York, NY 10022</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(Address of Principal Executive Offices) (Zip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212-905-1000</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(Registrant's telephone number, including area code)</w:t>
      </w:r>
    </w:p>
    <w:p>
      <w:pPr>
        <w:spacing w:after="0" w:line="207"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1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54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Written communications pursuant to Rule 425 under the Securities Act (17 CFR 230.425)</w:t>
      </w:r>
    </w:p>
    <w:p>
      <w:pPr>
        <w:spacing w:after="0" w:line="23"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Soliciting material pursuant to Rule 14a-12 under the Exchange Act (17 CFR 240.14a-12)</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14d-2(b) under the Exchange Act (17 CFR 240.14d-2(b))</w:t>
      </w:r>
    </w:p>
    <w:p>
      <w:pPr>
        <w:spacing w:after="0" w:line="9" w:lineRule="exact"/>
        <w:rPr>
          <w:rFonts w:ascii="Arial" w:cs="Arial" w:eastAsia="Arial" w:hAnsi="Arial"/>
          <w:sz w:val="18"/>
          <w:szCs w:val="18"/>
          <w:color w:val="auto"/>
        </w:rPr>
      </w:pPr>
    </w:p>
    <w:p>
      <w:pPr>
        <w:ind w:left="400" w:hanging="109"/>
        <w:spacing w:after="0"/>
        <w:tabs>
          <w:tab w:leader="none" w:pos="400" w:val="left"/>
        </w:tabs>
        <w:numPr>
          <w:ilvl w:val="0"/>
          <w:numId w:val="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Pre-commencement communications pursuant to Rule 13e-4(c) under the Exchange Act (17 CFR 240.13e-4(c))</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 Emerging growth company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271780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518160</wp:posOffset>
            </wp:positionV>
            <wp:extent cx="7136130"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130" cy="20955"/>
                    </a:xfrm>
                    <a:prstGeom prst="rect">
                      <a:avLst/>
                    </a:prstGeom>
                    <a:noFill/>
                  </pic:spPr>
                </pic:pic>
              </a:graphicData>
            </a:graphic>
          </wp:anchor>
        </w:drawing>
      </w:r>
    </w:p>
    <w:p>
      <w:pPr>
        <w:sectPr>
          <w:pgSz w:w="11900" w:h="16838" w:orient="portrait"/>
          <w:cols w:equalWidth="0" w:num="1">
            <w:col w:w="11100"/>
          </w:cols>
          <w:pgMar w:left="320" w:top="724" w:right="4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On April 8, 2019, PennantPark Floating Rate Capital Ltd. issued a press release announcing its scheduled earnings release for the second second fiscal quarter ended March 31, 2019. A copy of the press release is furnished as Exhibit 99.1 to this report, pursuant to Item 7.01 and Regulation FD.</w:t>
      </w:r>
    </w:p>
    <w:p>
      <w:pPr>
        <w:spacing w:after="0" w:line="12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The information in this Current Report on Form 8-K, including Exhibit 99.1 furnished herewith, is being furnished and shall not be deemed "filed" for purposes of Section 18 of the Securities Exchange Act of 1934, as amended, or the Exchange Act, or otherwise subject to the liabilities of such section. The information in this Current Report on Form 8-K shall not be deemed incorporated by reference in any filing under the Securities Act of 1933, as amended, or under the Exchange Act, except as shall be expressly set forth by specific reference in such filing.</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w:t>
      </w:r>
    </w:p>
    <w:p>
      <w:pPr>
        <w:spacing w:after="0" w:line="198"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You should not place undue influence on such forward-looking statements as such statements speak only as of the date on which they are made.</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5" w:lineRule="exact"/>
        <w:rPr>
          <w:sz w:val="20"/>
          <w:szCs w:val="20"/>
          <w:color w:val="auto"/>
        </w:rPr>
      </w:pPr>
    </w:p>
    <w:p>
      <w:pPr>
        <w:ind w:left="460" w:right="9320" w:hanging="452"/>
        <w:spacing w:after="0" w:line="276" w:lineRule="auto"/>
        <w:tabs>
          <w:tab w:leader="none" w:pos="265"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Financial statements: </w:t>
      </w:r>
      <w:r>
        <w:rPr>
          <w:rFonts w:ascii="Arial" w:cs="Arial" w:eastAsia="Arial" w:hAnsi="Arial"/>
          <w:sz w:val="17"/>
          <w:szCs w:val="17"/>
          <w:color w:val="auto"/>
        </w:rPr>
        <w:t>None</w:t>
      </w:r>
    </w:p>
    <w:p>
      <w:pPr>
        <w:ind w:left="460" w:right="8420" w:hanging="452"/>
        <w:spacing w:after="0" w:line="250" w:lineRule="auto"/>
        <w:tabs>
          <w:tab w:leader="none" w:pos="27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 forma financial information: </w:t>
      </w:r>
      <w:r>
        <w:rPr>
          <w:rFonts w:ascii="Arial" w:cs="Arial" w:eastAsia="Arial" w:hAnsi="Arial"/>
          <w:sz w:val="18"/>
          <w:szCs w:val="18"/>
          <w:color w:val="auto"/>
        </w:rPr>
        <w:t>None</w:t>
      </w:r>
    </w:p>
    <w:p>
      <w:pPr>
        <w:ind w:left="460" w:right="8800" w:hanging="452"/>
        <w:spacing w:after="0" w:line="250" w:lineRule="auto"/>
        <w:tabs>
          <w:tab w:leader="none" w:pos="255"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Shell company transactions: </w:t>
      </w:r>
      <w:r>
        <w:rPr>
          <w:rFonts w:ascii="Arial" w:cs="Arial" w:eastAsia="Arial" w:hAnsi="Arial"/>
          <w:sz w:val="18"/>
          <w:szCs w:val="18"/>
          <w:color w:val="auto"/>
        </w:rPr>
        <w:t>None</w:t>
      </w:r>
    </w:p>
    <w:p>
      <w:pPr>
        <w:ind w:left="280" w:hanging="272"/>
        <w:spacing w:after="0"/>
        <w:tabs>
          <w:tab w:leader="none" w:pos="2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9" w:lineRule="exact"/>
        <w:rPr>
          <w:sz w:val="20"/>
          <w:szCs w:val="20"/>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 xml:space="preserve">99.1 </w:t>
      </w:r>
      <w:hyperlink w:anchor="page5">
        <w:r>
          <w:rPr>
            <w:rFonts w:ascii="Arial" w:cs="Arial" w:eastAsia="Arial" w:hAnsi="Arial"/>
            <w:sz w:val="18"/>
            <w:szCs w:val="18"/>
            <w:u w:val="single" w:color="auto"/>
            <w:color w:val="0000EE"/>
          </w:rPr>
          <w:t>Press Release of PennantPark Floating Rate Capital Ltd. dated April 8, 2019</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140970</wp:posOffset>
            </wp:positionV>
            <wp:extent cx="71361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130" cy="2159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800" w:type="dxa"/>
            <w:vAlign w:val="bottom"/>
            <w:gridSpan w:val="3"/>
          </w:tcPr>
          <w:p>
            <w:pPr>
              <w:ind w:left="2020"/>
              <w:spacing w:after="0"/>
              <w:rPr>
                <w:sz w:val="20"/>
                <w:szCs w:val="20"/>
                <w:color w:val="auto"/>
              </w:rPr>
            </w:pPr>
            <w:r>
              <w:rPr>
                <w:rFonts w:ascii="Arial" w:cs="Arial" w:eastAsia="Arial" w:hAnsi="Arial"/>
                <w:sz w:val="18"/>
                <w:szCs w:val="18"/>
                <w:b w:val="1"/>
                <w:bCs w:val="1"/>
                <w:color w:val="auto"/>
              </w:rPr>
              <w:t>PennantPark Floating Rate Capital Ltd.</w:t>
            </w:r>
          </w:p>
        </w:tc>
      </w:tr>
      <w:tr>
        <w:trPr>
          <w:trHeight w:val="608"/>
        </w:trPr>
        <w:tc>
          <w:tcPr>
            <w:tcW w:w="3440" w:type="dxa"/>
            <w:vAlign w:val="bottom"/>
          </w:tcPr>
          <w:p>
            <w:pPr>
              <w:spacing w:after="0"/>
              <w:rPr>
                <w:sz w:val="20"/>
                <w:szCs w:val="20"/>
                <w:color w:val="auto"/>
              </w:rPr>
            </w:pPr>
            <w:r>
              <w:rPr>
                <w:rFonts w:ascii="Arial" w:cs="Arial" w:eastAsia="Arial" w:hAnsi="Arial"/>
                <w:sz w:val="18"/>
                <w:szCs w:val="18"/>
                <w:color w:val="auto"/>
              </w:rPr>
              <w:t>Date: April 8, 2019</w:t>
            </w:r>
          </w:p>
        </w:tc>
        <w:tc>
          <w:tcPr>
            <w:tcW w:w="7800" w:type="dxa"/>
            <w:vAlign w:val="bottom"/>
            <w:gridSpan w:val="3"/>
          </w:tcPr>
          <w:p>
            <w:pPr>
              <w:ind w:left="2020"/>
              <w:spacing w:after="0"/>
              <w:rPr>
                <w:sz w:val="20"/>
                <w:szCs w:val="20"/>
                <w:color w:val="auto"/>
              </w:rPr>
            </w:pPr>
            <w:r>
              <w:rPr>
                <w:rFonts w:ascii="Arial" w:cs="Arial" w:eastAsia="Arial" w:hAnsi="Arial"/>
                <w:sz w:val="18"/>
                <w:szCs w:val="18"/>
                <w:color w:val="auto"/>
              </w:rPr>
              <w:t>By: /s/ Aviv Efrat</w:t>
            </w:r>
          </w:p>
        </w:tc>
      </w:tr>
      <w:tr>
        <w:trPr>
          <w:trHeight w:val="222"/>
        </w:trPr>
        <w:tc>
          <w:tcPr>
            <w:tcW w:w="3440" w:type="dxa"/>
            <w:vAlign w:val="bottom"/>
          </w:tcPr>
          <w:p>
            <w:pPr>
              <w:spacing w:after="0"/>
              <w:rPr>
                <w:sz w:val="19"/>
                <w:szCs w:val="19"/>
                <w:color w:val="auto"/>
              </w:rPr>
            </w:pPr>
          </w:p>
        </w:tc>
        <w:tc>
          <w:tcPr>
            <w:tcW w:w="2340" w:type="dxa"/>
            <w:vAlign w:val="bottom"/>
          </w:tcPr>
          <w:p>
            <w:pPr>
              <w:spacing w:after="0"/>
              <w:rPr>
                <w:sz w:val="19"/>
                <w:szCs w:val="19"/>
                <w:color w:val="auto"/>
              </w:rPr>
            </w:pPr>
          </w:p>
        </w:tc>
        <w:tc>
          <w:tcPr>
            <w:tcW w:w="1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Aviv Efrat</w:t>
            </w:r>
          </w:p>
        </w:tc>
        <w:tc>
          <w:tcPr>
            <w:tcW w:w="4140" w:type="dxa"/>
            <w:vAlign w:val="bottom"/>
          </w:tcPr>
          <w:p>
            <w:pPr>
              <w:spacing w:after="0"/>
              <w:rPr>
                <w:sz w:val="19"/>
                <w:szCs w:val="19"/>
                <w:color w:val="auto"/>
              </w:rPr>
            </w:pPr>
          </w:p>
        </w:tc>
      </w:tr>
      <w:tr>
        <w:trPr>
          <w:trHeight w:val="230"/>
        </w:trPr>
        <w:tc>
          <w:tcPr>
            <w:tcW w:w="3440" w:type="dxa"/>
            <w:vAlign w:val="bottom"/>
          </w:tcPr>
          <w:p>
            <w:pPr>
              <w:spacing w:after="0"/>
              <w:rPr>
                <w:sz w:val="20"/>
                <w:szCs w:val="20"/>
                <w:color w:val="auto"/>
              </w:rPr>
            </w:pPr>
          </w:p>
        </w:tc>
        <w:tc>
          <w:tcPr>
            <w:tcW w:w="2340" w:type="dxa"/>
            <w:vAlign w:val="bottom"/>
          </w:tcPr>
          <w:p>
            <w:pPr>
              <w:spacing w:after="0"/>
              <w:rPr>
                <w:sz w:val="20"/>
                <w:szCs w:val="20"/>
                <w:color w:val="auto"/>
              </w:rPr>
            </w:pPr>
          </w:p>
        </w:tc>
        <w:tc>
          <w:tcPr>
            <w:tcW w:w="5460" w:type="dxa"/>
            <w:vAlign w:val="bottom"/>
            <w:gridSpan w:val="2"/>
          </w:tcPr>
          <w:p>
            <w:pPr>
              <w:spacing w:after="0"/>
              <w:rPr>
                <w:sz w:val="20"/>
                <w:szCs w:val="20"/>
                <w:color w:val="auto"/>
              </w:rPr>
            </w:pPr>
            <w:r>
              <w:rPr>
                <w:rFonts w:ascii="Arial" w:cs="Arial" w:eastAsia="Arial" w:hAnsi="Arial"/>
                <w:sz w:val="18"/>
                <w:szCs w:val="18"/>
                <w:color w:val="auto"/>
              </w:rPr>
              <w:t>Chief Financial Officer &amp; Treasurer</w:t>
            </w:r>
          </w:p>
        </w:tc>
      </w:tr>
      <w:tr>
        <w:trPr>
          <w:trHeight w:val="442"/>
        </w:trPr>
        <w:tc>
          <w:tcPr>
            <w:tcW w:w="3440" w:type="dxa"/>
            <w:vAlign w:val="bottom"/>
            <w:tcBorders>
              <w:bottom w:val="single" w:sz="8" w:color="808080"/>
            </w:tcBorders>
          </w:tcPr>
          <w:p>
            <w:pPr>
              <w:spacing w:after="0"/>
              <w:rPr>
                <w:sz w:val="24"/>
                <w:szCs w:val="24"/>
                <w:color w:val="auto"/>
              </w:rPr>
            </w:pPr>
          </w:p>
        </w:tc>
        <w:tc>
          <w:tcPr>
            <w:tcW w:w="23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7126605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ind w:left="5080"/>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p>
      <w:pPr>
        <w:spacing w:after="0"/>
        <w:tabs>
          <w:tab w:leader="none" w:pos="3440" w:val="left"/>
        </w:tabs>
        <w:rPr>
          <w:sz w:val="20"/>
          <w:szCs w:val="20"/>
          <w:color w:val="auto"/>
        </w:rPr>
      </w:pPr>
      <w:r>
        <w:rPr>
          <w:rFonts w:ascii="Arial" w:cs="Arial" w:eastAsia="Arial" w:hAnsi="Arial"/>
          <w:sz w:val="18"/>
          <w:szCs w:val="18"/>
          <w:b w:val="1"/>
          <w:bCs w:val="1"/>
          <w:u w:val="single" w:color="auto"/>
          <w:color w:val="auto"/>
        </w:rPr>
        <w:t>Exhibit No.</w:t>
      </w:r>
      <w:r>
        <w:rPr>
          <w:sz w:val="20"/>
          <w:szCs w:val="20"/>
          <w:color w:val="auto"/>
        </w:rPr>
        <w:tab/>
      </w:r>
      <w:r>
        <w:rPr>
          <w:rFonts w:ascii="Arial" w:cs="Arial" w:eastAsia="Arial" w:hAnsi="Arial"/>
          <w:sz w:val="15"/>
          <w:szCs w:val="15"/>
          <w:b w:val="1"/>
          <w:bCs w:val="1"/>
          <w:u w:val="single" w:color="auto"/>
          <w:color w:val="auto"/>
        </w:rPr>
        <w:t>Description</w:t>
      </w:r>
    </w:p>
    <w:p>
      <w:pPr>
        <w:spacing w:after="0" w:line="229" w:lineRule="exact"/>
        <w:rPr>
          <w:sz w:val="20"/>
          <w:szCs w:val="20"/>
          <w:color w:val="auto"/>
        </w:rPr>
      </w:pPr>
    </w:p>
    <w:p>
      <w:pPr>
        <w:ind w:left="280"/>
        <w:spacing w:after="0"/>
        <w:tabs>
          <w:tab w:leader="none" w:pos="1120" w:val="left"/>
        </w:tabs>
        <w:rPr>
          <w:rFonts w:ascii="Arial" w:cs="Arial" w:eastAsia="Arial" w:hAnsi="Arial"/>
          <w:sz w:val="16"/>
          <w:szCs w:val="16"/>
          <w:u w:val="single" w:color="auto"/>
          <w:color w:val="0000EE"/>
        </w:rPr>
      </w:pPr>
      <w:hyperlink w:anchor="page5">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5">
        <w:r>
          <w:rPr>
            <w:rFonts w:ascii="Arial" w:cs="Arial" w:eastAsia="Arial" w:hAnsi="Arial"/>
            <w:sz w:val="16"/>
            <w:szCs w:val="16"/>
            <w:u w:val="single" w:color="auto"/>
            <w:color w:val="0000EE"/>
          </w:rPr>
          <w:t>Press Release of PennantPark Floating Rate Capital Ltd. dated April 8, 2019</w:t>
        </w:r>
      </w:hyperlink>
    </w:p>
    <w:p>
      <w:pPr>
        <w:sectPr>
          <w:pgSz w:w="11900" w:h="16838" w:orient="portrait"/>
          <w:cols w:equalWidth="0" w:num="1">
            <w:col w:w="10119"/>
          </w:cols>
          <w:pgMar w:left="340" w:top="337"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5875" cy="3003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5875" cy="300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 Schedules Earnings Release of Second Fiscal Quarter 2019 Results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22"/>
          <w:szCs w:val="22"/>
          <w:color w:val="auto"/>
        </w:rPr>
        <w:t>NEW YORK, April 08, 2019 (GLOBE NEWSWIRE) -- PennantPark Floating Rate Capital Ltd. (the "Company") (NASDAQ: PFLT) (TASE: PFLT) announced that it will report results for the second fiscal quarter ended March 31, 2019 on Wednesday, May 8, 2019 after the close of the financial markets.</w:t>
      </w:r>
    </w:p>
    <w:p>
      <w:pPr>
        <w:spacing w:after="0" w:line="186" w:lineRule="exact"/>
        <w:rPr>
          <w:sz w:val="20"/>
          <w:szCs w:val="20"/>
          <w:color w:val="auto"/>
        </w:rPr>
      </w:pPr>
    </w:p>
    <w:p>
      <w:pPr>
        <w:jc w:val="both"/>
        <w:spacing w:after="0" w:line="271" w:lineRule="auto"/>
        <w:rPr>
          <w:sz w:val="20"/>
          <w:szCs w:val="20"/>
          <w:color w:val="auto"/>
        </w:rPr>
      </w:pPr>
      <w:r>
        <w:rPr>
          <w:rFonts w:ascii="Arial" w:cs="Arial" w:eastAsia="Arial" w:hAnsi="Arial"/>
          <w:sz w:val="19"/>
          <w:szCs w:val="19"/>
          <w:color w:val="auto"/>
        </w:rPr>
        <w:t>The Company will also host a conference call at 10:00 a.m. (Eastern Time) on Thursday May 9, 2019 to discuss its financial results. All interested parties are welcome to participate. You can access the conference call by dialing toll-free (800) 239-9838 approximately 5-10 minutes prior to the call. International callers should dial (929) 477-0448. All callers should reference PennantPark Floating Rate Capital Ltd. An archived replay of the call will be available through May 23, 2019 by calling toll-free</w:t>
      </w:r>
    </w:p>
    <w:p>
      <w:pPr>
        <w:spacing w:after="0" w:line="3" w:lineRule="exact"/>
        <w:rPr>
          <w:sz w:val="20"/>
          <w:szCs w:val="20"/>
          <w:color w:val="auto"/>
        </w:rPr>
      </w:pPr>
    </w:p>
    <w:p>
      <w:pPr>
        <w:ind w:firstLine="8"/>
        <w:spacing w:after="0" w:line="236" w:lineRule="auto"/>
        <w:tabs>
          <w:tab w:leader="none" w:pos="586" w:val="left"/>
        </w:tabs>
        <w:numPr>
          <w:ilvl w:val="0"/>
          <w:numId w:val="3"/>
        </w:numPr>
        <w:rPr>
          <w:rFonts w:ascii="Arial" w:cs="Arial" w:eastAsia="Arial" w:hAnsi="Arial"/>
          <w:sz w:val="22"/>
          <w:szCs w:val="22"/>
          <w:color w:val="auto"/>
        </w:rPr>
      </w:pPr>
      <w:r>
        <w:rPr>
          <w:rFonts w:ascii="Arial" w:cs="Arial" w:eastAsia="Arial" w:hAnsi="Arial"/>
          <w:sz w:val="22"/>
          <w:szCs w:val="22"/>
          <w:color w:val="auto"/>
        </w:rPr>
        <w:t>203-1112. International callers please dial (719) 457-0820. For all phone replays, please reference conference ID #8852772.</w:t>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FLOATING RATE CAPITAL LTD.</w:t>
      </w:r>
    </w:p>
    <w:p>
      <w:pPr>
        <w:spacing w:after="0" w:line="20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PennantPark Floating Rate Capital Ltd. is a business development company which primarily invests in U.S. middle-market private companies in the form of floating rate senior secured loans. From time to time, the Company may also invest in mezzanine debt and equity investments. PennantPark Floating Rate Capital Ltd. is managed by PennantPark Investment Advisers, LLC.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Floating Rate Capital Ltd. undertakes no duty to update any forward-looking statement made herein. You should not place undue influence on such forward-looking statements as such statements speak only as of the date on which they are made.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CONTACT:</w:t>
      </w:r>
    </w:p>
    <w:p>
      <w:pPr>
        <w:spacing w:after="0" w:line="238" w:lineRule="auto"/>
        <w:rPr>
          <w:sz w:val="20"/>
          <w:szCs w:val="20"/>
          <w:color w:val="auto"/>
        </w:rPr>
      </w:pPr>
      <w:r>
        <w:rPr>
          <w:rFonts w:ascii="Arial" w:cs="Arial" w:eastAsia="Arial" w:hAnsi="Arial"/>
          <w:sz w:val="22"/>
          <w:szCs w:val="22"/>
          <w:color w:val="auto"/>
        </w:rPr>
        <w:t>Aviv Efrat</w:t>
      </w:r>
    </w:p>
    <w:p>
      <w:pPr>
        <w:spacing w:after="0" w:line="230" w:lineRule="auto"/>
        <w:rPr>
          <w:sz w:val="20"/>
          <w:szCs w:val="20"/>
          <w:color w:val="auto"/>
        </w:rPr>
      </w:pPr>
      <w:r>
        <w:rPr>
          <w:rFonts w:ascii="Arial" w:cs="Arial" w:eastAsia="Arial" w:hAnsi="Arial"/>
          <w:sz w:val="22"/>
          <w:szCs w:val="22"/>
          <w:color w:val="auto"/>
        </w:rPr>
        <w:t>PennantPark Floating Rate Capital Ltd.</w:t>
      </w:r>
    </w:p>
    <w:p>
      <w:pPr>
        <w:spacing w:after="0" w:line="1" w:lineRule="exact"/>
        <w:rPr>
          <w:sz w:val="20"/>
          <w:szCs w:val="20"/>
          <w:color w:val="auto"/>
        </w:rPr>
      </w:pPr>
    </w:p>
    <w:p>
      <w:pPr>
        <w:ind w:right="9240" w:firstLine="8"/>
        <w:spacing w:after="0" w:line="308" w:lineRule="auto"/>
        <w:tabs>
          <w:tab w:leader="none" w:pos="522" w:val="left"/>
        </w:tabs>
        <w:numPr>
          <w:ilvl w:val="0"/>
          <w:numId w:val="4"/>
        </w:numPr>
        <w:rPr>
          <w:rFonts w:ascii="Arial" w:cs="Arial" w:eastAsia="Arial" w:hAnsi="Arial"/>
          <w:sz w:val="19"/>
          <w:szCs w:val="19"/>
          <w:color w:val="auto"/>
        </w:rPr>
      </w:pPr>
      <w:r>
        <w:rPr>
          <w:rFonts w:ascii="Arial" w:cs="Arial" w:eastAsia="Arial" w:hAnsi="Arial"/>
          <w:sz w:val="19"/>
          <w:szCs w:val="19"/>
          <w:color w:val="auto"/>
        </w:rPr>
        <w:t>905-1000 www.pennantpark.com</w:t>
      </w:r>
    </w:p>
    <w:sectPr>
      <w:pgSz w:w="11900" w:h="16838" w:orient="portrait"/>
      <w:cols w:equalWidth="0" w:num="1">
        <w:col w:w="11240"/>
      </w:cols>
      <w:pgMar w:left="320" w:top="11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abstractNum>
  <w:abstractNum w:abstractNumId="2">
    <w:nsid w:val="2AE8944A"/>
    <w:multiLevelType w:val="hybridMultilevel"/>
    <w:lvl w:ilvl="0">
      <w:lvlJc w:val="left"/>
      <w:lvlText w:val="(%1)"/>
      <w:numFmt w:val="decimal"/>
      <w:start w:val="888"/>
    </w:lvl>
  </w:abstractNum>
  <w:abstractNum w:abstractNumId="3">
    <w:nsid w:val="625558EC"/>
    <w:multiLevelType w:val="hybridMultilevel"/>
    <w:lvl w:ilvl="0">
      <w:lvlJc w:val="left"/>
      <w:lvlText w:val="(%1)"/>
      <w:numFmt w:val="decimal"/>
      <w:start w:val="21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2020-05-05T12:05:03Z</dcterms:created>
  <dcterms:modified xsi:type="dcterms:W3CDTF">2020-05-05T12:05:03Z</dcterms:modified>
</cp:coreProperties>
</file>