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22,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60"/>
        <w:spacing w:after="0"/>
        <w:rPr>
          <w:sz w:val="20"/>
          <w:szCs w:val="20"/>
          <w:color w:val="auto"/>
        </w:rPr>
      </w:pPr>
      <w:r>
        <w:rPr>
          <w:rFonts w:ascii="Arial" w:cs="Arial" w:eastAsia="Arial" w:hAnsi="Arial"/>
          <w:sz w:val="22"/>
          <w:szCs w:val="22"/>
          <w:color w:val="auto"/>
        </w:rPr>
        <w:t>On November 22, 2016, PennantPark Floating Rate Capital Ltd. issued a press release announcing its financial results for the fourth quarter and fiscal year ended September 30, 2016.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22,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22, 2016</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22,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ind w:right="480"/>
        <w:spacing w:after="0" w:line="257"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2016</w:t>
      </w:r>
    </w:p>
    <w:p>
      <w:pPr>
        <w:spacing w:after="0" w:line="167" w:lineRule="exact"/>
        <w:rPr>
          <w:sz w:val="20"/>
          <w:szCs w:val="20"/>
          <w:color w:val="auto"/>
        </w:rPr>
      </w:pPr>
    </w:p>
    <w:p>
      <w:pPr>
        <w:ind w:right="960"/>
        <w:spacing w:after="0" w:line="274" w:lineRule="auto"/>
        <w:rPr>
          <w:sz w:val="20"/>
          <w:szCs w:val="20"/>
          <w:color w:val="auto"/>
        </w:rPr>
      </w:pPr>
      <w:r>
        <w:rPr>
          <w:rFonts w:ascii="Arial" w:cs="Arial" w:eastAsia="Arial" w:hAnsi="Arial"/>
          <w:sz w:val="21"/>
          <w:szCs w:val="21"/>
          <w:color w:val="auto"/>
        </w:rPr>
        <w:t>NEW YORK, NY -- (Marketwired - November 22, 2016) - PennantPark Floating Rate Capital Ltd. (NASDAQ: PFLT) announced today financial results for the fourth quarter and fiscal year ended September 30, 2016.</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Quarter ended September 30, 2016</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in millions,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2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598.9</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4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375.9</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4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 value per share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w:t>
            </w:r>
          </w:p>
        </w:tc>
      </w:tr>
      <w:tr>
        <w:trPr>
          <w:trHeight w:val="203"/>
        </w:trPr>
        <w:tc>
          <w:tcPr>
            <w:tcW w:w="5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Yield on debt investments at quarter-end</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405"/>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9"/>
              </w:rPr>
              <w:t>Year Ended</w:t>
            </w:r>
          </w:p>
        </w:tc>
        <w:tc>
          <w:tcPr>
            <w:tcW w:w="32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Quarter Ended</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Results:</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September 30, 2016</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September 30, 2016</w:t>
            </w:r>
          </w:p>
        </w:tc>
      </w:tr>
      <w:tr>
        <w:trPr>
          <w:trHeight w:val="203"/>
        </w:trPr>
        <w:tc>
          <w:tcPr>
            <w:tcW w:w="12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0.31</w:t>
            </w: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0.285</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364.4</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106.8</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164.2</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67.1</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new portfolio companies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invested</w:t>
            </w: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320" w:type="dxa"/>
            <w:vAlign w:val="bottom"/>
          </w:tcPr>
          <w:p>
            <w:pPr>
              <w:spacing w:after="0"/>
              <w:rPr>
                <w:sz w:val="17"/>
                <w:szCs w:val="17"/>
                <w:color w:val="auto"/>
              </w:rPr>
            </w:pP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companies invested</w:t>
            </w:r>
          </w:p>
        </w:tc>
        <w:tc>
          <w:tcPr>
            <w:tcW w:w="4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320" w:type="dxa"/>
            <w:vAlign w:val="bottom"/>
          </w:tcPr>
          <w:p>
            <w:pPr>
              <w:spacing w:after="0"/>
              <w:rPr>
                <w:sz w:val="17"/>
                <w:szCs w:val="17"/>
                <w:color w:val="auto"/>
              </w:rPr>
            </w:pP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ending portfolio</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companies</w:t>
            </w: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320" w:type="dxa"/>
            <w:vAlign w:val="bottom"/>
          </w:tcPr>
          <w:p>
            <w:pPr>
              <w:spacing w:after="0"/>
              <w:rPr>
                <w:sz w:val="17"/>
                <w:szCs w:val="17"/>
                <w:color w:val="auto"/>
              </w:rPr>
            </w:pP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23, 2016</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PennantPark Floating Rate Capital Ltd. ("we," "our," "us" or "Company") will host a conference call at 10:00 a.m. (Eastern Time) on Wednesday, November 23, 2016 to discuss its financial results. All interested parties are welcome to participate. You can access the conference call by dialing (877) 718-5107 approximately 5-10 minutes prior to the call. International callers should dial (719) 325-4762. All callers should reference PennantPark Floating Rate Capital Ltd. An archived replay of the call will be available through December 7, 2016 by calling (888) 203-1112. International callers please dial (719) 457-0820. For all phone replays, please reference conference ID #9859517.</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London Interbank Offered Rate, or LIBOR, or prime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80"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For the three months ended September 30, 2016, we invested $106.8 million in 11 new and six existing portfolio companies with a weighted average yield on debt investments of 7.0%. Sales and repayments of investments for the three months ended September 30, 2016 totaled $67.1 million. This compares to the three months ended September 30, 2015, in which we invested $63.2 million in six new and eight existing portfolio companies with a weighted average yield on debt investments of 8.3%. Sales and repayments of investments for the same period totaled $48.9 million.</w:t>
      </w:r>
    </w:p>
    <w:p>
      <w:pPr>
        <w:sectPr>
          <w:pgSz w:w="11900" w:h="16838" w:orient="portrait"/>
          <w:cols w:equalWidth="0" w:num="1">
            <w:col w:w="11240"/>
          </w:cols>
          <w:pgMar w:left="320" w:top="111" w:right="339" w:bottom="147" w:gutter="0" w:footer="0" w:header="0"/>
        </w:sectPr>
      </w:pPr>
    </w:p>
    <w:bookmarkStart w:id="3" w:name="page4"/>
    <w:bookmarkEnd w:id="3"/>
    <w:p>
      <w:pPr>
        <w:spacing w:after="0" w:line="236" w:lineRule="auto"/>
        <w:rPr>
          <w:sz w:val="20"/>
          <w:szCs w:val="20"/>
          <w:color w:val="auto"/>
        </w:rPr>
      </w:pPr>
      <w:r>
        <w:rPr>
          <w:rFonts w:ascii="Arial" w:cs="Arial" w:eastAsia="Arial" w:hAnsi="Arial"/>
          <w:sz w:val="22"/>
          <w:szCs w:val="22"/>
          <w:color w:val="auto"/>
        </w:rPr>
        <w:t>For the fiscal year ended September 30, 2016, we invested $364.4 million in 37 new and 25 existing portfolio companies with a weighted average yield on debt investments of 7.8%. Sales and repayments of investments for the year ended September 30, 2016 totaled $164.2 million. This compares to the fiscal year ended September 30, 2015, in which we invested $224.2 million in 32 new and 34 existing portfolio companies with a weighted average yield on debt investments of 7.7%. Sales and repayments of investments for the same period totaled $195.0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2016 and 2015.</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Investment income for the three months ended September 30, 2016 and 2015 was $15.4 million and $7.8 million, respectively, and was attributable to $10.4 million and $6.1 million from senior secured debt, $1.6 million and $1.4 million from second lien secured debt and $3.4 million (including $3.3 million from settlement proceeds) and $0.3 million from subordinated debt, respectively.</w:t>
      </w:r>
    </w:p>
    <w:p>
      <w:pPr>
        <w:spacing w:after="0" w:line="185"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Investment income for the fiscal years ended September 30, 2016 and 2015 was $46.3 and $30.4 million, respectively, and was attributable to $36.4 million and $23.5 million from senior secured debt, $6.1 million and $5.7 million from second lien secured debt and $3.8 million (including $3.3 million from settlement proceeds) and $1.2 million from subordinated debt, respectively. The increase in investment income over the prior year was primarily due to the growth of our portfolio.</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Expenses for the three months ended September 30, 2016 and 2015 totaled $7.2 million and $4.2 million, respectively. Base management fee for the same periods totaled $1.5 million and $1.0 million, incentive fee totaled $3.4 million and $(0.5) million (including $1.1 million and $(0.5) million, respectively, on net unrealized gains accrued but not payable), Credit Facility expenses totaled $1.6 million and $2.9 million (including zero and $2.1 million of Credit Facility amendment expenses), general and administrative expenses totaled $0.7 million and $0.7 million and excise taxes were zero and $0.1 million, respectively.</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Expenses for the fiscal years ended September 30, 2016 and 2015 totaled $19.0 million and $12.7 million, respectively. Base management fee for the same periods totaled $5.0 million and $3.6 million, incentive fee totaled $4.8 million and $1.1 million (including zero and $(0.4) million, respectively, on net realized gains and $1.1 million and $(0.7) million, respectively, on net unrealized gains accrued but not payable), Credit Facility expenses totaled $5.8 million and $5.6 million (including $0.9 million and $2.3 million, respectively, of Credit Facility amendment expenses), general and administrative expenses totaled $3.4 million and $2.0 million and excise taxes were zero and $0.4 million, respectively. The increase in expenses over the prior year was primarily due to increases in base management and incentive fees as a result from the growth of our portfolio.</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Net investment income totaled $8.2 million and $3.6 million, or $0.31 and $0.18 per share, for the three months ended September 30, 2016 and 2015, respectively.</w:t>
      </w:r>
    </w:p>
    <w:p>
      <w:pPr>
        <w:spacing w:after="0" w:line="175"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Net investment income totaled $27.3 million and $17.7 million, or $1.02 and $1.08 per share, for the fiscal years ended September 30, 2016 and 2015, respectively. Although the net investment income increased, the net investment income per share decreased compared to the prior year primarily due to the issuance of new shares in connection with our acquisition of MCG in August 2015.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Sales and repayments of investments for the three months ended September 30, 2016 and 2015 totaled $67.1 million and $48.9 million, respectively. Net realized gains (losses) totaled $0.6 million and less than $(0.1) million for the same periods, respectively.</w:t>
      </w:r>
    </w:p>
    <w:p>
      <w:pPr>
        <w:spacing w:after="0" w:line="186"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Sales and repayments of investments for the fiscal years ended September 30, 2016 and 2015 totaled $164.2 million and $195.0 million, respectively, and net realized (losses) gains totaled $(1.4) million and $0.4 million, respectively. The decrease in realized gains compared to the prior year was driven by changes in market conditions for our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For the three months ended September 30, 2016 and 2015, we reported unrealized appreciation (depreciation) on investments of $7.1 million and $(2.7) million, respectively. Net change in unrealized (appreciation) depreciation on our Credit Facility totaled less than $(0.1) million and $0.3 million, respectively, for the same periods.</w:t>
      </w:r>
    </w:p>
    <w:p>
      <w:pPr>
        <w:spacing w:after="0" w:line="186"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For the fiscal years ended September 30, 2016 and 2015, we reported unrealized appreciation (depreciation) on investments of $7.0 million and $(6.1) million, respectively. As of September 30, 2016 and 2015, net unrealized appreciation (depreciation) on investments totaled $1.0 million and $(6.0) million, respectively. The net change in unrealized appreciation (depreciation) on our investments compared to the prior year was driven primarily by changes in the capital market conditions, financial performance of certain portfolio companies, and the reversal of unrealized depreciation (appreciation) of investments sold.</w:t>
      </w:r>
    </w:p>
    <w:p>
      <w:pPr>
        <w:sectPr>
          <w:pgSz w:w="11900" w:h="16838" w:orient="portrait"/>
          <w:cols w:equalWidth="0" w:num="1">
            <w:col w:w="11240"/>
          </w:cols>
          <w:pgMar w:left="320" w:top="118" w:right="339" w:bottom="0" w:gutter="0" w:footer="0" w:header="0"/>
        </w:sectPr>
      </w:pPr>
    </w:p>
    <w:bookmarkStart w:id="4" w:name="page5"/>
    <w:bookmarkEnd w:id="4"/>
    <w:p>
      <w:pPr>
        <w:spacing w:after="0" w:line="7"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color w:val="auto"/>
        </w:rPr>
        <w:t>For the fiscal years ended September 30, 2016 and 2015, our Credit Facility had a change in unrealized depreciation of $0.5 million and $0.5 million, respectively. As of September 30, 2016 and 2015, net unrealized depreciation on our Credit Facility totaled $0.5 million and zero, respectively. The change compared to the prior year was due to changes in the capital markets.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Net change in net assets resulting from operations totaled $15.9 million and $1.2 million, or $0.59 and $0.06 per share, for the three months ended September 30, 2016 and 2015, respectively.</w:t>
      </w:r>
    </w:p>
    <w:p>
      <w:pPr>
        <w:spacing w:after="0" w:line="175"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Net change in net assets resulting from operations totaled $33.5 million and $12.5 million, or $1.25 and $0.77 per share, for the fiscal years ended September 30, 2016 and 2015, respectively. The increase in the net change in net assets from operations compared to the prior year reflects the change in portfolio investment valuation during the reporting period.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of September 30, 2016 and 2015, we had $232.9 million and $29.6 million of outstanding borrowings under the Credit Facility, respectively. The Credit Facility has an interest rate of 2.57% and 2.20%, respectively, excluding the undrawn commitment fees of 0.375% and 0.75% as of September 30, 2016 and 2015. The annualized weighted average cost of debt for the fiscal years ended September 30, 2016 and 2015, inclusive of the fee on the undrawn commitment on the Credit Facility but excluding amendment costs, was 3.51% and 2.62%, respectively.</w:t>
      </w:r>
    </w:p>
    <w:p>
      <w:pPr>
        <w:spacing w:after="0" w:line="187"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As of September 30, 2016 and 2015, we had $117.1 million and $260.4 million of unused borrowing capacity under our Credit Facility, respectively, subject to the regulatory restrictions.</w:t>
      </w:r>
    </w:p>
    <w:p>
      <w:pPr>
        <w:spacing w:after="0" w:line="175" w:lineRule="exact"/>
        <w:rPr>
          <w:sz w:val="20"/>
          <w:szCs w:val="20"/>
          <w:color w:val="auto"/>
        </w:rPr>
      </w:pPr>
    </w:p>
    <w:p>
      <w:pPr>
        <w:ind w:right="640"/>
        <w:spacing w:after="0"/>
        <w:rPr>
          <w:sz w:val="20"/>
          <w:szCs w:val="20"/>
          <w:color w:val="auto"/>
        </w:rPr>
      </w:pPr>
      <w:r>
        <w:rPr>
          <w:rFonts w:ascii="Arial" w:cs="Arial" w:eastAsia="Arial" w:hAnsi="Arial"/>
          <w:sz w:val="22"/>
          <w:szCs w:val="22"/>
          <w:color w:val="auto"/>
        </w:rPr>
        <w:t>On September 30, 2016 and 2015, we had cash equivalents of $28.9 million and $21.4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21"/>
          <w:szCs w:val="21"/>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our merger with MCG Capital Corporation.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During the three months ended September 30, 2016 and 2015, we declared distributions of $0.285 per share for each period for total distributions of $7.6 million and $6.5 million, respectively. During the years ended September 30, 2016 and 2015, we declared distributions of $1.14 and $1.12 per share, respectively, for total distributions of $30.5 million and $18.9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its website at www.pennantpark.com.</w:t>
      </w:r>
    </w:p>
    <w:p>
      <w:pPr>
        <w:spacing w:after="0" w:line="396"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8"/>
          <w:szCs w:val="18"/>
          <w:color w:val="auto"/>
        </w:rPr>
        <w:t>PENNANTPARK FLOATING RATE CAPITAL LTD. AND SUBSIDIARIES</w:t>
      </w:r>
    </w:p>
    <w:p>
      <w:pPr>
        <w:jc w:val="center"/>
        <w:ind w:right="31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ectPr>
          <w:pgSz w:w="11900" w:h="16845"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left="486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8"/>
          <w:szCs w:val="18"/>
          <w:color w:val="auto"/>
        </w:rPr>
        <w:t>2016</w:t>
      </w:r>
    </w:p>
    <w:p>
      <w:pPr>
        <w:spacing w:after="0" w:line="4"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8"/>
          <w:szCs w:val="18"/>
          <w:color w:val="auto"/>
        </w:rPr>
        <w:t>2015</w:t>
      </w:r>
    </w:p>
    <w:p>
      <w:pPr>
        <w:spacing w:after="0" w:line="4"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45" w:orient="portrait"/>
          <w:cols w:equalWidth="0" w:num="2">
            <w:col w:w="6220" w:space="220"/>
            <w:col w:w="4800"/>
          </w:cols>
          <w:pgMar w:left="320" w:top="118" w:right="339"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Assets</w:t>
      </w:r>
    </w:p>
    <w:p>
      <w:pPr>
        <w:spacing w:after="0" w:line="238" w:lineRule="auto"/>
        <w:rPr>
          <w:sz w:val="20"/>
          <w:szCs w:val="20"/>
          <w:color w:val="auto"/>
        </w:rPr>
      </w:pPr>
      <w:r>
        <w:rPr>
          <w:rFonts w:ascii="Courier New" w:cs="Courier New" w:eastAsia="Courier New" w:hAnsi="Courier New"/>
          <w:sz w:val="18"/>
          <w:szCs w:val="18"/>
          <w:color w:val="auto"/>
        </w:rPr>
        <w:t>Investments at fair value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Non-controlled, non-affiliated investments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(cost--$597,910,267 and $394,561,175,</w:t>
      </w:r>
    </w:p>
    <w:p>
      <w:pPr>
        <w:sectPr>
          <w:pgSz w:w="11900" w:h="16845" w:orient="portrait"/>
          <w:cols w:equalWidth="0" w:num="1">
            <w:col w:w="11240"/>
          </w:cols>
          <w:pgMar w:left="320" w:top="118" w:right="339" w:bottom="0" w:gutter="0" w:footer="0" w:header="0"/>
          <w:type w:val="continuous"/>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respectively)</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598,887,525</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6"/>
          <w:szCs w:val="16"/>
          <w:color w:val="auto"/>
        </w:rPr>
        <w:t>$</w:t>
        <w:tab/>
        <w:t>388,535,383</w:t>
      </w:r>
    </w:p>
    <w:p>
      <w:pPr>
        <w:spacing w:after="0" w:line="21" w:lineRule="exact"/>
        <w:rPr>
          <w:sz w:val="20"/>
          <w:szCs w:val="20"/>
          <w:color w:val="auto"/>
        </w:rPr>
      </w:pPr>
    </w:p>
    <w:p>
      <w:pPr>
        <w:sectPr>
          <w:pgSz w:w="11900" w:h="16845" w:orient="portrait"/>
          <w:cols w:equalWidth="0" w:num="3">
            <w:col w:w="4020" w:space="720"/>
            <w:col w:w="1480" w:space="220"/>
            <w:col w:w="4800"/>
          </w:cols>
          <w:pgMar w:left="320" w:top="118" w:right="339"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Controlled, affiliated investments (cost--</w:t>
      </w:r>
    </w:p>
    <w:p>
      <w:pPr>
        <w:sectPr>
          <w:pgSz w:w="11900" w:h="16845" w:orient="portrait"/>
          <w:cols w:equalWidth="0" w:num="1">
            <w:col w:w="11240"/>
          </w:cols>
          <w:pgMar w:left="320" w:top="118" w:right="3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$0 and $2,777,132, respectively)</w:t>
            </w:r>
          </w:p>
        </w:tc>
        <w:tc>
          <w:tcPr>
            <w:tcW w:w="3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2,776,507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(cost--$597,910,267</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$397,338,307, respectively)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598,887,525</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391,311,890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and cash equivalents (cost--$28,903,359</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$21,428,514, respectively)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28,910,973</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21,428,514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2,480,406</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1,959,404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1,141,191</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1,420,529</w:t>
            </w:r>
          </w:p>
        </w:tc>
      </w:tr>
      <w:tr>
        <w:trPr>
          <w:trHeight w:val="202"/>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631,420,095</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416,120,337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2,539,357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2,539,357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14,935,970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9,367,500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(cost--$232,907,500</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$29,600,000, respectively)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232,389,498</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531,926</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224,633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1,458,625</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956,115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3,454,914</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202,977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539,347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255,513,267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43,229,888</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26,730,074 shares issued and</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Par value $0.001 per share and 100,000,000</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26,730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26,730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371,194,366</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371,502,801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4,559,646</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6,991,473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gain on</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3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(1,376,788)</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395,862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 (depreciation)</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investments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984,872</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(6,026,417)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518,002</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375,906,828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372,890,449</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631,420,095</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416,120,337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8020" w:type="dxa"/>
            <w:vAlign w:val="bottom"/>
            <w:gridSpan w:val="5"/>
          </w:tcPr>
          <w:p>
            <w:pPr>
              <w:jc w:val="center"/>
              <w:ind w:left="12"/>
              <w:spacing w:after="0"/>
              <w:rPr>
                <w:sz w:val="20"/>
                <w:szCs w:val="20"/>
                <w:color w:val="auto"/>
              </w:rPr>
            </w:pPr>
            <w:r>
              <w:rPr>
                <w:rFonts w:ascii="Courier New" w:cs="Courier New" w:eastAsia="Courier New" w:hAnsi="Courier New"/>
                <w:sz w:val="18"/>
                <w:szCs w:val="18"/>
                <w:color w:val="auto"/>
                <w:w w:val="97"/>
              </w:rPr>
              <w:t>PENNANTPARK FLOATING RATE CAPITAL LTD. AND SUBSIDIARIES</w:t>
            </w:r>
          </w:p>
        </w:tc>
      </w:tr>
      <w:tr>
        <w:trPr>
          <w:trHeight w:val="203"/>
        </w:trPr>
        <w:tc>
          <w:tcPr>
            <w:tcW w:w="6440" w:type="dxa"/>
            <w:vAlign w:val="bottom"/>
            <w:gridSpan w:val="3"/>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Years Ended September 30,</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2016</w:t>
            </w:r>
          </w:p>
        </w:tc>
        <w:tc>
          <w:tcPr>
            <w:tcW w:w="14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From non-controlled, non-affiliated investments:</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$ 40,561,694</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$ 29,203,963</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2,334,330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1,151,336</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proceeds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3,299,764</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105,502</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46,301,290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30,355,299</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5,015,077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3,572,614</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4,791,574</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1,114,972</w:t>
            </w:r>
          </w:p>
        </w:tc>
      </w:tr>
      <w:tr>
        <w:trPr>
          <w:trHeight w:val="203"/>
        </w:trPr>
        <w:tc>
          <w:tcPr>
            <w:tcW w:w="5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the Credit Facility</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4,923,219</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3,251,761</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1,148,281</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837,708</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2,179,257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1,176,769</w:t>
            </w:r>
          </w:p>
        </w:tc>
      </w:tr>
      <w:tr>
        <w:trPr>
          <w:trHeight w:val="202"/>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provision for taxes and</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18,057,408</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9,953,824</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440,000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907,722</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2,301,478</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18,965,130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12,695,302</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27,336,160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17,659,997</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(loss) gain on</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Net realized (loss) gain on non-controlled, non-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(1,376,788)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395,862</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7,011,289</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(6,100,614)</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depreciation</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518,002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549,000</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 investments and Credit</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7,529,291</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(5,551,614)</w:t>
            </w:r>
          </w:p>
        </w:tc>
      </w:tr>
      <w:tr>
        <w:trPr>
          <w:trHeight w:val="202"/>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(loss) from</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6,152,503</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(5,155,752)</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$ 33,488,663</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$ 12,504,245</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0.77</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3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2020-05-05T12:05:17Z</dcterms:created>
  <dcterms:modified xsi:type="dcterms:W3CDTF">2020-05-05T12:05:17Z</dcterms:modified>
</cp:coreProperties>
</file>