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333-279726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 the Prospectus dated July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86360</wp:posOffset>
            </wp:positionV>
            <wp:extent cx="1938655" cy="459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Up to $500 million</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168910</wp:posOffset>
            </wp:positionV>
            <wp:extent cx="1504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350"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PennantPark Floating Rate Capital Ltd. (“we”, “our”, or “us”) has entered into separate equity distribution agreements, each dated July 17, 2024, with Citizens JMP Securities, LLC, Raymond James &amp; Associates, Inc. and Truist Securities, Inc., each, a sales agent, relating to the shares of our common stock offered by this prospectus supplement and the accompanying prospectus. The equity distribution agreements provide that we may offer and sell shares of our common stock having an aggregate offering price of up to</w:t>
      </w:r>
    </w:p>
    <w:p>
      <w:pPr>
        <w:spacing w:after="0" w:line="1"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$500 million from time to time through the sales agents. Sales of our common stock, if any, under this prospectus supplement and the accompanying prospectus may be made in negotiated transactions or transactions that are deemed to be “at the market,” as defined in Rule 415 under the Securities Act of 1933, as amended, or the Securities Act, including sales made directly on The New York Stock Exchange, or NYSE, or any similar securities exchange or sales made to or through a market maker other than on a securities exchange, at prices related to the prevailing market prices or at negotiated prices. See “Plan of Distribution.” As of the date of this prospectus supplement, we have not sold any shares of common stock under the equity distribution agreements.</w:t>
      </w:r>
    </w:p>
    <w:p>
      <w:pPr>
        <w:spacing w:after="0" w:line="82"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6"/>
          <w:szCs w:val="16"/>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(the “Investment Adviser”). PennantPark Investment Administration, LLC provides the administrative services necessary for us to operate.</w:t>
      </w:r>
    </w:p>
    <w:p>
      <w:pPr>
        <w:spacing w:after="0" w:line="81"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Our common stock is traded on the NYSE under the symbol “PFLT”. The last reported closing price for our common stock on the NYSE on July 12, 2024 was $11.93 per share. The net asset value, or NAV, of our common stock as of March 31, 2024 (the last date prior to the date of this prospectus supplement on which we published NAV) was $11.40 per share.</w:t>
      </w:r>
    </w:p>
    <w:p>
      <w:pPr>
        <w:spacing w:after="0" w:line="72"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Under the terms of the equity distribution agreements, each sales agent will receive a commission from us of up to 2.0% of the gross sales price of any shares of common stock sold through such sales agent under the applicable equity distribution agreement. The sales agents are not required to sell any specific number or dollar amount of common stock but will use their commercially reasonable efforts consistent with their respective sales and trading practices to sell the shares of our common stock offered by this prospectus supplement and the accompanying prospectus. We may also sell shares of common stock to a sales agent, as principal for its own account, at a price agreed upon at the time of sale. If we sell shares to a sales agent as principal, we will enter into a separate agreement with such sales agent, setting forth the terms of such transaction, and we will describe such agreement in a separate prospectus supplement. See “Plan of Distribution” beginning on page S-14 of this prospectus supplement.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84"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6"/>
          <w:szCs w:val="16"/>
          <w:i w:val="1"/>
          <w:iCs w:val="1"/>
          <w:u w:val="single" w:color="auto"/>
          <w:color w:val="auto"/>
        </w:rPr>
        <w:t>www.pennantpark.com</w:t>
      </w:r>
      <w:r>
        <w:rPr>
          <w:rFonts w:ascii="Times New Roman" w:cs="Times New Roman" w:eastAsia="Times New Roman" w:hAnsi="Times New Roman"/>
          <w:sz w:val="16"/>
          <w:szCs w:val="16"/>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Times New Roman" w:cs="Times New Roman" w:eastAsia="Times New Roman" w:hAnsi="Times New Roman"/>
          <w:sz w:val="16"/>
          <w:szCs w:val="16"/>
          <w:i w:val="1"/>
          <w:iCs w:val="1"/>
          <w:u w:val="single" w:color="auto"/>
          <w:color w:val="auto"/>
        </w:rPr>
        <w:t>www.sec.gov</w:t>
      </w:r>
      <w:r>
        <w:rPr>
          <w:rFonts w:ascii="Times New Roman" w:cs="Times New Roman" w:eastAsia="Times New Roman" w:hAnsi="Times New Roman"/>
          <w:sz w:val="16"/>
          <w:szCs w:val="16"/>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137160</wp:posOffset>
            </wp:positionV>
            <wp:extent cx="1504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88"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9"/>
          <w:szCs w:val="19"/>
          <w:b w:val="1"/>
          <w:bCs w:val="1"/>
          <w:color w:val="auto"/>
        </w:rPr>
        <w:t>Investing in our common stock involves a high degree of risk, including the risk of leverage. Before buying any shares of our common stock, you should read the discussion of the material risks of investing in us described in the section titled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on page S-10 of this prospectus supplement and in our most recent Annual Report on Form 10-K, our most subsequent Quarterly Reports on Form 10-Q and under similar headings in other documents that are filed with the SEC on or after the date hereof and incorporated by reference into this prospectus supplement and the accompanying prospectus.</w:t>
      </w:r>
    </w:p>
    <w:p>
      <w:pPr>
        <w:spacing w:after="0" w:line="69" w:lineRule="exact"/>
        <w:rPr>
          <w:sz w:val="24"/>
          <w:szCs w:val="24"/>
          <w:color w:val="auto"/>
        </w:rPr>
      </w:pPr>
    </w:p>
    <w:p>
      <w:pPr>
        <w:ind w:right="120"/>
        <w:spacing w:after="0" w:line="289" w:lineRule="auto"/>
        <w:rPr>
          <w:sz w:val="20"/>
          <w:szCs w:val="20"/>
          <w:color w:val="auto"/>
        </w:rPr>
      </w:pPr>
      <w:r>
        <w:rPr>
          <w:rFonts w:ascii="Times New Roman" w:cs="Times New Roman" w:eastAsia="Times New Roman" w:hAnsi="Times New Roman"/>
          <w:sz w:val="16"/>
          <w:szCs w:val="16"/>
          <w:b w:val="1"/>
          <w:bCs w:val="1"/>
          <w:color w:val="auto"/>
        </w:rPr>
        <w:t>Shares of closed-end investment companies, including BDCs, frequently trade at a discount to their NAV. If our shares trade at a discount to our NAV, it may increase the risk of loss for purchasers in this offering.</w:t>
      </w:r>
    </w:p>
    <w:p>
      <w:pPr>
        <w:spacing w:after="0" w:line="57" w:lineRule="exact"/>
        <w:rPr>
          <w:sz w:val="24"/>
          <w:szCs w:val="24"/>
          <w:color w:val="auto"/>
        </w:rPr>
      </w:pPr>
    </w:p>
    <w:p>
      <w:pPr>
        <w:ind w:right="140"/>
        <w:spacing w:after="0" w:line="289"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121285</wp:posOffset>
            </wp:positionV>
            <wp:extent cx="15043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315" w:lineRule="exact"/>
        <w:rPr>
          <w:sz w:val="24"/>
          <w:szCs w:val="24"/>
          <w:color w:val="auto"/>
        </w:rPr>
      </w:pPr>
    </w:p>
    <w:p>
      <w:pPr>
        <w:spacing w:after="0"/>
        <w:tabs>
          <w:tab w:leader="none" w:pos="4800" w:val="left"/>
          <w:tab w:leader="none" w:pos="9500" w:val="left"/>
        </w:tabs>
        <w:rPr>
          <w:sz w:val="20"/>
          <w:szCs w:val="20"/>
          <w:color w:val="auto"/>
        </w:rPr>
      </w:pPr>
      <w:r>
        <w:rPr>
          <w:rFonts w:ascii="Times New Roman" w:cs="Times New Roman" w:eastAsia="Times New Roman" w:hAnsi="Times New Roman"/>
          <w:sz w:val="25"/>
          <w:szCs w:val="25"/>
          <w:b w:val="1"/>
          <w:bCs w:val="1"/>
          <w:color w:val="auto"/>
        </w:rPr>
        <w:t>Citizens JMP</w:t>
      </w:r>
      <w:r>
        <w:rPr>
          <w:sz w:val="20"/>
          <w:szCs w:val="20"/>
          <w:color w:val="auto"/>
        </w:rPr>
        <w:tab/>
      </w:r>
      <w:r>
        <w:rPr>
          <w:rFonts w:ascii="Times New Roman" w:cs="Times New Roman" w:eastAsia="Times New Roman" w:hAnsi="Times New Roman"/>
          <w:sz w:val="25"/>
          <w:szCs w:val="25"/>
          <w:b w:val="1"/>
          <w:bCs w:val="1"/>
          <w:color w:val="auto"/>
        </w:rPr>
        <w:t>Raymond James</w:t>
      </w:r>
      <w:r>
        <w:rPr>
          <w:sz w:val="20"/>
          <w:szCs w:val="20"/>
          <w:color w:val="auto"/>
        </w:rPr>
        <w:tab/>
      </w:r>
      <w:r>
        <w:rPr>
          <w:rFonts w:ascii="Times New Roman" w:cs="Times New Roman" w:eastAsia="Times New Roman" w:hAnsi="Times New Roman"/>
          <w:sz w:val="24"/>
          <w:szCs w:val="24"/>
          <w:b w:val="1"/>
          <w:bCs w:val="1"/>
          <w:color w:val="auto"/>
        </w:rPr>
        <w:t>Truist Securities</w:t>
      </w:r>
    </w:p>
    <w:p>
      <w:pPr>
        <w:sectPr>
          <w:pgSz w:w="11900" w:h="16838" w:orient="portrait"/>
          <w:cols w:equalWidth="0" w:num="1">
            <w:col w:w="11240"/>
          </w:cols>
          <w:pgMar w:left="320" w:top="224" w:right="339" w:bottom="1440" w:gutter="0" w:footer="0" w:header="0"/>
        </w:sectPr>
      </w:pP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July 17, 2024.</w:t>
      </w:r>
    </w:p>
    <w:p>
      <w:pPr>
        <w:sectPr>
          <w:pgSz w:w="11900" w:h="16838" w:orient="portrait"/>
          <w:cols w:equalWidth="0" w:num="1">
            <w:col w:w="11240"/>
          </w:cols>
          <w:pgMar w:left="320" w:top="22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4"/>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60" w:type="dxa"/>
            <w:vAlign w:val="bottom"/>
            <w:gridSpan w:val="6"/>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8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6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S-i</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60" w:type="dxa"/>
            <w:vAlign w:val="bottom"/>
            <w:tcBorders>
              <w:bottom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w w:val="97"/>
              </w:rPr>
              <w:t>ABOUT THIS PROSPECTUS SUPPLEMENT</w:t>
            </w:r>
          </w:p>
        </w:tc>
        <w:tc>
          <w:tcPr>
            <w:tcW w:w="5480" w:type="dxa"/>
            <w:vAlign w:val="bottom"/>
            <w:gridSpan w:val="9"/>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1"/>
        </w:trPr>
        <w:tc>
          <w:tcPr>
            <w:tcW w:w="3220" w:type="dxa"/>
            <w:vAlign w:val="bottom"/>
            <w:tcBorders>
              <w:bottom w:val="single" w:sz="8" w:color="0000EE"/>
            </w:tcBorders>
            <w:gridSpan w:val="16"/>
          </w:tcPr>
          <w:p>
            <w:pPr>
              <w:spacing w:after="0" w:line="190" w:lineRule="exact"/>
              <w:rPr>
                <w:sz w:val="20"/>
                <w:szCs w:val="20"/>
                <w:color w:val="auto"/>
              </w:rPr>
            </w:pPr>
            <w:r>
              <w:rPr>
                <w:rFonts w:ascii="Times New Roman" w:cs="Times New Roman" w:eastAsia="Times New Roman" w:hAnsi="Times New Roman"/>
                <w:sz w:val="18"/>
                <w:szCs w:val="18"/>
                <w:color w:val="0000EE"/>
                <w:w w:val="96"/>
              </w:rPr>
              <w:t>PROSPECTUS SUPPLEMENT SUMMARY</w:t>
            </w:r>
          </w:p>
        </w:tc>
        <w:tc>
          <w:tcPr>
            <w:tcW w:w="5620" w:type="dxa"/>
            <w:vAlign w:val="bottom"/>
            <w:gridSpan w:val="11"/>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THE OFFERING</w:t>
            </w:r>
          </w:p>
        </w:tc>
        <w:tc>
          <w:tcPr>
            <w:tcW w:w="2060" w:type="dxa"/>
            <w:vAlign w:val="bottom"/>
          </w:tcPr>
          <w:p>
            <w:pPr>
              <w:spacing w:after="0"/>
              <w:rPr>
                <w:sz w:val="16"/>
                <w:szCs w:val="16"/>
                <w:color w:val="auto"/>
              </w:rPr>
            </w:pPr>
          </w:p>
        </w:tc>
        <w:tc>
          <w:tcPr>
            <w:tcW w:w="32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2060" w:type="dxa"/>
            <w:vAlign w:val="bottom"/>
          </w:tcPr>
          <w:p>
            <w:pPr>
              <w:spacing w:after="0"/>
              <w:rPr>
                <w:sz w:val="16"/>
                <w:szCs w:val="16"/>
                <w:color w:val="auto"/>
              </w:rPr>
            </w:pPr>
          </w:p>
        </w:tc>
        <w:tc>
          <w:tcPr>
            <w:tcW w:w="320" w:type="dxa"/>
            <w:vAlign w:val="bottom"/>
            <w:gridSpan w:val="2"/>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1"/>
        </w:trPr>
        <w:tc>
          <w:tcPr>
            <w:tcW w:w="1740" w:type="dxa"/>
            <w:vAlign w:val="bottom"/>
            <w:tcBorders>
              <w:top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7100" w:type="dxa"/>
            <w:vAlign w:val="bottom"/>
            <w:gridSpan w:val="22"/>
          </w:tcPr>
          <w:p>
            <w:pPr>
              <w:spacing w:after="0"/>
              <w:rPr>
                <w:sz w:val="16"/>
                <w:szCs w:val="16"/>
                <w:color w:val="auto"/>
              </w:rPr>
            </w:pP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5980" w:type="dxa"/>
            <w:vAlign w:val="bottom"/>
            <w:gridSpan w:val="13"/>
          </w:tcPr>
          <w:p>
            <w:pPr>
              <w:spacing w:after="0"/>
              <w:rPr>
                <w:sz w:val="16"/>
                <w:szCs w:val="16"/>
                <w:color w:val="auto"/>
              </w:rPr>
            </w:pP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1"/>
        </w:trPr>
        <w:tc>
          <w:tcPr>
            <w:tcW w:w="2000" w:type="dxa"/>
            <w:vAlign w:val="bottom"/>
            <w:tcBorders>
              <w:top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6840" w:type="dxa"/>
            <w:vAlign w:val="bottom"/>
            <w:gridSpan w:val="21"/>
          </w:tcPr>
          <w:p>
            <w:pPr>
              <w:spacing w:after="0"/>
              <w:rPr>
                <w:sz w:val="16"/>
                <w:szCs w:val="16"/>
                <w:color w:val="auto"/>
              </w:rPr>
            </w:pP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1"/>
        </w:trPr>
        <w:tc>
          <w:tcPr>
            <w:tcW w:w="2060" w:type="dxa"/>
            <w:vAlign w:val="bottom"/>
            <w:tcBorders>
              <w:top w:val="single" w:sz="8" w:color="0000EE"/>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INDEPENDENT AUDITOR</w:t>
            </w:r>
          </w:p>
        </w:tc>
        <w:tc>
          <w:tcPr>
            <w:tcW w:w="2620" w:type="dxa"/>
            <w:vAlign w:val="bottom"/>
            <w:tcBorders>
              <w:top w:val="single" w:sz="8" w:color="0000EE"/>
            </w:tcBorders>
            <w:gridSpan w:val="15"/>
          </w:tcPr>
          <w:p>
            <w:pPr>
              <w:spacing w:after="0"/>
              <w:rPr>
                <w:sz w:val="16"/>
                <w:szCs w:val="16"/>
                <w:color w:val="auto"/>
              </w:rPr>
            </w:pPr>
          </w:p>
        </w:tc>
        <w:tc>
          <w:tcPr>
            <w:tcW w:w="4160" w:type="dxa"/>
            <w:vAlign w:val="bottom"/>
            <w:gridSpan w:val="4"/>
          </w:tcPr>
          <w:p>
            <w:pPr>
              <w:spacing w:after="0"/>
              <w:rPr>
                <w:sz w:val="16"/>
                <w:szCs w:val="16"/>
                <w:color w:val="auto"/>
              </w:rPr>
            </w:pP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6080" w:type="dxa"/>
            <w:vAlign w:val="bottom"/>
            <w:gridSpan w:val="16"/>
          </w:tcPr>
          <w:p>
            <w:pPr>
              <w:spacing w:after="0"/>
              <w:rPr>
                <w:sz w:val="16"/>
                <w:szCs w:val="16"/>
                <w:color w:val="auto"/>
              </w:rPr>
            </w:pP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AVAILABLE INFORMATION</w:t>
            </w:r>
          </w:p>
        </w:tc>
        <w:tc>
          <w:tcPr>
            <w:tcW w:w="2380" w:type="dxa"/>
            <w:vAlign w:val="bottom"/>
            <w:gridSpan w:val="3"/>
          </w:tcPr>
          <w:p>
            <w:pPr>
              <w:jc w:val="right"/>
              <w:ind w:right="40"/>
              <w:spacing w:after="0" w:line="190"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650"/>
        </w:trPr>
        <w:tc>
          <w:tcPr>
            <w:tcW w:w="1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gridSpan w:val="3"/>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6800" w:type="dxa"/>
            <w:vAlign w:val="bottom"/>
            <w:gridSpan w:val="20"/>
            <w:vMerge w:val="restart"/>
          </w:tcPr>
          <w:p>
            <w:pPr>
              <w:spacing w:after="0"/>
              <w:rPr>
                <w:sz w:val="24"/>
                <w:szCs w:val="24"/>
                <w:color w:val="auto"/>
              </w:rPr>
            </w:pPr>
          </w:p>
        </w:tc>
        <w:tc>
          <w:tcPr>
            <w:tcW w:w="2060" w:type="dxa"/>
            <w:vAlign w:val="bottom"/>
          </w:tcPr>
          <w:p>
            <w:pPr>
              <w:spacing w:after="0"/>
              <w:rPr>
                <w:sz w:val="24"/>
                <w:szCs w:val="24"/>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6800" w:type="dxa"/>
            <w:vAlign w:val="bottom"/>
            <w:gridSpan w:val="20"/>
            <w:vMerge w:val="continue"/>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6780" w:type="dxa"/>
            <w:vAlign w:val="bottom"/>
            <w:gridSpan w:val="19"/>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5980" w:type="dxa"/>
            <w:vAlign w:val="bottom"/>
            <w:gridSpan w:val="13"/>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7100" w:type="dxa"/>
            <w:vAlign w:val="bottom"/>
            <w:gridSpan w:val="22"/>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20"/>
          </w:tcPr>
          <w:p>
            <w:pPr>
              <w:spacing w:after="0"/>
              <w:rPr>
                <w:sz w:val="16"/>
                <w:szCs w:val="16"/>
                <w:color w:val="auto"/>
              </w:rPr>
            </w:pPr>
          </w:p>
        </w:tc>
        <w:tc>
          <w:tcPr>
            <w:tcW w:w="4320" w:type="dxa"/>
            <w:vAlign w:val="bottom"/>
            <w:gridSpan w:val="5"/>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3320" w:type="dxa"/>
            <w:vAlign w:val="bottom"/>
            <w:gridSpan w:val="2"/>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6"/>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5560" w:type="dxa"/>
            <w:vAlign w:val="bottom"/>
            <w:gridSpan w:val="10"/>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5360" w:type="dxa"/>
            <w:vAlign w:val="bottom"/>
            <w:gridSpan w:val="8"/>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5040" w:type="dxa"/>
            <w:vAlign w:val="bottom"/>
            <w:gridSpan w:val="7"/>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8"/>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1"/>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4460" w:type="dxa"/>
            <w:vAlign w:val="bottom"/>
            <w:gridSpan w:val="6"/>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4080" w:type="dxa"/>
            <w:vAlign w:val="bottom"/>
            <w:gridSpan w:val="3"/>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16"/>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3040" w:type="dxa"/>
            <w:vAlign w:val="bottom"/>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80" w:type="dxa"/>
            <w:vAlign w:val="bottom"/>
            <w:gridSpan w:val="17"/>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40" w:type="dxa"/>
            <w:vAlign w:val="bottom"/>
            <w:gridSpan w:val="27"/>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4"/>
          </w:tcPr>
          <w:p>
            <w:pPr>
              <w:spacing w:after="0"/>
              <w:rPr>
                <w:sz w:val="16"/>
                <w:szCs w:val="16"/>
                <w:color w:val="auto"/>
              </w:rPr>
            </w:pPr>
          </w:p>
        </w:tc>
        <w:tc>
          <w:tcPr>
            <w:tcW w:w="4160" w:type="dxa"/>
            <w:vAlign w:val="bottom"/>
            <w:gridSpan w:val="4"/>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6080" w:type="dxa"/>
            <w:vAlign w:val="bottom"/>
            <w:gridSpan w:val="16"/>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6580" w:type="dxa"/>
            <w:vAlign w:val="bottom"/>
            <w:gridSpan w:val="17"/>
          </w:tcPr>
          <w:p>
            <w:pPr>
              <w:spacing w:after="0"/>
              <w:rPr>
                <w:sz w:val="16"/>
                <w:szCs w:val="16"/>
                <w:color w:val="auto"/>
              </w:rPr>
            </w:pPr>
          </w:p>
        </w:tc>
        <w:tc>
          <w:tcPr>
            <w:tcW w:w="2380" w:type="dxa"/>
            <w:vAlign w:val="bottom"/>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00"/>
          </w:cols>
          <w:pgMar w:left="320" w:top="29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 SUPPLEMENT</w:t>
      </w:r>
    </w:p>
    <w:p>
      <w:pPr>
        <w:spacing w:after="0" w:line="21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specific details regarding the terms of this offering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8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b w:val="1"/>
          <w:bCs w:val="1"/>
          <w:color w:val="auto"/>
        </w:rPr>
        <w:t>WE ARE RESPONSIBLE FOR THE INFORMATION CONTAINED IN THIS PROSPECTUS SUPPLEMENT AND THE ACCOMPANYING PROSPECTUS AND THE DOCUMENTS INCORPORATED BY REFERENCE IN THIS PROSPECTUS SUPPLEMENT AND ACCOMPANYING PROSPECTUS. NEITHER WE NOR ANY SALES AGENT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SALES AGENTS ARE NOT, MAKING AN OFFER TO SELL SHARES OF OUR COMMON STOCK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SHARES OF OUR COMMON STOCK. OUR BUSINESS, FINANCIAL CONDITION, RESULTS OF OPERATIONS AND PROSPECTS MAY HAVE CHANGED SINCE THOSE DATES.</w:t>
      </w: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00"/>
          </w:cols>
          <w:pgMar w:left="320" w:top="29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PROSPECTUS SUPPLEMENT SUMMARY</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the section titled “Risk Factors” in our most recent Annual Report on Form 10-K, our subsequent Quarterly Reports on Form 10-Q and elsewhere in this prospectus supplement and the accompanying prospectus. You should read carefully the more detailed information set forth under “Risk Factors” and the other information included in this prospectus supplement and accompanying prospectus.</w:t>
      </w:r>
    </w:p>
    <w:p>
      <w:pPr>
        <w:spacing w:after="0" w:line="18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i w:val="1"/>
          <w:iCs w:val="1"/>
          <w:color w:val="auto"/>
        </w:rPr>
        <w:t>In this prospectus supplement and the accompanying prospectus, except where the context suggests otherwise, the terms “Company,” “we,” “our” or “us” refer to PennantPark Floating Rate Capital Ltd. and its wholly-owned consolidated subsidiaries; “Credit Agreement” refers to the credit agreement, dated as of February 22, 2024, by and among PennantPark CLO VIII, as borrower, various financial institutions, as lenders, and Wilmington Trust, National Association, as collateral agent and as loan agent; “Funding I” refers to PennantPark Floating Rate Funding I, LLC; “SEC” refers to the Securities and Exchange Commission; “NAV” refers to net asset value; “Holdings II” refers to PFLT Investment Holdings II, LLC, a Delaware limited liability company; “Holdings” refers to PFLT Investment Holdings, LLC; “GAAP” refers to U.S. generally accepted accounting principles; “PSSL” refers to PennantPark Senior Secured Loan Fund I LLC, an unconsolidated joint venture; “PTSF” refers to PennantPark-TSO Senior Loan Fund, LP, an unconsolidated limited partnership; “PennantPark Investment Advisers” or “Investment Adviser” refer to PennantPark Investment Advisers, LLC; “Administrator” refers to PennantPark Investment Administration, LLC; “2026 Notes” refers to our 4.25% Notes due 2026; “1940 Act” refers to the Investment Company Act of 1940, as amended; “Code” 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entered into on August 12, 2021; “SOFR” refers to Secured Overnight Financing Rate; “Securitization Issuers” refers, collectively, to PennantPark CLO I, Ltd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“2036-Debt Securitization” refers to the $350.6 million term debt securitization completed by PennantPark CLO VIII, LLC; and “2036 Asset-Backed Debt” refers to the issuance of the AAA(sf) Class A-1 Notes, AAA(sf) Class A-2 Notes, AA(sf) Class B Notes, A(sf) Class C Notes, BBB-(sf) Class D Notes, and the borrowing issuance of AAA(sf) Class A-1 floating rate loans.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40"/>
          </w:cols>
          <w:pgMar w:left="520" w:top="474" w:right="53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960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960110"/>
                    </a:xfrm>
                    <a:prstGeom prst="rect">
                      <a:avLst/>
                    </a:prstGeom>
                    <a:noFill/>
                  </pic:spPr>
                </pic:pic>
              </a:graphicData>
            </a:graphic>
          </wp:anchor>
        </w:drawing>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$611 million (increased from $436 million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 The Credit Facility is secured by all of the assets of Funding I.</w:t>
      </w:r>
    </w:p>
    <w:p>
      <w:pPr>
        <w:spacing w:after="0" w:line="19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1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40"/>
          </w:cols>
          <w:pgMar w:left="520" w:top="476"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692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692140"/>
                    </a:xfrm>
                    <a:prstGeom prst="rect">
                      <a:avLst/>
                    </a:prstGeom>
                    <a:noFill/>
                  </pic:spPr>
                </pic:pic>
              </a:graphicData>
            </a:graphic>
          </wp:anchor>
        </w:drawing>
        <w:t>which manages PTSF. PTSF also invests primarily in middle-market and other corporate debt securities consistent with our strategy.</w:t>
      </w:r>
    </w:p>
    <w:p>
      <w:pPr>
        <w:spacing w:after="0" w:line="2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 January 2024, our wholly 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On February 4, 2022, we formed PFLT Investment Holdings II, LLC, a Delaware limited liability company (“Holdings II”), as a wholly owned subsidiary. On December 31, 2022, we contributed 100% of our interests in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middle-market companies across changing economic and market cycles. We believe this experience and history have resulted in a reputation as a trustworthy partner to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6"/>
          <w:szCs w:val="16"/>
          <w:i w:val="1"/>
          <w:iCs w:val="1"/>
          <w:color w:val="auto"/>
        </w:rPr>
        <w:t>Risk Factors—Risks Relating to our Business and Structure—There are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potential conflicts of interest which could impact our investment returns</w:t>
      </w:r>
      <w:r>
        <w:rPr>
          <w:rFonts w:ascii="Times New Roman" w:cs="Times New Roman" w:eastAsia="Times New Roman" w:hAnsi="Times New Roman"/>
          <w:sz w:val="16"/>
          <w:szCs w:val="16"/>
          <w:color w:val="auto"/>
        </w:rPr>
        <w:t>” in our most recent Annual Report on Form 10-K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www.pennantpark.com. Information contained on our website is not incorporated by reference into this prospectus supplement, and you should not consider information contained on our website to be part of this prospectus supplement.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40"/>
          </w:cols>
          <w:pgMar w:left="520" w:top="476" w:right="5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OFFERING</w:t>
      </w:r>
    </w:p>
    <w:p>
      <w:pPr>
        <w:spacing w:after="0" w:line="2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section outlines the specific legal and financial terms of this offering. You should read this section together with the more general description of our common stock in the accompanying prospectus under the heading “Description of Our Capital Stock” before investing in our common stock. Capitalized terms used in this prospectus supplement and not otherwise defined shall have the meanings ascribed to them in the accompanying prospectus or in the equity distribution agreements, as applicable.</w:t>
      </w:r>
    </w:p>
    <w:p>
      <w:pPr>
        <w:sectPr>
          <w:pgSz w:w="11900" w:h="16838" w:orient="portrait"/>
          <w:cols w:equalWidth="0" w:num="1">
            <w:col w:w="11240"/>
          </w:cols>
          <w:pgMar w:left="320" w:top="290" w:right="33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offered by the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 to $500 million of our common stock</w:t>
      </w:r>
    </w:p>
    <w:p>
      <w:pPr>
        <w:spacing w:after="0" w:line="200"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outstanding as of June 30, 2024</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71,998,138</w:t>
      </w:r>
    </w:p>
    <w:p>
      <w:pPr>
        <w:spacing w:after="0" w:line="200"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Manner of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Citizens JMP Securities, LLC, Raymond James &amp; Associates, Inc. and Truist Securities, Inc., the sales agents, using commercially reasonable efforts. See “Plan of Distribution.”</w:t>
      </w:r>
    </w:p>
    <w:p>
      <w:pPr>
        <w:spacing w:after="0" w:line="200"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“PFLT”</w:t>
      </w:r>
    </w:p>
    <w:p>
      <w:pPr>
        <w:spacing w:after="0" w:line="200"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line="7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Common stock issued in this offering will be listed on the NYSE under the symbol “PFLT.”</w:t>
      </w:r>
    </w:p>
    <w:p>
      <w:pPr>
        <w:sectPr>
          <w:pgSz w:w="11900" w:h="16838" w:orient="portrait"/>
          <w:cols w:equalWidth="0" w:num="1">
            <w:col w:w="11240"/>
          </w:cols>
          <w:pgMar w:left="320" w:top="290" w:right="33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sell shares of our common stock with an aggregate offering price of $500 million, we anticipate that our net proceeds, after deducting an assumed maximum sales agents’ commissions and estimated expenses payable by us, will be approximately $489.5 million.</w:t>
      </w:r>
    </w:p>
    <w:p>
      <w:pPr>
        <w:spacing w:after="0" w:line="200"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line="6" w:lineRule="exact"/>
        <w:rPr>
          <w:sz w:val="20"/>
          <w:szCs w:val="20"/>
          <w:color w:val="auto"/>
        </w:rPr>
      </w:pPr>
    </w:p>
    <w:p>
      <w:pPr>
        <w:ind w:left="4260" w:right="580"/>
        <w:spacing w:after="0" w:line="256" w:lineRule="auto"/>
        <w:rPr>
          <w:sz w:val="20"/>
          <w:szCs w:val="20"/>
          <w:color w:val="auto"/>
        </w:rPr>
      </w:pPr>
      <w:r>
        <w:rPr>
          <w:rFonts w:ascii="Times New Roman" w:cs="Times New Roman" w:eastAsia="Times New Roman" w:hAnsi="Times New Roman"/>
          <w:sz w:val="18"/>
          <w:szCs w:val="18"/>
          <w:color w:val="auto"/>
        </w:rPr>
        <w:t>We expect to use the net proceeds from this offering to invest in new or existing portfolio companies or for other general corporate or strategic purposes, including repaying amounts outstanding under our existing indebtedness.</w:t>
      </w:r>
    </w:p>
    <w:p>
      <w:pPr>
        <w:spacing w:after="0" w:line="20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ectPr>
          <w:pgSz w:w="11900" w:h="16838" w:orient="portrait"/>
          <w:cols w:equalWidth="0" w:num="1">
            <w:col w:w="11240"/>
          </w:cols>
          <w:pgMar w:left="320" w:top="290" w:right="33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Trading at a Discount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Shares of closed-end investment companies, including BDCs, frequently trade at a discount to their NAV. The risk that our shares may trade at a discount to our NAV is separate and distinct from the risk that our NAV per share may decline. We cannot predict whether our shares will trade above, at or below NAV.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192"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Distributions on Common Stock</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Times New Roman" w:cs="Times New Roman" w:eastAsia="Times New Roman" w:hAnsi="Times New Roman"/>
          <w:sz w:val="18"/>
          <w:szCs w:val="18"/>
          <w:color w:val="auto"/>
        </w:rPr>
        <w:t>The timing and amount of our monthly distributions to stockholders, if any, are determined by our board of directors. While we intend to</w:t>
      </w:r>
    </w:p>
    <w:p>
      <w:pPr>
        <w:spacing w:after="0" w:line="104" w:lineRule="exact"/>
        <w:rPr>
          <w:sz w:val="20"/>
          <w:szCs w:val="20"/>
          <w:color w:val="auto"/>
        </w:rPr>
      </w:pPr>
    </w:p>
    <w:p>
      <w:pPr>
        <w:sectPr>
          <w:pgSz w:w="11900" w:h="16838" w:orient="portrait"/>
          <w:cols w:equalWidth="0" w:num="2">
            <w:col w:w="3540" w:space="720"/>
            <w:col w:w="6980"/>
          </w:cols>
          <w:pgMar w:left="320" w:top="29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S-5</w:t>
      </w:r>
    </w:p>
    <w:p>
      <w:pPr>
        <w:sectPr>
          <w:pgSz w:w="11900" w:h="16838" w:orient="portrait"/>
          <w:cols w:equalWidth="0" w:num="1">
            <w:col w:w="11240"/>
          </w:cols>
          <w:pgMar w:left="320" w:top="290" w:right="339" w:bottom="1440" w:gutter="0" w:footer="0" w:header="0"/>
          <w:type w:val="continuous"/>
        </w:sectPr>
      </w:pPr>
    </w:p>
    <w:bookmarkStart w:id="7" w:name="page8"/>
    <w:bookmarkEnd w:id="7"/>
    <w:p>
      <w:pPr>
        <w:ind w:left="42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make distributions on a monthly basis to our stockholders out of assets legally available for distribution, 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ability to be subject to tax as a RIC. We cannot assure stockholders that they will receive any distributions.</w:t>
      </w:r>
    </w:p>
    <w:p>
      <w:pPr>
        <w:sectPr>
          <w:pgSz w:w="11900" w:h="16838" w:orient="portrait"/>
          <w:cols w:equalWidth="0" w:num="1">
            <w:col w:w="11220"/>
          </w:cols>
          <w:pgMar w:left="320" w:top="292" w:right="35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Taxation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200" w:lineRule="exact"/>
        <w:rPr>
          <w:sz w:val="20"/>
          <w:szCs w:val="20"/>
          <w:color w:val="auto"/>
        </w:rPr>
      </w:pPr>
    </w:p>
    <w:p>
      <w:pPr>
        <w:sectPr>
          <w:pgSz w:w="11900" w:h="16838" w:orient="portrait"/>
          <w:cols w:equalWidth="0" w:num="2">
            <w:col w:w="3540" w:space="720"/>
            <w:col w:w="6960"/>
          </w:cols>
          <w:pgMar w:left="320" w:top="292" w:right="3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Indemnification</w:t>
      </w:r>
    </w:p>
    <w:p>
      <w:pPr>
        <w:spacing w:after="0" w:line="20" w:lineRule="exact"/>
        <w:rPr>
          <w:sz w:val="20"/>
          <w:szCs w:val="20"/>
          <w:color w:val="auto"/>
        </w:rPr>
      </w:pPr>
      <w:r>
        <w:rPr>
          <w:sz w:val="20"/>
          <w:szCs w:val="20"/>
          <w:color w:val="auto"/>
        </w:rPr>
        <w:br w:type="column"/>
      </w:r>
    </w:p>
    <w:p>
      <w:pPr>
        <w:ind w:right="20"/>
        <w:spacing w:after="0" w:line="249" w:lineRule="auto"/>
        <w:rPr>
          <w:sz w:val="20"/>
          <w:szCs w:val="20"/>
          <w:color w:val="auto"/>
        </w:rPr>
      </w:pPr>
      <w:r>
        <w:rPr>
          <w:rFonts w:ascii="Times New Roman" w:cs="Times New Roman" w:eastAsia="Times New Roman" w:hAnsi="Times New Roman"/>
          <w:sz w:val="18"/>
          <w:szCs w:val="18"/>
          <w:color w:val="auto"/>
        </w:rPr>
        <w:t>Nothing in our charter purporting to modify, restrict or eliminate the duties or liabilities of directors will apply to, or in any way limit, the duties (including state law duties, including the duties to act in good faith, in a manner reasonably believed to be in the best interests of the corporation and with the care that an ordinarily prudent person in a like position would use under similar circumstances) or liabilities of such person with respect to matters arising under the federal securities laws.</w:t>
      </w:r>
    </w:p>
    <w:p>
      <w:pPr>
        <w:spacing w:after="0" w:line="200" w:lineRule="exact"/>
        <w:rPr>
          <w:sz w:val="20"/>
          <w:szCs w:val="20"/>
          <w:color w:val="auto"/>
        </w:rPr>
      </w:pPr>
    </w:p>
    <w:p>
      <w:pPr>
        <w:sectPr>
          <w:pgSz w:w="11900" w:h="16838" w:orient="portrait"/>
          <w:cols w:equalWidth="0" w:num="2">
            <w:col w:w="3540" w:space="720"/>
            <w:col w:w="6960"/>
          </w:cols>
          <w:pgMar w:left="320" w:top="292" w:right="35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Times New Roman" w:cs="Times New Roman" w:eastAsia="Times New Roman" w:hAnsi="Times New Roman"/>
          <w:sz w:val="16"/>
          <w:szCs w:val="16"/>
          <w:color w:val="auto"/>
        </w:rPr>
        <w:t>Investing in our common stock involves risks. See “Risk Factors” in this prospectus supplement and in our most recent Annual Report on Form 10-K and our subsequent Quarterly Reports on Form 10-Q, each of which is incorporated by reference into this prospectus supplement, and in any free writing prospectuses we have authorized for use in connection with this offering, and under similar headings in the documents that are filed with the SEC on or after the date hereof and are incorporated by reference into this prospectus supplement and the accompanying prospectus.</w:t>
      </w:r>
    </w:p>
    <w:p>
      <w:pPr>
        <w:spacing w:after="0" w:line="92" w:lineRule="exact"/>
        <w:rPr>
          <w:sz w:val="20"/>
          <w:szCs w:val="20"/>
          <w:color w:val="auto"/>
        </w:rPr>
      </w:pPr>
    </w:p>
    <w:p>
      <w:pPr>
        <w:sectPr>
          <w:pgSz w:w="11900" w:h="16838" w:orient="portrait"/>
          <w:cols w:equalWidth="0" w:num="2">
            <w:col w:w="3540" w:space="720"/>
            <w:col w:w="6960"/>
          </w:cols>
          <w:pgMar w:left="320" w:top="292"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S-6</w:t>
      </w:r>
    </w:p>
    <w:p>
      <w:pPr>
        <w:sectPr>
          <w:pgSz w:w="11900" w:h="16838" w:orient="portrait"/>
          <w:cols w:equalWidth="0" w:num="1">
            <w:col w:w="11220"/>
          </w:cols>
          <w:pgMar w:left="320" w:top="292" w:right="35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FEES AND EXPENSES</w:t>
      </w:r>
    </w:p>
    <w:p>
      <w:pPr>
        <w:spacing w:after="0" w:line="21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supplement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1"/>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1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0.10%(2)</w:t>
            </w:r>
          </w:p>
        </w:tc>
      </w:tr>
      <w:tr>
        <w:trPr>
          <w:trHeight w:val="23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2.10%</w:t>
            </w:r>
          </w:p>
        </w:tc>
      </w:tr>
      <w:tr>
        <w:trPr>
          <w:trHeight w:val="20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44"/>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shares)(3)</w:t>
            </w: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3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w:t>
            </w:r>
          </w:p>
        </w:tc>
      </w:tr>
      <w:tr>
        <w:trPr>
          <w:trHeight w:val="24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w:t>
            </w:r>
          </w:p>
        </w:tc>
      </w:tr>
      <w:tr>
        <w:trPr>
          <w:trHeight w:val="23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w:t>
            </w:r>
          </w:p>
        </w:tc>
      </w:tr>
      <w:tr>
        <w:trPr>
          <w:trHeight w:val="24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w:t>
            </w:r>
          </w:p>
        </w:tc>
      </w:tr>
      <w:tr>
        <w:trPr>
          <w:trHeight w:val="23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w:t>
            </w:r>
          </w:p>
        </w:tc>
      </w:tr>
      <w:tr>
        <w:trPr>
          <w:trHeight w:val="24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annual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w:t>
            </w:r>
          </w:p>
        </w:tc>
      </w:tr>
    </w:tbl>
    <w:p>
      <w:pPr>
        <w:spacing w:after="0" w:line="218" w:lineRule="exact"/>
        <w:rPr>
          <w:sz w:val="20"/>
          <w:szCs w:val="20"/>
          <w:color w:val="auto"/>
        </w:rPr>
      </w:pPr>
    </w:p>
    <w:p>
      <w:pPr>
        <w:ind w:left="460" w:right="80" w:hanging="455"/>
        <w:spacing w:after="0" w:line="25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sales agents’ commission with respect to the shares of our common stock sold by us in this offering. There is no guarantee that there will be any sales of our common stock pursuant to this prospectus supplement and the accompanying prospectus.</w:t>
      </w:r>
    </w:p>
    <w:p>
      <w:pPr>
        <w:ind w:left="460" w:hanging="455"/>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reflects estimated offering expenses payable by us of approximately $500,000 for the estimated duration of this offering.</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as of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incentive fees paid with respect to net investment income and capital gains, if any, is based on actual amounts incurred during the fiscal quarter ended March 31, 2024,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Form 10-K.</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6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this offering, if any, to repay outstanding obligations under our existing financing arrangements or other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290" w:right="339" w:bottom="1440" w:gutter="0" w:footer="0" w:header="0"/>
        </w:sectPr>
      </w:pPr>
    </w:p>
    <w:bookmarkStart w:id="9" w:name="page10"/>
    <w:bookmarkEnd w:id="9"/>
    <w:p>
      <w:pPr>
        <w:jc w:val="both"/>
        <w:ind w:left="460" w:right="46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indebtedness. After completing any such offering, we may continue to borrow under our existing financing arrangements to finance our investment objectives. We 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jc w:val="both"/>
        <w:ind w:left="460" w:right="80" w:hanging="455"/>
        <w:spacing w:after="0" w:line="24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w:t>
      </w:r>
    </w:p>
    <w:p>
      <w:pPr>
        <w:spacing w:after="0" w:line="84" w:lineRule="exact"/>
        <w:rPr>
          <w:rFonts w:ascii="Times New Roman" w:cs="Times New Roman" w:eastAsia="Times New Roman" w:hAnsi="Times New Roman"/>
          <w:sz w:val="18"/>
          <w:szCs w:val="18"/>
          <w:color w:val="auto"/>
        </w:rPr>
      </w:pPr>
    </w:p>
    <w:p>
      <w:pPr>
        <w:ind w:left="46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93" w:lineRule="exact"/>
        <w:rPr>
          <w:rFonts w:ascii="Times New Roman" w:cs="Times New Roman" w:eastAsia="Times New Roman" w:hAnsi="Times New Roman"/>
          <w:sz w:val="18"/>
          <w:szCs w:val="18"/>
          <w:color w:val="auto"/>
        </w:rPr>
      </w:pPr>
    </w:p>
    <w:p>
      <w:pPr>
        <w:ind w:left="460" w:right="20" w:hanging="455"/>
        <w:spacing w:after="0" w:line="25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spacing w:after="0" w:line="91" w:lineRule="exact"/>
        <w:rPr>
          <w:rFonts w:ascii="Times New Roman" w:cs="Times New Roman" w:eastAsia="Times New Roman" w:hAnsi="Times New Roman"/>
          <w:sz w:val="18"/>
          <w:szCs w:val="18"/>
          <w:color w:val="auto"/>
        </w:rPr>
      </w:pPr>
    </w:p>
    <w:p>
      <w:pPr>
        <w:ind w:left="460" w:hanging="455"/>
        <w:spacing w:after="0" w:line="249"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2.00% sales load (the maximum commission to be paid by us with respect to common stock sold by us in this offering) and offering expenses totaling 0.10%, (2) total net estimated annual expenses of 24.12% of average net assets attributable to common shares as set forth in the table above (other than performance-based incentive fees) and (3) a 5.0% annual return.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w:t>
            </w:r>
          </w:p>
        </w:tc>
        <w:tc>
          <w:tcPr>
            <w:tcW w:w="8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6"/>
              </w:rPr>
              <w:t>1 Years</w:t>
            </w:r>
          </w:p>
        </w:tc>
        <w:tc>
          <w:tcPr>
            <w:tcW w:w="9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2"/>
              </w:rPr>
              <w:t>3 Years</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11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0" w:type="dxa"/>
            <w:vAlign w:val="bottom"/>
          </w:tcPr>
          <w:p>
            <w:pPr>
              <w:spacing w:after="0"/>
              <w:rPr>
                <w:sz w:val="1"/>
                <w:szCs w:val="1"/>
                <w:color w:val="auto"/>
              </w:rPr>
            </w:pPr>
          </w:p>
        </w:tc>
      </w:tr>
      <w:tr>
        <w:trPr>
          <w:trHeight w:val="169"/>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0" w:type="dxa"/>
            <w:vAlign w:val="bottom"/>
            <w:gridSpan w:val="3"/>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60" w:type="dxa"/>
            <w:vAlign w:val="bottom"/>
            <w:tcBorders>
              <w:top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$ 1,004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4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the capital gains incentive fee)</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2"/>
              </w:rPr>
              <w:t>$ 1,004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292" w:right="339" w:bottom="1440" w:gutter="0" w:footer="0" w:header="0"/>
        </w:sectPr>
      </w:pPr>
    </w:p>
    <w:bookmarkStart w:id="10" w:name="page11"/>
    <w:bookmarkEnd w:id="10"/>
    <w:p>
      <w:pPr>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indirectly. While the example assumes, as required by the SEC, a 5.0% annual return, our performance will vary and may result in a return greater or less than 5.0%. If we were to earn an annual return equal to or less than 5.0%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in our most recent Annual Report on Form 10-K for more information.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292" w:right="4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Investing in our shares of our common stock may be speculative and involves a high degree of risk. You should carefully consider the risk factors incorporated by reference from our most recent Annual Report on Form 10-K, our subsequent Quarterly Reports on Form 10-Q, as well as other information contained or incorporated by reference into this prospectus supplement and the accompanying prospectus, any free writing prospectus we have authorized for use in connection with this offering and under similar headings in the documents that we file with the SEC on or after the date of this prospectus supplement and are incorporated by reference into this prospectus supplement and the accompanying prospectus.</w:t>
      </w:r>
    </w:p>
    <w:p>
      <w:pPr>
        <w:spacing w:after="0" w:line="18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risks described in these documents are not the only risks we face. Additional risks and uncertainties not currently known to us or that we currently deem to be immaterial also may materially adversely affect our business, financial condition and/or operating results. In such case, our NAV and the trading price of our common stock could decline, and you may lose all or part of your investment.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66" w:lineRule="exact"/>
        <w:rPr>
          <w:sz w:val="20"/>
          <w:szCs w:val="20"/>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290" w:right="339" w:bottom="1440" w:gutter="0" w:footer="0" w:header="0"/>
        </w:sectPr>
      </w:pPr>
    </w:p>
    <w:bookmarkStart w:id="12" w:name="page13"/>
    <w:bookmarkEnd w:id="12"/>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our most recent Annual Report on Form 10-K, our subsequent Quarterly Reports on Form 10-Q, in the documents incorporated by reference herein, and elsewhere in this prospectus supplement and the accompanying prospectus.</w:t>
      </w:r>
    </w:p>
    <w:p>
      <w:pPr>
        <w:spacing w:after="0" w:line="1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377" w:lineRule="exact"/>
        <w:rPr>
          <w:sz w:val="20"/>
          <w:szCs w:val="20"/>
          <w:color w:val="auto"/>
        </w:rPr>
      </w:pPr>
    </w:p>
    <w:p>
      <w:pPr>
        <w:jc w:val="both"/>
        <w:ind w:right="60"/>
        <w:spacing w:after="0" w:line="303" w:lineRule="auto"/>
        <w:rPr>
          <w:sz w:val="20"/>
          <w:szCs w:val="20"/>
          <w:color w:val="auto"/>
        </w:rPr>
      </w:pPr>
      <w:r>
        <w:rPr>
          <w:rFonts w:ascii="Times New Roman" w:cs="Times New Roman" w:eastAsia="Times New Roman" w:hAnsi="Times New Roman"/>
          <w:sz w:val="16"/>
          <w:szCs w:val="16"/>
          <w:color w:val="auto"/>
        </w:rPr>
        <w:t>You should understand that, under Sections 27A(b)(2)(B) of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292" w:right="3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Sales of our common stock, if any, under this prospectus supplement and the accompanying prospectus may be made in negotiated transactions or transactions that are deemed to be “at the market” as defined in Rule 415 under the Securities Act, including sales made directly on the NYSE or sales made to or through a market maker other than on an exchange. There is no guarantee that there will be any sales of our common stock pursuant to this prospectus supplement and the accompanying prospectus. Actual sales, if any, of our common stock under this prospectus supplement and the accompanying prospectus may be less than the proceeds set forth in this paragraph depending on the market price of our common stock at the time of any such sale. As a result, the actual net proceeds we receive may be more or less than the amount of net proceeds estimated in this prospectus supplement. The sales price per share of our common stock offered by this prospectus supplement and the accompanying prospectus, less commissions payable under the equity distribution agreements and discounts, if any, along with any additional supplemental payments made by the Investment Adviser, will not be less than the NAV per share of our common stock at the time of such sale. If we sell shares of our common stock with an aggregate offering amount of $500 million, we anticipate that our net proceeds, after deducting an assumed maximum sales agents’ commissions and estimated expenses payable by us, will be approximately $489.5 million.</w:t>
      </w:r>
    </w:p>
    <w:p>
      <w:pPr>
        <w:spacing w:after="0" w:line="37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expect to use the net proceeds from this offering to invest in new or existing portfolio companies or for other general corporate or strategic purposes, including repaying amounts outstanding under our existing indebtedness which may include our Credit Facility, our 2026 Notes, the 2031 Asset-Backed Debt, or the 2036 Asset-Backed Debt.</w:t>
      </w:r>
    </w:p>
    <w:p>
      <w:pPr>
        <w:spacing w:after="0" w:line="18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As of March 31, 2024, we had $168.9 million in borrowings outstanding under our Credit Facility. Borrowings under the Credit Facility bear interest at an annual rate at a spread above the Secured Overnight Financing Rate (or an alternative risk-free floating interest rate index) of 236 basis points. The Credit Facility has a maturity date of August 2026 and a revolving period that ends in August 2024. At March 31, 2024, the weighted average interest rate of the Credit Facility was 7.7%, exclusive of the fee on undrawn commitments. The Credit Facility is secured by all of the assets of Funding I and we own 100% of the equity interest in Funding I and treat the indebtedness of Funding I as our leverage. We may use proceeds of this offering, if any, to repay outstanding obligations under our existing financing arrangements or other indebtedness. After completing this offering, we may continue to borrow under our existing financing arrangements to finance our investment objectives. Affiliates of Raymond James &amp; Associates, Inc. and Truist Securities, Inc. are lenders under the Credit Facility. Accordingly, an affiliate of Raymond James &amp; Associates, Inc. or Truist Securities, Inc. may receive more than 5% of the proceeds of this offering to the extent such proceeds are used to repay outstanding indebtedness under the Credit Facility.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we had $185.0 million in aggregate principal amount of our 2026 Notes outstanding. Interest on the 2026 Notes is paid semi-annually on April 1 and October 1 of each year, at a rate of 4.25% per year. The 2026 Notes mature on April 1, 2026 and may be redeemed in whole or in part at our option subject to a make-whole premium if redeemed more than three months prior to maturity.</w:t>
      </w:r>
    </w:p>
    <w:p>
      <w:pPr>
        <w:spacing w:after="0" w:line="18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2031 Asset-Backed Debt consists of (i) $78.5 million Class A-1 Senior Secured Floating Rate Loans maturing 2031, which bear interest at the three-month SOFR plus 1.8%, (ii) $15.0 million Class A-2 Senior Secured Fixed Rate Notes due 2031, which bear interest at 3.7%, (iii) $14.0 million Class B-1 Senior Secured Floating Rate Notes due 2031, which bear interest at the three-month SOFR plus 2.9%, (iv) $16.0 million Class B-2 Senior Secured Fixed Rate Notes due 2031, which bear interest at 4.3%, (v) $19.0 million Class C-1 Secured Deferrable Floating Rate Notes due 2031, which bear interest at the three-month SOFR plus 4.0%, (vi) $8.0 million Class C-2 Secured Deferrable Fixed Rate Notes due 2031, which bear interest at 5.4%, and (vii) $18.0 million Class D Secured Deferrable Floating Rate Loans due 2031, which bear interest at the three-month SOFR plus 4.8% and (B) the borrowing of $77.5 million Class A-1 Senior Secured Floating Rate Notes due 2031, which bear interest at the three-month SOFR plus 1.8%, under a credit agreement by and among the Securitization Issuers, as borrowers, various financial institutions, as lenders, and U.S. Bank National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290" w:right="339" w:bottom="1440" w:gutter="0" w:footer="0" w:header="0"/>
        </w:sectPr>
      </w:pPr>
    </w:p>
    <w:bookmarkStart w:id="14" w:name="page15"/>
    <w:bookmarkEnd w:id="14"/>
    <w:p>
      <w:pPr>
        <w:ind w:right="280"/>
        <w:spacing w:after="0" w:line="33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2036 Asset-Backed Debt consists of (i) $139.5 million of AAA(sf) Class A-1 Notes, which bear interest at the three-month SOFR plus 2.30%, (ii)</w:t>
      </w:r>
    </w:p>
    <w:p>
      <w:pPr>
        <w:spacing w:after="0" w:line="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$14 million of AAA(sf) Class A-2 Notes, which bear interest at three-month SOFR plus 2.70%, (iii) $24.5 million of AA(sf) Class B Notes, which bear interest at three-month SOFR plus 2.90%, (iv) $28 million of A(sf) Class C Notes, which bear interest at three-month SOFR plus 3.90%, (v) $21 million of BBB-(sf) Class D Notes, which bear interest at three-month SOFR plus 5.90%, and (vi) $63.6 million of subordinated notes and (B) the borrowing of $60.0 million AAA(sf) Class A-1 Senior Secured Floating Rate Loans, which bear interest at three-month SOFR plus 2.30%, under the Credit Agreement. The annualized interest on the 2036 Asset-Backed Debt will be paid, to the extent of funds available. The 2036 Asset-Backed Debt is scheduled to mature on April 18, 2036.</w:t>
      </w:r>
    </w:p>
    <w:p>
      <w:pPr>
        <w:spacing w:after="0" w:line="16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in our most recently filed Annual Report on Form 10- K for more information.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00"/>
          </w:cols>
          <w:pgMar w:left="320" w:top="292"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PLAN OF DISTRIBUTION</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entered into separate equity distribution agreements, each dated July 17, 2024, with Citizens JMP Securities, LLC, Raymond James &amp; Associates, Inc. and Truist Securities, Inc. under which Citizens JMP Securities, LLC, Raymond James &amp; Associates, Inc. and Truist Securities, Inc. will act as the sales agents in connection with the offer and sale of up to $500 million of shares of our common stock pursuant to this prospectus supplement and the accompanying prospectus.</w:t>
      </w:r>
    </w:p>
    <w:p>
      <w:pPr>
        <w:spacing w:after="0" w:line="1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Upon instructions from us, the sales agents will use their commercially reasonable efforts consistent with their respective normal sales and trading practices to sell, as the sales agents, our common stock under the terms and subject to the conditions set forth in the equity distribution agreements. We will instruct the sales agents as to the minimum amount of common stock to be sold through the offering, the time period during which sales are requested to be made, any limitation on the number of shares of common stock that may be sold in any one trading day and any minimum price below which sales may not be made. We may instruct the sales agents not to sell common stock if the sales cannot be effected at or above the price designated by us in any instruction. The sales price per share of our common stock offered by this prospectus supplement and the accompanying prospectus, less commissions payable under the applicable equity distribution agreement and discounts, if any, will not be less than the NAV per share of our common stock at the time of such sale.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 We or the sales agents may suspend the offering of shares of common stock upon proper notice and subject to other conditions.</w:t>
      </w:r>
    </w:p>
    <w:p>
      <w:pPr>
        <w:spacing w:after="0" w:line="19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Sales of the shares of our common stock, if any, by us under this prospectus supplement and the accompanying prospectus may be made in negotiated transactions or transactions that are deemed to be “at the market,” as defined in Rule 415 under the Securities Act, including sales made directly on the NYSE or similar securities exchanges or sales made to or through a market maker other than on a securities exchange at prices related to the prevailing market prices or at negotiated prices.</w:t>
      </w:r>
    </w:p>
    <w:p>
      <w:pPr>
        <w:spacing w:after="0" w:line="183"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A sales agent will provide written confirmation of a sale to us as soon as practicable following the close of trading on the NYSE each day in which shares of our common stock are sold under the applicable equity distribution agreement. Each confirmation will include the number of shares of common stock sold on such day, the net proceeds payable to us and the aggregate compensation payable by us to such sales agent in connection with such sales.</w:t>
      </w:r>
    </w:p>
    <w:p>
      <w:pPr>
        <w:spacing w:after="0" w:line="18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We will pay each sales agent a commission of up to 2.0% of the gross sales price of shares of our common stock sold through such sales agent pursuant to this prospectus supplement. The estimated offering expenses payable by us, in addition to such commission and reimbursement of expenses, are approximately $500,000, which includes legal, accounting and printing costs and various other fees associated with registering the shares of common stock as well as an aggregate of $50,000 in reimbursement of reasonable fees and expenses of counsel to the sales agents incurred in connection with the initial launch of the “at the market” offering and up to $10,000 per calendar quarter during the term of the equity distribution agreements for fees and expenses of counsel to the sales agents incurred in connection with quarterly updates for this offering. The remaining sales proceeds, after deducting any other transaction fees, will equal net proceeds from the sale of such shares payable to us.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first trading day following the date on which such sales are made, or on some other date that is agreed upon by us and the applicable sales agent in connection with a particular transaction, in return for payment of the net proceeds to us. There is no arrangement for funds to be received in an escrow, trust or similar arrangement.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290" w:right="339" w:bottom="1440" w:gutter="0" w:footer="0" w:header="0"/>
        </w:sectPr>
      </w:pPr>
    </w:p>
    <w:bookmarkStart w:id="16" w:name="page17"/>
    <w:bookmarkEnd w:id="16"/>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Under the terms of the equity distribution agreements, we may also sell shares of our common stock to a sales agent as principal for its own accounts at a price agreed upon at the time of sale. The sales agents may offer our common stock sold to them as principals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agreement with such sales agent, setting forth the terms of such transaction, and we will describe such agreement in a separate prospectus supplement.</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by us through the sales agents under the equity distribution agreements and the net proceeds to us.</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sale of our common stock on our behalf, the sales agents may be deemed to be “underwriters”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offering of shares of common stock by us pursuant to the equity distribution agreements will terminate upon the earlier of (i) the sale of all common stock subject to the equity distribution agreements or (ii) the termination of the equity distribution agreements as permitted therein.</w:t>
      </w:r>
    </w:p>
    <w:p>
      <w:pPr>
        <w:spacing w:after="0" w:line="169"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18"/>
          <w:szCs w:val="18"/>
          <w:color w:val="auto"/>
        </w:rPr>
        <w:t>The principal business address of the sales agents are: Citizens JMP Securities, LLC, 600 Montgomery Street,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 San Francisco, CA 94111; Raymond James &amp; Associates, Inc., 880 Carillon Parkway, Tower 3, St. Petersburg, FL 33716; and Truist Securities, Inc., 3333 Peachtree Road, NE,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 Atlanta, GA 30326.</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60"/>
          </w:cols>
          <w:pgMar w:left="320" w:top="292" w:right="41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LEGAL MATTERS</w:t>
      </w:r>
    </w:p>
    <w:p>
      <w:pPr>
        <w:spacing w:after="0" w:line="21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sales agents by Kirkland &amp; Ellis LLP.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its subsidiaries as of September 30, 2023 and 2022 and for each of the years in the three-year period ended September 30, 2023 and the effectiveness of internal control over financial reporting as of September 30, 2023 incorporated in this prospectus supplement by reference from our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supplement in reliance upon such report and upon the authority of such firm as experts in accounting and auditing.</w:t>
      </w:r>
    </w:p>
    <w:p>
      <w:pPr>
        <w:spacing w:after="0" w:line="187" w:lineRule="exact"/>
        <w:rPr>
          <w:sz w:val="20"/>
          <w:szCs w:val="20"/>
          <w:color w:val="auto"/>
        </w:rPr>
      </w:pPr>
    </w:p>
    <w:p>
      <w:pPr>
        <w:jc w:val="both"/>
        <w:ind w:right="120"/>
        <w:spacing w:after="0" w:line="303" w:lineRule="auto"/>
        <w:rPr>
          <w:sz w:val="20"/>
          <w:szCs w:val="20"/>
          <w:color w:val="auto"/>
        </w:rPr>
      </w:pPr>
      <w:r>
        <w:rPr>
          <w:rFonts w:ascii="Times New Roman" w:cs="Times New Roman" w:eastAsia="Times New Roman" w:hAnsi="Times New Roman"/>
          <w:sz w:val="16"/>
          <w:szCs w:val="16"/>
          <w:color w:val="auto"/>
        </w:rPr>
        <w:t>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Internal Control—Integrated Framework issued by the Committee of Sponsoring Organizations of the Treadway Commission in 2013.</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consolidated financial statements of PSSL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supplement in reliance upon such report and upon the authority of such firm as experts in accounting and auditing.</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290"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This prospectus supplement incorporates by reference the documents set forth below that have previously been filed with the SEC:</w:t>
      </w:r>
    </w:p>
    <w:p>
      <w:pPr>
        <w:spacing w:after="0" w:line="122" w:lineRule="exact"/>
        <w:rPr>
          <w:sz w:val="20"/>
          <w:szCs w:val="20"/>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13, 2023;</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5"/>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May 8, 2024</w:t>
        </w:r>
      </w:hyperlink>
      <w:hyperlink r:id="rId32">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4">
        <w:r>
          <w:rPr>
            <w:rFonts w:ascii="Times New Roman" w:cs="Times New Roman" w:eastAsia="Times New Roman" w:hAnsi="Times New Roman"/>
            <w:sz w:val="18"/>
            <w:szCs w:val="18"/>
            <w:u w:val="single" w:color="auto"/>
            <w:color w:val="0000EE"/>
          </w:rPr>
          <w:t>February 8, 2024</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February 9, 2024</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June 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8">
        <w:r>
          <w:rPr>
            <w:rFonts w:ascii="Times New Roman" w:cs="Times New Roman" w:eastAsia="Times New Roman" w:hAnsi="Times New Roman"/>
            <w:sz w:val="18"/>
            <w:szCs w:val="18"/>
            <w:u w:val="single" w:color="auto"/>
            <w:color w:val="0000EE"/>
          </w:rPr>
          <w:t>July 12, 2024</w:t>
        </w:r>
      </w:hyperlink>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1000" w:right="20" w:hanging="442"/>
        <w:spacing w:after="0" w:line="25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4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00"/>
          </w:cols>
          <w:pgMar w:left="320" w:top="292"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PROSPECTUS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97155</wp:posOffset>
            </wp:positionV>
            <wp:extent cx="1938655" cy="45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135255</wp:posOffset>
            </wp:positionV>
            <wp:extent cx="15043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68" w:lineRule="exact"/>
        <w:rPr>
          <w:sz w:val="20"/>
          <w:szCs w:val="20"/>
          <w:color w:val="auto"/>
        </w:rPr>
      </w:pPr>
    </w:p>
    <w:p>
      <w:pPr>
        <w:ind w:right="80" w:firstLine="450"/>
        <w:spacing w:after="0" w:line="248" w:lineRule="auto"/>
        <w:rPr>
          <w:sz w:val="20"/>
          <w:szCs w:val="20"/>
          <w:color w:val="auto"/>
        </w:rPr>
      </w:pPr>
      <w:r>
        <w:rPr>
          <w:rFonts w:ascii="Times New Roman" w:cs="Times New Roman" w:eastAsia="Times New Roman" w:hAnsi="Times New Roman"/>
          <w:sz w:val="15"/>
          <w:szCs w:val="15"/>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25" w:lineRule="exact"/>
        <w:rPr>
          <w:sz w:val="20"/>
          <w:szCs w:val="20"/>
          <w:color w:val="auto"/>
        </w:rPr>
      </w:pPr>
    </w:p>
    <w:p>
      <w:pPr>
        <w:ind w:right="120" w:firstLine="450"/>
        <w:spacing w:after="0" w:line="231" w:lineRule="auto"/>
        <w:rPr>
          <w:sz w:val="20"/>
          <w:szCs w:val="20"/>
          <w:color w:val="auto"/>
        </w:rPr>
      </w:pPr>
      <w:r>
        <w:rPr>
          <w:rFonts w:ascii="Times New Roman" w:cs="Times New Roman" w:eastAsia="Times New Roman" w:hAnsi="Times New Roman"/>
          <w:sz w:val="15"/>
          <w:szCs w:val="15"/>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managed by PennantPark Investment Advisers, LLC. PennantPark Investment Administration, LLC provides the administrative services necessary for us to operate.</w:t>
      </w:r>
    </w:p>
    <w:p>
      <w:pPr>
        <w:spacing w:after="0" w:line="64" w:lineRule="exact"/>
        <w:rPr>
          <w:sz w:val="20"/>
          <w:szCs w:val="20"/>
          <w:color w:val="auto"/>
        </w:rPr>
      </w:pPr>
    </w:p>
    <w:p>
      <w:pPr>
        <w:ind w:firstLine="450"/>
        <w:spacing w:after="0" w:line="225"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5"/>
          <w:szCs w:val="15"/>
          <w:u w:val="single" w:color="auto"/>
          <w:color w:val="0000EE"/>
        </w:rPr>
        <w:t>Risk Factors</w:t>
      </w:r>
      <w:r>
        <w:rPr>
          <w:rFonts w:ascii="Times New Roman" w:cs="Times New Roman" w:eastAsia="Times New Roman" w:hAnsi="Times New Roman"/>
          <w:sz w:val="15"/>
          <w:szCs w:val="15"/>
          <w:color w:val="auto"/>
        </w:rPr>
        <w:t>” on page 11 and “</w:t>
      </w:r>
      <w:r>
        <w:rPr>
          <w:rFonts w:ascii="Times New Roman" w:cs="Times New Roman" w:eastAsia="Times New Roman" w:hAnsi="Times New Roman"/>
          <w:sz w:val="15"/>
          <w:szCs w:val="15"/>
          <w:u w:val="single" w:color="auto"/>
          <w:color w:val="0000EE"/>
        </w:rPr>
        <w:t>Sales of Common Stock Below Net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Asset Value</w:t>
      </w:r>
      <w:r>
        <w:rPr>
          <w:rFonts w:ascii="Times New Roman" w:cs="Times New Roman" w:eastAsia="Times New Roman" w:hAnsi="Times New Roman"/>
          <w:sz w:val="15"/>
          <w:szCs w:val="15"/>
          <w:color w:val="000000"/>
        </w:rPr>
        <w:t>” on page 17 of this prospectus for more information.</w:t>
      </w:r>
    </w:p>
    <w:p>
      <w:pPr>
        <w:spacing w:after="0" w:line="32"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3"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15"/>
          <w:szCs w:val="15"/>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5"/>
          <w:szCs w:val="15"/>
          <w:i w:val="1"/>
          <w:iCs w:val="1"/>
          <w:u w:val="single" w:color="auto"/>
          <w:color w:val="auto"/>
        </w:rPr>
        <w:t>www.pennantpark.com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116205</wp:posOffset>
            </wp:positionV>
            <wp:extent cx="15043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22"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w:t>
      </w:r>
    </w:p>
    <w:p>
      <w:pPr>
        <w:spacing w:after="0" w:line="19" w:lineRule="exact"/>
        <w:rPr>
          <w:sz w:val="20"/>
          <w:szCs w:val="20"/>
          <w:color w:val="auto"/>
        </w:rPr>
      </w:pPr>
    </w:p>
    <w:p>
      <w:pPr>
        <w:ind w:right="540" w:firstLine="450"/>
        <w:spacing w:after="0" w:line="253"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108585</wp:posOffset>
            </wp:positionV>
            <wp:extent cx="1504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Prospectus dated July 17, 2024</w:t>
      </w:r>
    </w:p>
    <w:p>
      <w:pPr>
        <w:sectPr>
          <w:pgSz w:w="11900" w:h="16838" w:orient="portrait"/>
          <w:cols w:equalWidth="0" w:num="1">
            <w:col w:w="11240"/>
          </w:cols>
          <w:pgMar w:left="320" w:top="290" w:right="339" w:bottom="1440" w:gutter="0" w:footer="0" w:header="0"/>
        </w:sectPr>
      </w:pPr>
    </w:p>
    <w:bookmarkStart w:id="20" w:name="page21"/>
    <w:bookmarkEnd w:id="20"/>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860" w:type="dxa"/>
            <w:vAlign w:val="bottom"/>
            <w:gridSpan w:val="19"/>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886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840" w:type="dxa"/>
            <w:vAlign w:val="bottom"/>
            <w:gridSpan w:val="1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8040" w:type="dxa"/>
            <w:vAlign w:val="bottom"/>
            <w:gridSpan w:val="1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160" w:type="dxa"/>
            <w:vAlign w:val="bottom"/>
            <w:gridSpan w:val="21"/>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19"/>
          </w:tcPr>
          <w:p>
            <w:pPr>
              <w:spacing w:after="0"/>
              <w:rPr>
                <w:sz w:val="16"/>
                <w:szCs w:val="16"/>
                <w:color w:val="auto"/>
              </w:rPr>
            </w:pPr>
          </w:p>
        </w:tc>
        <w:tc>
          <w:tcPr>
            <w:tcW w:w="6380" w:type="dxa"/>
            <w:vAlign w:val="bottom"/>
            <w:gridSpan w:val="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380" w:type="dxa"/>
            <w:vAlign w:val="bottom"/>
            <w:gridSpan w:val="2"/>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620" w:type="dxa"/>
            <w:vAlign w:val="bottom"/>
            <w:gridSpan w:val="10"/>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420" w:type="dxa"/>
            <w:vAlign w:val="bottom"/>
            <w:gridSpan w:val="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7100" w:type="dxa"/>
            <w:vAlign w:val="bottom"/>
            <w:gridSpan w:val="7"/>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520" w:type="dxa"/>
            <w:vAlign w:val="bottom"/>
            <w:gridSpan w:val="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51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3"/>
          </w:tcPr>
          <w:p>
            <w:pPr>
              <w:spacing w:after="0"/>
              <w:rPr>
                <w:sz w:val="16"/>
                <w:szCs w:val="16"/>
                <w:color w:val="auto"/>
              </w:rPr>
            </w:pPr>
          </w:p>
        </w:tc>
        <w:tc>
          <w:tcPr>
            <w:tcW w:w="6220" w:type="dxa"/>
            <w:vAlign w:val="bottom"/>
            <w:gridSpan w:val="4"/>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080" w:type="dxa"/>
            <w:vAlign w:val="bottom"/>
            <w:gridSpan w:val="1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640" w:type="dxa"/>
            <w:vAlign w:val="bottom"/>
            <w:gridSpan w:val="1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292" w:right="37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w:t>
      </w:r>
    </w:p>
    <w:p>
      <w:pPr>
        <w:spacing w:after="0" w:line="216"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290" w:right="4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PROSPECTUS SUMMARY</w:t>
      </w:r>
    </w:p>
    <w:p>
      <w:pPr>
        <w:spacing w:after="0" w:line="214" w:lineRule="exact"/>
        <w:rPr>
          <w:sz w:val="20"/>
          <w:szCs w:val="20"/>
          <w:color w:val="auto"/>
        </w:rPr>
      </w:pPr>
    </w:p>
    <w:p>
      <w:pPr>
        <w:ind w:firstLine="435"/>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 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280" w:firstLine="435"/>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right="220" w:firstLine="435"/>
        <w:spacing w:after="0" w:line="252"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474" w:right="539" w:bottom="1440" w:gutter="0" w:footer="0" w:header="0"/>
        </w:sectPr>
      </w:pPr>
    </w:p>
    <w:bookmarkStart w:id="23" w:name="page24"/>
    <w:bookmarkEnd w:id="23"/>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692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8040" cy="5692140"/>
                    </a:xfrm>
                    <a:prstGeom prst="rect">
                      <a:avLst/>
                    </a:prstGeom>
                    <a:noFill/>
                  </pic:spPr>
                </pic:pic>
              </a:graphicData>
            </a:graphic>
          </wp:anchor>
        </w:drawing>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ind w:right="160" w:firstLine="435"/>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240" w:firstLine="435"/>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right="80" w:firstLine="435"/>
        <w:spacing w:after="0" w:line="247"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91"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80"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520" w:top="476" w:right="539" w:bottom="1440" w:gutter="0" w:footer="0" w:header="0"/>
        </w:sectPr>
      </w:pPr>
    </w:p>
    <w:bookmarkStart w:id="24" w:name="page25"/>
    <w:bookmarkEnd w:id="24"/>
    <w:p>
      <w:pPr>
        <w:ind w:right="500" w:firstLine="435"/>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In April 2019, our wholly owned subsidiary, the Securitization Issuer, was incorporated in the Cayman Islands as an exempted company with limited liability. We formed the Securitization Issuer in order to complete the Debt Securitization.</w:t>
      </w:r>
    </w:p>
    <w:p>
      <w:pPr>
        <w:spacing w:after="0" w:line="169"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83" w:lineRule="exact"/>
        <w:rPr>
          <w:sz w:val="20"/>
          <w:szCs w:val="20"/>
          <w:color w:val="auto"/>
        </w:rPr>
      </w:pPr>
    </w:p>
    <w:p>
      <w:pPr>
        <w:ind w:right="380" w:firstLine="435"/>
        <w:spacing w:after="0" w:line="268" w:lineRule="auto"/>
        <w:rPr>
          <w:sz w:val="20"/>
          <w:szCs w:val="20"/>
          <w:color w:val="auto"/>
        </w:rPr>
      </w:pPr>
      <w:r>
        <w:rPr>
          <w:rFonts w:ascii="Times New Roman" w:cs="Times New Roman" w:eastAsia="Times New Roman" w:hAnsi="Times New Roman"/>
          <w:sz w:val="18"/>
          <w:szCs w:val="18"/>
          <w:color w:val="auto"/>
        </w:rPr>
        <w:t>In January 2024, our wholly 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ind w:right="100" w:firstLine="435"/>
        <w:spacing w:after="0" w:line="249" w:lineRule="auto"/>
        <w:rPr>
          <w:sz w:val="20"/>
          <w:szCs w:val="20"/>
          <w:color w:val="auto"/>
        </w:rPr>
      </w:pPr>
      <w:r>
        <w:rPr>
          <w:rFonts w:ascii="Times New Roman" w:cs="Times New Roman" w:eastAsia="Times New Roman" w:hAnsi="Times New Roman"/>
          <w:sz w:val="18"/>
          <w:szCs w:val="18"/>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40" w:firstLine="435"/>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right="20" w:firstLine="435"/>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20" w:top="476"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001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8040" cy="6001385"/>
                    </a:xfrm>
                    <a:prstGeom prst="rect">
                      <a:avLst/>
                    </a:prstGeom>
                    <a:noFill/>
                  </pic:spPr>
                </pic:pic>
              </a:graphicData>
            </a:graphic>
          </wp:anchor>
        </w:drawing>
        <w:t>Market Opportunity</w:t>
      </w:r>
    </w:p>
    <w:p>
      <w:pPr>
        <w:spacing w:after="0" w:line="111"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960" w:right="520" w:hanging="430"/>
        <w:spacing w:after="0" w:line="25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raising debt in private markets. </w:t>
      </w:r>
      <w:r>
        <w:rPr>
          <w:rFonts w:ascii="Times New Roman" w:cs="Times New Roman" w:eastAsia="Times New Roman" w:hAnsi="Times New Roman"/>
          <w:sz w:val="18"/>
          <w:szCs w:val="18"/>
          <w:color w:val="auto"/>
        </w:rPr>
        <w:t>From time to time, banks,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5" w:lineRule="exact"/>
        <w:rPr>
          <w:rFonts w:ascii="Times New Roman" w:cs="Times New Roman" w:eastAsia="Times New Roman" w:hAnsi="Times New Roman"/>
          <w:sz w:val="18"/>
          <w:szCs w:val="18"/>
          <w:color w:val="auto"/>
        </w:rPr>
      </w:pPr>
    </w:p>
    <w:p>
      <w:pPr>
        <w:ind w:left="960" w:right="200" w:hanging="430"/>
        <w:spacing w:after="0" w:line="25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8"/>
          <w:szCs w:val="18"/>
          <w:color w:val="auto"/>
        </w:rPr>
        <w:t>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7" w:lineRule="exact"/>
        <w:rPr>
          <w:rFonts w:ascii="Times New Roman" w:cs="Times New Roman" w:eastAsia="Times New Roman" w:hAnsi="Times New Roman"/>
          <w:sz w:val="18"/>
          <w:szCs w:val="18"/>
          <w:color w:val="auto"/>
        </w:rPr>
      </w:pPr>
    </w:p>
    <w:p>
      <w:pPr>
        <w:jc w:val="both"/>
        <w:ind w:left="960" w:right="120" w:hanging="430"/>
        <w:spacing w:after="0" w:line="25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8"/>
          <w:szCs w:val="18"/>
          <w:color w:val="auto"/>
        </w:rPr>
        <w:t>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85" w:lineRule="exact"/>
        <w:rPr>
          <w:rFonts w:ascii="Times New Roman" w:cs="Times New Roman" w:eastAsia="Times New Roman" w:hAnsi="Times New Roman"/>
          <w:sz w:val="18"/>
          <w:szCs w:val="18"/>
          <w:color w:val="auto"/>
        </w:rPr>
      </w:pPr>
    </w:p>
    <w:p>
      <w:pPr>
        <w:ind w:left="960" w:right="100" w:hanging="430"/>
        <w:spacing w:after="0" w:line="25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8"/>
          <w:szCs w:val="18"/>
          <w:color w:val="auto"/>
        </w:rPr>
        <w:t>We expect that private equity firms will continue to be active investors in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87" w:lineRule="exact"/>
        <w:rPr>
          <w:rFonts w:ascii="Times New Roman" w:cs="Times New Roman" w:eastAsia="Times New Roman" w:hAnsi="Times New Roman"/>
          <w:sz w:val="18"/>
          <w:szCs w:val="18"/>
          <w:color w:val="auto"/>
        </w:rPr>
      </w:pPr>
    </w:p>
    <w:p>
      <w:pPr>
        <w:ind w:left="960" w:right="20" w:hanging="430"/>
        <w:spacing w:after="0" w:line="249"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8"/>
          <w:szCs w:val="18"/>
          <w:color w:val="auto"/>
        </w:rPr>
        <w:t>A high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ind w:right="20" w:firstLine="435"/>
        <w:spacing w:after="0" w:line="303" w:lineRule="auto"/>
        <w:rPr>
          <w:sz w:val="20"/>
          <w:szCs w:val="20"/>
          <w:color w:val="auto"/>
        </w:rPr>
      </w:pPr>
      <w:r>
        <w:rPr>
          <w:rFonts w:ascii="Times New Roman" w:cs="Times New Roman" w:eastAsia="Times New Roman" w:hAnsi="Times New Roman"/>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We intend to continue our monthly distributions to our stockholders. Our monthly distributions, if any, are determined by our board of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11" w:lineRule="exact"/>
        <w:rPr>
          <w:sz w:val="20"/>
          <w:szCs w:val="20"/>
          <w:color w:val="auto"/>
        </w:rPr>
      </w:pPr>
    </w:p>
    <w:p>
      <w:pPr>
        <w:ind w:right="480" w:firstLine="435"/>
        <w:spacing w:after="0" w:line="268"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20" w:top="474" w:right="559" w:bottom="1440" w:gutter="0" w:footer="0" w:header="0"/>
        </w:sectPr>
      </w:pPr>
    </w:p>
    <w:bookmarkStart w:id="26" w:name="page27"/>
    <w:bookmarkEnd w:id="2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890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8040" cy="4890135"/>
                    </a:xfrm>
                    <a:prstGeom prst="rect">
                      <a:avLst/>
                    </a:prstGeom>
                    <a:noFill/>
                  </pic:spPr>
                </pic:pic>
              </a:graphicData>
            </a:graphic>
          </wp:anchor>
        </w:drawing>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right="60" w:firstLine="435"/>
        <w:spacing w:after="0" w:line="268" w:lineRule="auto"/>
        <w:rPr>
          <w:sz w:val="20"/>
          <w:szCs w:val="20"/>
          <w:color w:val="auto"/>
        </w:rPr>
      </w:pPr>
      <w:r>
        <w:rPr>
          <w:rFonts w:ascii="Times New Roman" w:cs="Times New Roman" w:eastAsia="Times New Roman" w:hAnsi="Times New Roman"/>
          <w:sz w:val="18"/>
          <w:szCs w:val="18"/>
          <w:color w:val="auto"/>
        </w:rPr>
        <w:t>We may offer, from time to time, up to $1,000,000,000 of our securities, on terms to be determined at the time of each such offering and set forth in a supplement to this prospectus.</w:t>
      </w:r>
    </w:p>
    <w:p>
      <w:pPr>
        <w:spacing w:after="0" w:line="169"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60" w:lineRule="exact"/>
        <w:rPr>
          <w:sz w:val="20"/>
          <w:szCs w:val="20"/>
          <w:color w:val="auto"/>
        </w:rPr>
      </w:pPr>
    </w:p>
    <w:p>
      <w:pPr>
        <w:ind w:right="40" w:firstLine="435"/>
        <w:spacing w:after="0" w:line="268"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1" w:lineRule="exact"/>
        <w:rPr>
          <w:sz w:val="20"/>
          <w:szCs w:val="20"/>
          <w:color w:val="auto"/>
        </w:rPr>
      </w:pPr>
    </w:p>
    <w:p>
      <w:pPr>
        <w:ind w:right="80" w:firstLine="435"/>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w:t>
      </w:r>
      <w:hyperlink r:id="rId53">
        <w:r>
          <w:rPr>
            <w:rFonts w:ascii="Times New Roman" w:cs="Times New Roman" w:eastAsia="Times New Roman" w:hAnsi="Times New Roman"/>
            <w:sz w:val="18"/>
            <w:szCs w:val="18"/>
            <w:color w:val="auto"/>
          </w:rPr>
          <w:t xml:space="preserve">that are incorporated by reference into this prospectus, including the section titled “Risk Factors” included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Quarterly Reports on</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Form 10-Q</w:t>
        </w:r>
      </w:hyperlink>
      <w:hyperlink r:id="rId53">
        <w:r>
          <w:rPr>
            <w:rFonts w:ascii="Times New Roman" w:cs="Times New Roman" w:eastAsia="Times New Roman" w:hAnsi="Times New Roman"/>
            <w:sz w:val="18"/>
            <w:szCs w:val="18"/>
            <w:color w:val="000000"/>
          </w:rPr>
          <w:t>, as well as any amendments reflected in subsequent filings with the SEC.</w:t>
        </w:r>
      </w:hyperlink>
    </w:p>
    <w:p>
      <w:pPr>
        <w:spacing w:after="0" w:line="28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rFonts w:ascii="Times New Roman" w:cs="Times New Roman" w:eastAsia="Times New Roman" w:hAnsi="Times New Roman"/>
          <w:sz w:val="18"/>
          <w:szCs w:val="18"/>
          <w:color w:val="0000EE"/>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476" w:right="5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FEES AND EXPENSES</w:t>
      </w:r>
    </w:p>
    <w:p>
      <w:pPr>
        <w:spacing w:after="0" w:line="21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200" w:type="dxa"/>
            <w:vAlign w:val="bottom"/>
            <w:shd w:val="clear" w:color="auto" w:fill="CCEEFF"/>
          </w:tcPr>
          <w:p>
            <w:pPr>
              <w:spacing w:after="0"/>
              <w:rPr>
                <w:sz w:val="18"/>
                <w:szCs w:val="18"/>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1"/>
                <w:szCs w:val="11"/>
                <w:color w:val="auto"/>
              </w:rPr>
              <w:t>(1)</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00" w:type="dxa"/>
            <w:vAlign w:val="bottom"/>
            <w:shd w:val="clear" w:color="auto" w:fill="CCEEFF"/>
          </w:tcPr>
          <w:p>
            <w:pPr>
              <w:ind w:left="58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1"/>
                <w:szCs w:val="11"/>
                <w:color w:val="auto"/>
              </w:rPr>
              <w:t xml:space="preserve"> (2)</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r>
      <w:tr>
        <w:trPr>
          <w:trHeight w:val="190"/>
        </w:trPr>
        <w:tc>
          <w:tcPr>
            <w:tcW w:w="64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1200" w:type="dxa"/>
            <w:vAlign w:val="bottom"/>
            <w:shd w:val="clear" w:color="auto" w:fill="CCEEFF"/>
          </w:tcPr>
          <w:p>
            <w:pPr>
              <w:spacing w:after="0"/>
              <w:rPr>
                <w:sz w:val="16"/>
                <w:szCs w:val="16"/>
                <w:color w:val="auto"/>
              </w:rPr>
            </w:pPr>
          </w:p>
        </w:tc>
      </w:tr>
      <w:tr>
        <w:trPr>
          <w:trHeight w:val="231"/>
        </w:trPr>
        <w:tc>
          <w:tcPr>
            <w:tcW w:w="644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6"/>
                <w:szCs w:val="26"/>
                <w:b w:val="1"/>
                <w:bCs w:val="1"/>
                <w:color w:val="auto"/>
                <w:vertAlign w:val="superscript"/>
              </w:rPr>
              <w:t>(3)</w:t>
            </w:r>
          </w:p>
        </w:tc>
        <w:tc>
          <w:tcPr>
            <w:tcW w:w="1200" w:type="dxa"/>
            <w:vAlign w:val="bottom"/>
            <w:shd w:val="clear" w:color="auto" w:fill="CCEEFF"/>
          </w:tcPr>
          <w:p>
            <w:pPr>
              <w:spacing w:after="0"/>
              <w:rPr>
                <w:sz w:val="20"/>
                <w:szCs w:val="20"/>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1.98%</w:t>
            </w:r>
            <w:r>
              <w:rPr>
                <w:rFonts w:ascii="Times New Roman" w:cs="Times New Roman" w:eastAsia="Times New Roman" w:hAnsi="Times New Roman"/>
                <w:sz w:val="24"/>
                <w:szCs w:val="24"/>
                <w:color w:val="auto"/>
                <w:vertAlign w:val="superscript"/>
              </w:rPr>
              <w:t>(4)</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2.76%</w:t>
            </w:r>
            <w:r>
              <w:rPr>
                <w:rFonts w:ascii="Times New Roman" w:cs="Times New Roman" w:eastAsia="Times New Roman" w:hAnsi="Times New Roman"/>
                <w:sz w:val="24"/>
                <w:szCs w:val="24"/>
                <w:color w:val="auto"/>
                <w:vertAlign w:val="superscript"/>
              </w:rPr>
              <w:t>(5)</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8.50%</w:t>
            </w:r>
            <w:r>
              <w:rPr>
                <w:rFonts w:ascii="Times New Roman" w:cs="Times New Roman" w:eastAsia="Times New Roman" w:hAnsi="Times New Roman"/>
                <w:sz w:val="24"/>
                <w:szCs w:val="24"/>
                <w:color w:val="auto"/>
                <w:vertAlign w:val="superscript"/>
              </w:rPr>
              <w:t>(6)</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12.26%</w:t>
            </w:r>
            <w:r>
              <w:rPr>
                <w:rFonts w:ascii="Times New Roman" w:cs="Times New Roman" w:eastAsia="Times New Roman" w:hAnsi="Times New Roman"/>
                <w:sz w:val="24"/>
                <w:szCs w:val="24"/>
                <w:color w:val="auto"/>
                <w:vertAlign w:val="superscript"/>
              </w:rPr>
              <w:t>(7)</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1.38%</w:t>
            </w:r>
            <w:r>
              <w:rPr>
                <w:rFonts w:ascii="Times New Roman" w:cs="Times New Roman" w:eastAsia="Times New Roman" w:hAnsi="Times New Roman"/>
                <w:sz w:val="24"/>
                <w:szCs w:val="24"/>
                <w:color w:val="auto"/>
                <w:vertAlign w:val="superscript"/>
              </w:rPr>
              <w:t>(8)</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26.88%</w:t>
            </w:r>
            <w:r>
              <w:rPr>
                <w:rFonts w:ascii="Times New Roman" w:cs="Times New Roman" w:eastAsia="Times New Roman" w:hAnsi="Times New Roman"/>
                <w:sz w:val="24"/>
                <w:szCs w:val="24"/>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460" w:hanging="455"/>
        <w:spacing w:after="0" w:line="25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any applicable prospectus relates are sold to or through underwriters or agents, a corresponding prospectus supplement will disclose the applicable sales load.</w:t>
      </w:r>
    </w:p>
    <w:p>
      <w:pPr>
        <w:ind w:left="460" w:right="660" w:hanging="455"/>
        <w:spacing w:after="0" w:line="24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quarter ended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hyperlink r:id="rId57">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290" w:right="379" w:bottom="1440" w:gutter="0" w:footer="0" w:header="0"/>
        </w:sectPr>
      </w:pPr>
    </w:p>
    <w:bookmarkStart w:id="28" w:name="page29"/>
    <w:bookmarkEnd w:id="28"/>
    <w:p>
      <w:pPr>
        <w:ind w:left="4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jc w:val="both"/>
        <w:ind w:left="460" w:right="80" w:hanging="455"/>
        <w:spacing w:after="0" w:line="245"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w:t>
      </w:r>
    </w:p>
    <w:p>
      <w:pPr>
        <w:spacing w:after="0" w:line="189" w:lineRule="exact"/>
        <w:rPr>
          <w:rFonts w:ascii="Times New Roman" w:cs="Times New Roman" w:eastAsia="Times New Roman" w:hAnsi="Times New Roman"/>
          <w:sz w:val="18"/>
          <w:szCs w:val="18"/>
          <w:color w:val="auto"/>
        </w:rPr>
      </w:pPr>
    </w:p>
    <w:p>
      <w:pPr>
        <w:ind w:left="460" w:right="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60" w:right="20" w:hanging="455"/>
        <w:spacing w:after="0" w:line="24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ind w:left="460" w:hanging="455"/>
        <w:spacing w:after="0" w:line="244"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$ 1,004</w:t>
            </w: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 subject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capital gains incentive fee)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$ 1,004</w:t>
            </w:r>
          </w:p>
        </w:tc>
      </w:tr>
    </w:tbl>
    <w:p>
      <w:pPr>
        <w:spacing w:after="0" w:line="193" w:lineRule="exact"/>
        <w:rPr>
          <w:sz w:val="20"/>
          <w:szCs w:val="20"/>
          <w:color w:val="auto"/>
        </w:rPr>
      </w:pPr>
    </w:p>
    <w:p>
      <w:pPr>
        <w:ind w:firstLine="45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hyperlink r:id="rId59">
        <w:r>
          <w:rPr>
            <w:rFonts w:ascii="Times New Roman" w:cs="Times New Roman" w:eastAsia="Times New Roman" w:hAnsi="Times New Roman"/>
            <w:sz w:val="16"/>
            <w:szCs w:val="16"/>
            <w:u w:val="single" w:color="auto"/>
            <w:color w:val="0000EE"/>
          </w:rPr>
          <w:t>Form 10-K</w:t>
        </w:r>
      </w:hyperlink>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92" w:right="339" w:bottom="1440" w:gutter="0" w:footer="0" w:header="0"/>
        </w:sectPr>
      </w:pPr>
    </w:p>
    <w:bookmarkStart w:id="29" w:name="page30"/>
    <w:bookmarkEnd w:id="29"/>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FINANCIAL HIGHLIGHTS</w:t>
      </w:r>
    </w:p>
    <w:p>
      <w:pPr>
        <w:spacing w:after="0" w:line="216" w:lineRule="exact"/>
        <w:rPr>
          <w:sz w:val="20"/>
          <w:szCs w:val="20"/>
          <w:color w:val="auto"/>
        </w:rPr>
      </w:pPr>
    </w:p>
    <w:p>
      <w:pPr>
        <w:ind w:right="140" w:firstLine="45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most recent Quarterly Report on</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000000"/>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ended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realized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unrealized (loss)</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(1)</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increase in net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assets resulting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0.77</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Distribution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Distribution of</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gains</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 distributions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stockholders (1),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Accretive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(dilutive) effect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of common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acquisition</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MCG (1)</w:t>
            </w: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Per share market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value, end of</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return*(3)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66.47%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63,228,138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58,734,702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45,345,638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38,880,728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8"/>
              </w:rPr>
              <w:t>38,772,074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32,480,074</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26,730,074</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5"/>
              </w:rPr>
              <w:t>26,730,074</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14,898,056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end of 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Ratios**/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operating</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(4)</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debt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related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total</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income 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assets at end of</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720,711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653,605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527,092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477,270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503,057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535,842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457,906</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667,111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615,068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698,765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737,209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512,135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354,322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269,320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147,599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per</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(1)</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Asset coverage per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(6)</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Portfolio turnover</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28.64%</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45.03%</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40"/>
          </w:cols>
          <w:pgMar w:left="320" w:top="290" w:right="2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290"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854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68" w:lineRule="exact"/>
        <w:rPr>
          <w:sz w:val="20"/>
          <w:szCs w:val="20"/>
          <w:color w:val="auto"/>
        </w:rPr>
      </w:pPr>
    </w:p>
    <w:p>
      <w:pPr>
        <w:ind w:left="460" w:hanging="455"/>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 for periods less than one year.</w:t>
      </w:r>
    </w:p>
    <w:p>
      <w:pPr>
        <w:spacing w:after="0" w:line="21" w:lineRule="exact"/>
        <w:rPr>
          <w:sz w:val="20"/>
          <w:szCs w:val="20"/>
          <w:color w:val="auto"/>
        </w:rPr>
      </w:pPr>
    </w:p>
    <w:p>
      <w:pPr>
        <w:ind w:left="460" w:hanging="455"/>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Re-occuring investment income and expenses included in these ratios are annualized for periods less than one year.</w:t>
      </w:r>
    </w:p>
    <w:p>
      <w:pPr>
        <w:spacing w:after="0" w:line="4" w:lineRule="exact"/>
        <w:rPr>
          <w:sz w:val="20"/>
          <w:szCs w:val="20"/>
          <w:color w:val="auto"/>
        </w:rPr>
      </w:pP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weighted average shares outstanding for the respective periods.</w:t>
      </w:r>
    </w:p>
    <w:p>
      <w:pPr>
        <w:spacing w:after="0" w:line="3" w:lineRule="exact"/>
        <w:rPr>
          <w:rFonts w:ascii="Times New Roman" w:cs="Times New Roman" w:eastAsia="Times New Roman" w:hAnsi="Times New Roman"/>
          <w:sz w:val="18"/>
          <w:szCs w:val="18"/>
          <w:color w:val="auto"/>
        </w:rPr>
      </w:pPr>
    </w:p>
    <w:p>
      <w:pPr>
        <w:ind w:left="460" w:right="160" w:hanging="455"/>
        <w:spacing w:after="0" w:line="244"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distributions is calculated in accordance with income tax regulations, which may differ from amounts determined under GAAP, and reported on Form 1099-DIV each calendar year.</w:t>
      </w: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change in market price per share during the period and assumes distributions, if any, are reinvested.</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related costs.</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and expenses on debt (annualized) as well as Credit Facility amendment and debt issuance costs, if any (not annualized).</w:t>
      </w:r>
    </w:p>
    <w:p>
      <w:pPr>
        <w:spacing w:after="0" w:line="3" w:lineRule="exact"/>
        <w:rPr>
          <w:rFonts w:ascii="Times New Roman" w:cs="Times New Roman" w:eastAsia="Times New Roman" w:hAnsi="Times New Roman"/>
          <w:sz w:val="18"/>
          <w:szCs w:val="18"/>
          <w:color w:val="auto"/>
        </w:rPr>
      </w:pPr>
    </w:p>
    <w:p>
      <w:pPr>
        <w:ind w:left="460" w:hanging="455"/>
        <w:spacing w:after="0" w:line="24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292" w:right="519" w:bottom="1440" w:gutter="0" w:footer="0" w:header="0"/>
        </w:sectPr>
      </w:pPr>
    </w:p>
    <w:bookmarkStart w:id="31" w:name="page32"/>
    <w:bookmarkEnd w:id="3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6" w:lineRule="exact"/>
        <w:rPr>
          <w:sz w:val="20"/>
          <w:szCs w:val="20"/>
          <w:color w:val="auto"/>
        </w:rPr>
      </w:pPr>
    </w:p>
    <w:p>
      <w:pPr>
        <w:ind w:firstLine="45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53">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290" w:right="43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FORWARD-LOOKING STATEMENTS</w:t>
      </w:r>
    </w:p>
    <w:p>
      <w:pPr>
        <w:spacing w:after="0" w:line="216"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8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290" w:right="439" w:bottom="1440" w:gutter="0" w:footer="0" w:header="0"/>
        </w:sectPr>
      </w:pPr>
    </w:p>
    <w:bookmarkStart w:id="33" w:name="page34"/>
    <w:bookmarkEnd w:id="33"/>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8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92"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w:t>
      </w:r>
    </w:p>
    <w:p>
      <w:pPr>
        <w:spacing w:after="0" w:line="180" w:lineRule="exact"/>
        <w:rPr>
          <w:sz w:val="20"/>
          <w:szCs w:val="20"/>
          <w:color w:val="auto"/>
        </w:rPr>
      </w:pPr>
    </w:p>
    <w:p>
      <w:pPr>
        <w:ind w:firstLine="45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290" w:right="35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SENIOR SECURITIES</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53">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on December 8, 2023, and is incorporated by reference into the registration statement of which this prospectus is a part.</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58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3680" w:type="dxa"/>
            <w:vAlign w:val="bottom"/>
            <w:gridSpan w:val="2"/>
            <w:vMerge w:val="continue"/>
          </w:tcPr>
          <w:p>
            <w:pPr>
              <w:spacing w:after="0"/>
              <w:rPr>
                <w:sz w:val="14"/>
                <w:szCs w:val="14"/>
                <w:color w:val="auto"/>
              </w:rPr>
            </w:pPr>
          </w:p>
        </w:tc>
        <w:tc>
          <w:tcPr>
            <w:tcW w:w="258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4"/>
                <w:szCs w:val="14"/>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 xml:space="preserve">Per Unit </w:t>
            </w:r>
            <w:r>
              <w:rPr>
                <w:rFonts w:ascii="Times New Roman" w:cs="Times New Roman" w:eastAsia="Times New Roman" w:hAnsi="Times New Roman"/>
                <w:sz w:val="10"/>
                <w:szCs w:val="10"/>
                <w:b w:val="1"/>
                <w:bCs w:val="1"/>
                <w:color w:val="auto"/>
                <w:w w:val="99"/>
              </w:rPr>
              <w:t>(2)</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168,830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308,599</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265,308</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333,728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253,783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232,908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29,600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13,598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146,400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97,006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117,793</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2036 Asset-Backed Debt</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75" w:lineRule="exact"/>
        <w:rPr>
          <w:sz w:val="20"/>
          <w:szCs w:val="20"/>
          <w:color w:val="auto"/>
        </w:rPr>
      </w:pPr>
    </w:p>
    <w:p>
      <w:pPr>
        <w:ind w:left="460" w:hanging="455"/>
        <w:spacing w:after="0"/>
        <w:tabs>
          <w:tab w:leader="none" w:pos="460" w:val="left"/>
        </w:tabs>
        <w:numPr>
          <w:ilvl w:val="0"/>
          <w:numId w:val="13"/>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right="40" w:hanging="455"/>
        <w:spacing w:after="0" w:line="211" w:lineRule="auto"/>
        <w:tabs>
          <w:tab w:leader="none" w:pos="460" w:val="left"/>
        </w:tabs>
        <w:numPr>
          <w:ilvl w:val="0"/>
          <w:numId w:val="13"/>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hanging="455"/>
        <w:spacing w:after="0" w:line="183" w:lineRule="auto"/>
        <w:tabs>
          <w:tab w:leader="none" w:pos="460" w:val="left"/>
        </w:tabs>
        <w:numPr>
          <w:ilvl w:val="0"/>
          <w:numId w:val="13"/>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Not applicable, as senior securities are not registered for public trading in the United States of America.</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290" w:right="3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PRICE RANGE OF COMMON STOCK</w:t>
      </w:r>
    </w:p>
    <w:p>
      <w:pPr>
        <w:spacing w:after="0" w:line="21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164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xml:space="preserve">NAV </w:t>
            </w:r>
            <w:r>
              <w:rPr>
                <w:rFonts w:ascii="Times New Roman" w:cs="Times New Roman" w:eastAsia="Times New Roman" w:hAnsi="Times New Roman"/>
                <w:sz w:val="10"/>
                <w:szCs w:val="10"/>
                <w:b w:val="1"/>
                <w:bCs w:val="1"/>
                <w:color w:val="auto"/>
              </w:rPr>
              <w:t>(1)</w:t>
            </w:r>
          </w:p>
        </w:tc>
        <w:tc>
          <w:tcPr>
            <w:tcW w:w="1960" w:type="dxa"/>
            <w:vAlign w:val="bottom"/>
            <w:gridSpan w:val="3"/>
          </w:tcPr>
          <w:p>
            <w:pPr>
              <w:jc w:val="right"/>
              <w:ind w:right="334"/>
              <w:spacing w:after="0" w:line="158" w:lineRule="exact"/>
              <w:rPr>
                <w:sz w:val="20"/>
                <w:szCs w:val="20"/>
                <w:color w:val="auto"/>
              </w:rPr>
            </w:pPr>
            <w:r>
              <w:rPr>
                <w:rFonts w:ascii="Times New Roman" w:cs="Times New Roman" w:eastAsia="Times New Roman" w:hAnsi="Times New Roman"/>
                <w:sz w:val="14"/>
                <w:szCs w:val="14"/>
                <w:b w:val="1"/>
                <w:bCs w:val="1"/>
                <w:color w:val="auto"/>
              </w:rPr>
              <w:t>Closing Sale Prices</w:t>
            </w:r>
          </w:p>
        </w:tc>
        <w:tc>
          <w:tcPr>
            <w:tcW w:w="158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 High Sale</w:t>
            </w:r>
          </w:p>
        </w:tc>
        <w:tc>
          <w:tcPr>
            <w:tcW w:w="164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 Low Sale</w:t>
            </w:r>
          </w:p>
        </w:tc>
        <w:tc>
          <w:tcPr>
            <w:tcW w:w="108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5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3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$11.40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11.09</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11.20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9.71</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$11.13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10.32</w:t>
            </w:r>
          </w:p>
        </w:tc>
        <w:tc>
          <w:tcPr>
            <w:tcW w:w="15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10.96</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11.15</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9.98</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11.30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9.77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9.60</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10.45</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12.70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300" w:hanging="455"/>
        <w:spacing w:after="0" w:line="208" w:lineRule="auto"/>
        <w:tabs>
          <w:tab w:leader="none" w:pos="460" w:val="left"/>
        </w:tabs>
        <w:numPr>
          <w:ilvl w:val="0"/>
          <w:numId w:val="14"/>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5"/>
        <w:spacing w:after="0" w:line="183" w:lineRule="auto"/>
        <w:tabs>
          <w:tab w:leader="none" w:pos="460" w:val="left"/>
        </w:tabs>
        <w:numPr>
          <w:ilvl w:val="0"/>
          <w:numId w:val="14"/>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Calculated as the respective high or low closing sales price less NAV per share, divided by the quarter-end NAV per share.</w:t>
      </w:r>
    </w:p>
    <w:p>
      <w:pPr>
        <w:spacing w:after="0" w:line="193" w:lineRule="exact"/>
        <w:rPr>
          <w:sz w:val="20"/>
          <w:szCs w:val="20"/>
          <w:color w:val="auto"/>
        </w:rPr>
      </w:pPr>
    </w:p>
    <w:p>
      <w:pPr>
        <w:jc w:val="both"/>
        <w:ind w:right="80" w:firstLine="450"/>
        <w:spacing w:after="0" w:line="250"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quarter ended March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repurchase any of our common stock under our share repurchase plan during the quarter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90"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SALES OF COMMON STOCK BELOW NET ASSET VALUE</w:t>
      </w:r>
    </w:p>
    <w:p>
      <w:pPr>
        <w:spacing w:after="0" w:line="216" w:lineRule="exact"/>
        <w:rPr>
          <w:sz w:val="20"/>
          <w:szCs w:val="20"/>
          <w:color w:val="auto"/>
        </w:rPr>
      </w:pPr>
    </w:p>
    <w:p>
      <w:pPr>
        <w:ind w:right="240" w:firstLine="450"/>
        <w:spacing w:after="0" w:line="303" w:lineRule="auto"/>
        <w:rPr>
          <w:sz w:val="20"/>
          <w:szCs w:val="20"/>
          <w:color w:val="auto"/>
        </w:rPr>
      </w:pPr>
      <w:r>
        <w:rPr>
          <w:rFonts w:ascii="Times New Roman" w:cs="Times New Roman" w:eastAsia="Times New Roman" w:hAnsi="Times New Roman"/>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3" w:lineRule="exact"/>
        <w:rPr>
          <w:sz w:val="20"/>
          <w:szCs w:val="20"/>
          <w:color w:val="auto"/>
        </w:rPr>
      </w:pPr>
    </w:p>
    <w:p>
      <w:pPr>
        <w:ind w:left="1000" w:right="38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77"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77" w:lineRule="exact"/>
        <w:rPr>
          <w:rFonts w:ascii="Times New Roman" w:cs="Times New Roman" w:eastAsia="Times New Roman" w:hAnsi="Times New Roman"/>
          <w:sz w:val="18"/>
          <w:szCs w:val="18"/>
          <w:color w:val="auto"/>
        </w:rPr>
      </w:pPr>
    </w:p>
    <w:p>
      <w:pPr>
        <w:ind w:left="1000" w:right="16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1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0" w:lineRule="exact"/>
        <w:rPr>
          <w:sz w:val="20"/>
          <w:szCs w:val="20"/>
          <w:color w:val="auto"/>
        </w:rPr>
      </w:pPr>
    </w:p>
    <w:p>
      <w:pPr>
        <w:ind w:firstLine="450"/>
        <w:spacing w:after="0" w:line="278" w:lineRule="auto"/>
        <w:rPr>
          <w:sz w:val="20"/>
          <w:szCs w:val="20"/>
          <w:color w:val="auto"/>
        </w:rPr>
      </w:pPr>
      <w:r>
        <w:rPr>
          <w:rFonts w:ascii="Times New Roman" w:cs="Times New Roman" w:eastAsia="Times New Roman" w:hAnsi="Times New Roman"/>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90" w:right="339" w:bottom="1440" w:gutter="0" w:footer="0" w:header="0"/>
        </w:sectPr>
      </w:pPr>
    </w:p>
    <w:bookmarkStart w:id="38" w:name="page39"/>
    <w:bookmarkEnd w:id="38"/>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7" w:lineRule="exact"/>
        <w:rPr>
          <w:sz w:val="20"/>
          <w:szCs w:val="20"/>
          <w:color w:val="auto"/>
        </w:rPr>
      </w:pPr>
    </w:p>
    <w:p>
      <w:pPr>
        <w:ind w:left="1000" w:hanging="44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stockholders who purchase a relatively small amount of shares in the offering or a relatively large amount of shares in the offering; and</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292" w:right="379" w:bottom="1440" w:gutter="0" w:footer="0" w:header="0"/>
        </w:sectPr>
      </w:pPr>
    </w:p>
    <w:bookmarkStart w:id="39" w:name="page40"/>
    <w:bookmarkEnd w:id="39"/>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Example 3</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20" w:type="dxa"/>
            <w:vAlign w:val="bottom"/>
            <w:gridSpan w:val="2"/>
          </w:tcPr>
          <w:p>
            <w:pPr>
              <w:jc w:val="center"/>
              <w:ind w:right="342"/>
              <w:spacing w:after="0" w:line="145"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220" w:type="dxa"/>
            <w:vAlign w:val="bottom"/>
          </w:tcPr>
          <w:p>
            <w:pPr>
              <w:spacing w:after="0"/>
              <w:rPr>
                <w:sz w:val="12"/>
                <w:szCs w:val="12"/>
                <w:color w:val="auto"/>
              </w:rPr>
            </w:pPr>
          </w:p>
        </w:tc>
        <w:tc>
          <w:tcPr>
            <w:tcW w:w="192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25% Offering</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20" w:type="dxa"/>
            <w:vAlign w:val="bottom"/>
            <w:gridSpan w:val="2"/>
          </w:tcPr>
          <w:p>
            <w:pPr>
              <w:jc w:val="center"/>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at 25% Discount</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9.47</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1,050,000</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3"/>
              </w:rPr>
              <w:t>1,100,000</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1,250,000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4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0.91%</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99,800</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99,100</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to be $10.00 per share on shares held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held by stockholder A (NAV per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less investment per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(0.09)</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Percentage dilution to stockholder A (dilution per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13"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92" w:right="339" w:bottom="1440" w:gutter="0" w:footer="0" w:header="0"/>
        </w:sectPr>
      </w:pPr>
    </w:p>
    <w:bookmarkStart w:id="40" w:name="page41"/>
    <w:bookmarkEnd w:id="40"/>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80" w:type="dxa"/>
            <w:vAlign w:val="bottom"/>
          </w:tcPr>
          <w:p>
            <w:pPr>
              <w:spacing w:after="0"/>
              <w:rPr>
                <w:sz w:val="13"/>
                <w:szCs w:val="13"/>
                <w:color w:val="auto"/>
              </w:rPr>
            </w:pPr>
          </w:p>
        </w:tc>
        <w:tc>
          <w:tcPr>
            <w:tcW w:w="2180" w:type="dxa"/>
            <w:vAlign w:val="bottom"/>
            <w:gridSpan w:val="2"/>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80" w:type="dxa"/>
            <w:vAlign w:val="bottom"/>
          </w:tcPr>
          <w:p>
            <w:pPr>
              <w:spacing w:after="0"/>
              <w:rPr>
                <w:sz w:val="13"/>
                <w:szCs w:val="13"/>
                <w:color w:val="auto"/>
              </w:rPr>
            </w:pPr>
          </w:p>
        </w:tc>
        <w:tc>
          <w:tcPr>
            <w:tcW w:w="2020" w:type="dxa"/>
            <w:vAlign w:val="bottom"/>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2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1,000,000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34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11,250</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106,875</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130,625</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109,863</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129,588</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(2,988)</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1,037</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9.77</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9.42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6"/>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(0.27)</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0.08</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1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120" w:firstLine="450"/>
        <w:spacing w:after="0" w:line="247"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292" w:right="339" w:bottom="1440" w:gutter="0" w:footer="0" w:header="0"/>
        </w:sectPr>
      </w:pPr>
    </w:p>
    <w:bookmarkStart w:id="41" w:name="page42"/>
    <w:bookmarkEnd w:id="41"/>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60" w:type="dxa"/>
            <w:vAlign w:val="bottom"/>
            <w:gridSpan w:val="2"/>
          </w:tcPr>
          <w:p>
            <w:pPr>
              <w:jc w:val="center"/>
              <w:ind w:right="362"/>
              <w:spacing w:after="0" w:line="145" w:lineRule="exact"/>
              <w:rPr>
                <w:sz w:val="20"/>
                <w:szCs w:val="20"/>
                <w:color w:val="auto"/>
              </w:rPr>
            </w:pPr>
            <w:r>
              <w:rPr>
                <w:rFonts w:ascii="Times New Roman" w:cs="Times New Roman" w:eastAsia="Times New Roman" w:hAnsi="Times New Roman"/>
                <w:sz w:val="14"/>
                <w:szCs w:val="14"/>
                <w:b w:val="1"/>
                <w:bCs w:val="1"/>
                <w:color w:val="auto"/>
                <w:w w:val="98"/>
              </w:rPr>
              <w:t>10% Offering</w:t>
            </w:r>
          </w:p>
        </w:tc>
        <w:tc>
          <w:tcPr>
            <w:tcW w:w="240" w:type="dxa"/>
            <w:vAlign w:val="bottom"/>
          </w:tcPr>
          <w:p>
            <w:pPr>
              <w:spacing w:after="0"/>
              <w:rPr>
                <w:sz w:val="12"/>
                <w:szCs w:val="12"/>
                <w:color w:val="auto"/>
              </w:rPr>
            </w:pPr>
          </w:p>
        </w:tc>
        <w:tc>
          <w:tcPr>
            <w:tcW w:w="194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8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9.00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6"/>
              </w:rPr>
              <w:t>1,050,000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1,100,000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1,250,000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0.05%</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0.09%</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0.20%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4,990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23,750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19,725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4,025</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0.44</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92"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w:t>
      </w:r>
    </w:p>
    <w:p>
      <w:pPr>
        <w:spacing w:after="0" w:line="21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290"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COMPANIES</w:t>
      </w:r>
    </w:p>
    <w:p>
      <w:pPr>
        <w:spacing w:after="0" w:line="216" w:lineRule="exact"/>
        <w:rPr>
          <w:sz w:val="20"/>
          <w:szCs w:val="20"/>
          <w:color w:val="auto"/>
        </w:rPr>
      </w:pPr>
    </w:p>
    <w:p>
      <w:pPr>
        <w:ind w:right="100" w:firstLine="45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3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80" w:type="dxa"/>
            <w:vAlign w:val="bottom"/>
            <w:gridSpan w:val="2"/>
          </w:tcPr>
          <w:p>
            <w:pPr>
              <w:jc w:val="center"/>
              <w:ind w:right="5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70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980" w:type="dxa"/>
            <w:vAlign w:val="bottom"/>
          </w:tcPr>
          <w:p>
            <w:pPr>
              <w:spacing w:after="0"/>
              <w:rPr>
                <w:sz w:val="14"/>
                <w:szCs w:val="14"/>
                <w:color w:val="auto"/>
              </w:rPr>
            </w:pPr>
          </w:p>
        </w:tc>
        <w:tc>
          <w:tcPr>
            <w:tcW w:w="1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Companies Less than 5%</w:t>
            </w:r>
          </w:p>
        </w:tc>
        <w:tc>
          <w:tcPr>
            <w:tcW w:w="298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Owned</w:t>
            </w:r>
          </w:p>
        </w:tc>
        <w:tc>
          <w:tcPr>
            <w:tcW w:w="2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Merger Sub, LLC</w:t>
            </w:r>
          </w:p>
        </w:tc>
        <w:tc>
          <w:tcPr>
            <w:tcW w:w="25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Equity,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S+660, 12/22/2028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3254 E Broadway Rd.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85040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Avenu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IT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5860 Trinity Pkwy</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S+625, 10/02/2029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Centerville, VA 20120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Falcon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2141 Rosecrans Ave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 , 08/01/2029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 90245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Ad.net Acquisition,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(Ad.net Holdings, Inc.)</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S+626, 05/07/2026</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Aeronix, Inc.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(SV Aero Holdings,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S+550, 12/18/2028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1775 West Hibiscus Boulevard, Suite 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Melbourne, FL 32901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AFC Dell Holding Corp.</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Distributors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(AFC Acquisitions, Inc.)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S+640, 04/09/2027</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9030 Port Union Road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Chester Township, OH 45011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Affinion Group Holdings, Inc.</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Consumer Goods: Durable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Warrants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 High Ridge Park</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Stamford, CT 06905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10"/>
                <w:szCs w:val="10"/>
                <w:color w:val="auto"/>
              </w:rPr>
              <w:t>(5)</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Software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251 Little Falls Drive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9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5"/>
        </w:trPr>
        <w:tc>
          <w:tcPr>
            <w:tcW w:w="1620" w:type="dxa"/>
            <w:vAlign w:val="bottom"/>
            <w:tcBorders>
              <w:top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auto"/>
              </w:rPr>
              <w:t>Altamira Technologies, LLC</w:t>
            </w:r>
          </w:p>
        </w:tc>
        <w:tc>
          <w:tcPr>
            <w:tcW w:w="2880" w:type="dxa"/>
            <w:vAlign w:val="bottom"/>
          </w:tcPr>
          <w:p>
            <w:pPr>
              <w:spacing w:after="0"/>
              <w:rPr>
                <w:sz w:val="9"/>
                <w:szCs w:val="9"/>
                <w:color w:val="auto"/>
              </w:rPr>
            </w:pPr>
          </w:p>
        </w:tc>
        <w:tc>
          <w:tcPr>
            <w:tcW w:w="21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IT Services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Equity</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1.0</w:t>
            </w:r>
          </w:p>
        </w:tc>
        <w:tc>
          <w:tcPr>
            <w:tcW w:w="500" w:type="dxa"/>
            <w:vAlign w:val="bottom"/>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1,679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Amsive Holding Corporation (f/k/a Vision Purchaser Corporation)</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605 Territorial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S+640, 06/10/2025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A, B &amp; 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Bolingbrook, IL 60440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Anteriad, LLC (f/k/a MeritDirect,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18,751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(Anterida Holdings, LP (5))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06/30/2026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 International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Energy Equipment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07/21/2027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1374 130 S</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Applied Technical Services,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13,853</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S+590, 12/29/2026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1049 Triad Ct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Arcfield Acquisition Corp.</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14295 Park Meadow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08/03/2029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Chantilly, VA 20151</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Athletico Holdings,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2122 York Road, Ste. 300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 Brook, IL 60523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 Plus Technologies,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 World Trade Center, 47th Floor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07/01/2029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Top Holdings,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48,636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(ACP Big Top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02/28/2030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3255 U.S. Hwy 19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FL 32347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BioDerm,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(BioDerm holdings, LP)</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S+650, 01/31/2028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12320 73rd Court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Largo, FL 33773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1501 SW Expressway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S+565, 09/17/2026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BlueHalo Financing Holdings,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6,397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410 Jan Davis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S+475, 10/31/2025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S+626, 12/04/2025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Burgess Point Holdings, LP</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29627 Renaissance Blvd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AL 26526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284" w:right="3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880" w:type="dxa"/>
            <w:vAlign w:val="bottom"/>
          </w:tcPr>
          <w:p>
            <w:pPr>
              <w:spacing w:after="0"/>
              <w:rPr>
                <w:sz w:val="14"/>
                <w:szCs w:val="1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45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By Light Professional IT Services, LLC</w:t>
            </w:r>
          </w:p>
        </w:tc>
        <w:tc>
          <w:tcPr>
            <w:tcW w:w="2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High Tech Industries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w:t>
            </w:r>
          </w:p>
        </w:tc>
        <w:tc>
          <w:tcPr>
            <w:tcW w:w="50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40,004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Light Investco, LP)</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S+688, 05/16/2025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8484 Westpark Drive Suite 600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Carisk Buyer,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(Carisk Parent,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12/01/2029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10685 North Kendall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Carnegie Dartlet,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48,279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(Carnegie HoldCo,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S+550, 02/07/2030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210 Littleton Road, Suite 100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Cartessa Aesthetics,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175 Broadhollow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06/14/2028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Melville, NY 11747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CF512,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(StellPen Holdings,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S+619, 08/20/2026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960B Harvest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Challenger Performance Optimization, Inc. 1201 Wilson Blvd</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Arlington, VA 22209</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S+775 (PIK 2.00%),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08/31/2024</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S+555, 02/09/2026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1200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75 S English Station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S+500, 11/30/2028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Connatix Buyer,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(Connatix Parent,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S+576, 07/13/2027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666 Broadway, Floor 10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S+501, 08/16/2027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1027 Byers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Squatch,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Personal Products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2355 Westwood Blvd. #1834</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08/31/2027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225 State Street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S+640, 11/03/2025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Duraco Specialty Tapes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Containers and Packaging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7400 Industrial Dr.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S+650, 06/30/2024</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(Kentucky Racing Holco,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S+475, 08/31/2030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5629 Nashville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7"/>
              </w:rPr>
              <w:t>Warrants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284" w:right="379" w:bottom="1440" w:gutter="0" w:footer="0" w:header="0"/>
        </w:sectPr>
      </w:pPr>
    </w:p>
    <w:bookmarkStart w:id="46" w:name="page47"/>
    <w:bookmarkEnd w:id="46"/>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2" w:lineRule="auto"/>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0"/>
          <w:szCs w:val="10"/>
          <w:color w:val="auto"/>
        </w:rPr>
        <w:t>(6)</w:t>
      </w:r>
    </w:p>
    <w:p>
      <w:pPr>
        <w:spacing w:after="0" w:line="232" w:lineRule="auto"/>
        <w:rPr>
          <w:sz w:val="20"/>
          <w:szCs w:val="20"/>
          <w:color w:val="auto"/>
        </w:rPr>
      </w:pPr>
      <w:r>
        <w:rPr>
          <w:rFonts w:ascii="Times New Roman" w:cs="Times New Roman" w:eastAsia="Times New Roman" w:hAnsi="Times New Roman"/>
          <w:sz w:val="13"/>
          <w:szCs w:val="13"/>
          <w:color w:val="auto"/>
        </w:rPr>
        <w:t>11612 Bee Caves Road, Building II, Suite 200 Austin, TX,</w:t>
      </w:r>
    </w:p>
    <w:p>
      <w:pPr>
        <w:spacing w:after="0"/>
        <w:rPr>
          <w:sz w:val="20"/>
          <w:szCs w:val="20"/>
          <w:color w:val="auto"/>
        </w:rPr>
      </w:pPr>
      <w:r>
        <w:rPr>
          <w:rFonts w:ascii="Times New Roman" w:cs="Times New Roman" w:eastAsia="Times New Roman" w:hAnsi="Times New Roman"/>
          <w:sz w:val="14"/>
          <w:szCs w:val="14"/>
          <w:color w:val="auto"/>
        </w:rPr>
        <w:t>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EDS Buyer, LLC</w:t>
      </w:r>
    </w:p>
    <w:p>
      <w:pPr>
        <w:spacing w:after="0" w:line="215" w:lineRule="auto"/>
        <w:rPr>
          <w:sz w:val="20"/>
          <w:szCs w:val="20"/>
          <w:color w:val="auto"/>
        </w:rPr>
      </w:pPr>
      <w:r>
        <w:rPr>
          <w:rFonts w:ascii="Times New Roman" w:cs="Times New Roman" w:eastAsia="Times New Roman" w:hAnsi="Times New Roman"/>
          <w:sz w:val="14"/>
          <w:szCs w:val="14"/>
          <w:color w:val="auto"/>
        </w:rPr>
        <w:t>(EDS Topco, LP)</w:t>
      </w:r>
    </w:p>
    <w:p>
      <w:pPr>
        <w:spacing w:after="0" w:line="216" w:lineRule="auto"/>
        <w:rPr>
          <w:sz w:val="20"/>
          <w:szCs w:val="20"/>
          <w:color w:val="auto"/>
        </w:rPr>
      </w:pPr>
      <w:r>
        <w:rPr>
          <w:rFonts w:ascii="Times New Roman" w:cs="Times New Roman" w:eastAsia="Times New Roman" w:hAnsi="Times New Roman"/>
          <w:sz w:val="14"/>
          <w:szCs w:val="14"/>
          <w:color w:val="auto"/>
        </w:rPr>
        <w:t>810 7th Ave 12th floor</w:t>
      </w: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7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2"/>
          </w:tcPr>
          <w:p>
            <w:pPr>
              <w:jc w:val="center"/>
              <w:ind w:right="780"/>
              <w:spacing w:after="0" w:line="132"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20" w:type="dxa"/>
            <w:vAlign w:val="bottom"/>
            <w:gridSpan w:val="2"/>
          </w:tcPr>
          <w:p>
            <w:pPr>
              <w:jc w:val="center"/>
              <w:ind w:right="870"/>
              <w:spacing w:after="0" w:line="13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1"/>
                <w:szCs w:val="11"/>
                <w:color w:val="auto"/>
              </w:rPr>
            </w:pPr>
          </w:p>
        </w:tc>
        <w:tc>
          <w:tcPr>
            <w:tcW w:w="66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9"/>
        </w:trPr>
        <w:tc>
          <w:tcPr>
            <w:tcW w:w="2580" w:type="dxa"/>
            <w:vAlign w:val="bottom"/>
            <w:gridSpan w:val="2"/>
          </w:tcPr>
          <w:p>
            <w:pPr>
              <w:jc w:val="center"/>
              <w:ind w:right="800"/>
              <w:spacing w:after="0" w:line="129" w:lineRule="exact"/>
              <w:rPr>
                <w:sz w:val="20"/>
                <w:szCs w:val="20"/>
                <w:color w:val="auto"/>
              </w:rPr>
            </w:pPr>
            <w:r>
              <w:rPr>
                <w:rFonts w:ascii="Times New Roman" w:cs="Times New Roman" w:eastAsia="Times New Roman" w:hAnsi="Times New Roman"/>
                <w:sz w:val="12"/>
                <w:szCs w:val="12"/>
                <w:b w:val="1"/>
                <w:bCs w:val="1"/>
                <w:color w:val="auto"/>
              </w:rPr>
              <w:t>Nature of Business</w:t>
            </w:r>
          </w:p>
        </w:tc>
        <w:tc>
          <w:tcPr>
            <w:tcW w:w="2340" w:type="dxa"/>
            <w:vAlign w:val="bottom"/>
            <w:gridSpan w:val="2"/>
          </w:tcPr>
          <w:p>
            <w:pPr>
              <w:jc w:val="center"/>
              <w:ind w:right="780"/>
              <w:spacing w:after="0" w:line="129" w:lineRule="exact"/>
              <w:rPr>
                <w:sz w:val="20"/>
                <w:szCs w:val="20"/>
                <w:color w:val="auto"/>
              </w:rPr>
            </w:pPr>
            <w:r>
              <w:rPr>
                <w:rFonts w:ascii="Times New Roman" w:cs="Times New Roman" w:eastAsia="Times New Roman" w:hAnsi="Times New Roman"/>
                <w:sz w:val="12"/>
                <w:szCs w:val="12"/>
                <w:b w:val="1"/>
                <w:bCs w:val="1"/>
                <w:color w:val="auto"/>
              </w:rPr>
              <w:t>Interest (1), Maturity</w:t>
            </w:r>
          </w:p>
        </w:tc>
        <w:tc>
          <w:tcPr>
            <w:tcW w:w="1720" w:type="dxa"/>
            <w:vAlign w:val="bottom"/>
            <w:gridSpan w:val="2"/>
          </w:tcPr>
          <w:p>
            <w:pPr>
              <w:jc w:val="center"/>
              <w:ind w:right="890"/>
              <w:spacing w:after="0" w:line="129" w:lineRule="exact"/>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right"/>
              <w:ind w:right="7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Banking, Finance, Insurance &amp;</w:t>
            </w:r>
          </w:p>
        </w:tc>
        <w:tc>
          <w:tcPr>
            <w:tcW w:w="780" w:type="dxa"/>
            <w:vAlign w:val="bottom"/>
            <w:vMerge w:val="continue"/>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Common Equity</w:t>
            </w:r>
          </w:p>
        </w:tc>
        <w:tc>
          <w:tcPr>
            <w:tcW w:w="780" w:type="dxa"/>
            <w:vAlign w:val="bottom"/>
            <w:vMerge w:val="continue"/>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3"/>
        </w:trPr>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Real Estate</w:t>
            </w: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2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45"/>
        </w:trPr>
        <w:tc>
          <w:tcPr>
            <w:tcW w:w="258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34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3M S+575, 01/10/2029</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-995045</wp:posOffset>
            </wp:positionV>
            <wp:extent cx="7178040" cy="5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300" w:space="520"/>
            <w:col w:w="7380"/>
          </w:cols>
          <w:pgMar w:left="320" w:top="284" w:right="379" w:bottom="1440" w:gutter="0" w:footer="0" w:header="0"/>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Media: Diversified and</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27070 Miles Road</w:t>
            </w:r>
          </w:p>
        </w:tc>
        <w:tc>
          <w:tcPr>
            <w:tcW w:w="25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S+900 (PIK 1.50%),</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06/15/2024</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Eisner Advisory Group,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733 Third Avenue</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S+400, 02/23/2031</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ETE Intermediate II,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(Gauge ETE Blocker,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—(4), 05/25/2029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1604 South West Avenue</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rPr>
              <w:t>12.56% Fixed, 05/19/2029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Waukesha, WI 53186</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Exigo Intermediate II,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Software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(Exigo,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9"/>
              </w:rPr>
              <w:t>— , 03/15/2027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655 3rd St Suite 301</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S+501, 06/23/2028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10"/>
                <w:szCs w:val="10"/>
                <w:color w:val="auto"/>
              </w:rPr>
              <w:t>(5)</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Common Equity(4)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3100 Clarendon Blvd</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Five Star Buyer, Inc.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(Five Star Parent Holdings,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S+710, 02/23/2028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3388 Green Mountain Dr</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Branson, MO 65616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GCOM InvestCo LP</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IT Services</w:t>
            </w: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Global Holdings InterCo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4343 South 118th East Ave Suite 220</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S+610, 03/16/2026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Tulsa, OK 74146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Trading Companies &amp;</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25195 Brest Road</w:t>
            </w:r>
          </w:p>
        </w:tc>
        <w:tc>
          <w:tcPr>
            <w:tcW w:w="2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08/10/2027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Insurance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(Hancock Claims Consultants Investors, LLC)</w:t>
            </w:r>
            <w:r>
              <w:rPr>
                <w:rFonts w:ascii="Times New Roman" w:cs="Times New Roman" w:eastAsia="Times New Roman" w:hAnsi="Times New Roman"/>
                <w:sz w:val="10"/>
                <w:szCs w:val="10"/>
                <w:color w:val="auto"/>
              </w:rPr>
              <w:t>(5)</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12/31/2026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6875 Shiloh Rd. East</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Hills Distribution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(GMP Hills, L.P.)</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S+600, 11/07/2029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 Brainard Road</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Hartford, CT 06114</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284" w:right="37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3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HV Watterson Holdings, LLC</w:t>
            </w:r>
          </w:p>
        </w:tc>
        <w:tc>
          <w:tcPr>
            <w:tcW w:w="19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0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70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jc w:val="right"/>
              <w:ind w:right="68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1821 Walden Office Square Unit 111</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Schaumburg, IL 60173</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1M S+640, 05/10/2026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Icon Partners V C, L.P.</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315 Capitol St Suite 100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Infusion Co-Invest, LP</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3609 Park East Drive</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IG Investments Holdings,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S+610, 09/22/2028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Software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(Imagine Topco,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 , 11/15/2027</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8757 Red Oak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Inception Fertility Ventures,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4828 Loop Central Drive, Suite 900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S+725, 12/31/2024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77081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Infinity Home Services Holdco,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(IHS Parent Holdings,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S+685, 12/28/2028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16600 W Cleveland Ave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(Tower Arch Infolinks Media, LP)</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S+585, 11/01/2026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45 North Broad Street</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Integrative Nutrition,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Consumer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(IIN Group Holdings, LLC)</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S+715 (PIK 2.25%),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245 5th Avenue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01/31/2025</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Integrity Marketing Acquisition,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Insurance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S+615, 08/27/2026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9725 NW 117th Ave #200,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1200 Internationale Parkway</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S+761, 06/30/2025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ITI Holdings,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IT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2980 E. Coliseum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S+560, 03/03/2028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Wayne, IN 46805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Keel Platform,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Metals and Mining</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Building 1 9801, 9801 US-78</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S+525, 01/19/2031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Ladson, SC 29456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84"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Kinetic Purchaser, LLC</w:t>
            </w:r>
          </w:p>
        </w:tc>
        <w:tc>
          <w:tcPr>
            <w:tcW w:w="33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Personal Products</w:t>
            </w:r>
          </w:p>
        </w:tc>
        <w:tc>
          <w:tcPr>
            <w:tcW w:w="24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220" w:type="dxa"/>
            <w:vAlign w:val="bottom"/>
          </w:tcPr>
          <w:p>
            <w:pPr>
              <w:spacing w:after="0"/>
              <w:rPr>
                <w:sz w:val="9"/>
                <w:szCs w:val="9"/>
                <w:color w:val="auto"/>
              </w:rPr>
            </w:pPr>
          </w:p>
        </w:tc>
        <w:tc>
          <w:tcPr>
            <w:tcW w:w="8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12552 S. 125 West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S+615, 11/10/2027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Lash Coinvest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S+810 (PIK 5.10%),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02/18/2027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3165 W Sunset Rd,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1M S+640, 10/31/25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(SP L2 Holdings,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S+665, 11/09/2026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S+535, 02/03/2026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1457 East 40th Street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(LJ Avalon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S+640, 02/01/2030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4921 Memorial Hwy, Suite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Tampa, FL 33634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Loving Tan Intermediate II,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22,121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Loving Tan,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S+700, 05/31/2028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857 Post Rd, Suite 348</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Fairfield, CT 06824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Specialty Retail</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8510 Colonnade Center Dr.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S+650, 06/30/2029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Unit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Raleigh, MN 27615</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Lucky Bucks,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5820 Live Oak Parkway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S+765, 10/02/2028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Norcross, GA 30093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 DS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2730 Fair Lakes Circle</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S+550, 04/01/2027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Topco LP</w:t>
            </w:r>
            <w:r>
              <w:rPr>
                <w:rFonts w:ascii="Times New Roman" w:cs="Times New Roman" w:eastAsia="Times New Roman" w:hAnsi="Times New Roman"/>
                <w:sz w:val="10"/>
                <w:szCs w:val="10"/>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Automobiles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5821 Fairview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28209</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Mars Acquisition Holdings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(Mars Intermediate Holdings II, Inc.)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S+565, 05/14/2026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 , 04/16/2027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MDI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(MDI Aggregator,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S+550, 07/25/2028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 W Knox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 AZ 85284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284"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gridSpan w:val="2"/>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0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Meadowlark Acquirer, LLC</w:t>
            </w:r>
          </w:p>
        </w:tc>
        <w:tc>
          <w:tcPr>
            <w:tcW w:w="2860" w:type="dxa"/>
            <w:vAlign w:val="bottom"/>
          </w:tcPr>
          <w:p>
            <w:pPr>
              <w:spacing w:after="0"/>
              <w:rPr>
                <w:sz w:val="9"/>
                <w:szCs w:val="9"/>
                <w:color w:val="auto"/>
              </w:rPr>
            </w:pPr>
          </w:p>
        </w:tc>
        <w:tc>
          <w:tcPr>
            <w:tcW w:w="1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58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58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740" w:type="dxa"/>
            <w:vAlign w:val="bottom"/>
          </w:tcPr>
          <w:p>
            <w:pPr>
              <w:jc w:val="right"/>
              <w:ind w:right="56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(Meadowlark Title, LLC)</w:t>
            </w:r>
            <w:r>
              <w:rPr>
                <w:rFonts w:ascii="Times New Roman" w:cs="Times New Roman" w:eastAsia="Times New Roman" w:hAnsi="Times New Roman"/>
                <w:sz w:val="10"/>
                <w:szCs w:val="10"/>
                <w:color w:val="auto"/>
              </w:rPr>
              <w:t>(5)</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S+565, 12/10/2027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888 Boylston, Ste. 1600,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Medina Health,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Medina Health,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10/20/2028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Parkview Plaza,</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Oakbrook Terrace, IL 60181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Megawatt Acquisitionco, Inc.</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23,449</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(Megawatt Acquisition Partners, LLC)</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03/01/2030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6060 Phyllis Dr</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Cypress, CA 90630</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Capital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15272 Newsboy Circle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03/31/2025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CA 92649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MOREGroup Holdings,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31,614</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801 Cherry Street Suite 500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S+590, 01/16/2030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Worth, TX 76102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Emergency Services,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 Turnberry Ln</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S+515, 10/01/2027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3035 S Maryland Pkwy #110</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08/19/2026</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Neptune Flood Incorporated</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400 6th St 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05/09/2029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NORA Acquisition,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22,741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(NORA Parent Holdings,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S+635, 08/31/2029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3805 E Main St.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Charlees, IL 60174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525 West Monroe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Omnia Exterior Solutions,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6650 Walnut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S+550, 12/29/2029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Albany, OH 43054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Air Freight and Logistics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601 Regency Drive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S+636, 05/07/2027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ORL Acquisition,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Consumer Finance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(ORL Holdco, Inc.)</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S+940 (PIK 2.00%),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5555 N Beach St #4100,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09/03/2027</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Fort Worth, TX 76137</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OSP Embedded Purchaser,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(OSP Embedded Aggregator, LP)</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S+585, 12/15/2029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Grand Island Blvd, Suite 2</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Island, NY 14072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775 Washington Ave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S+843, 11/30/2028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Carlstadt, NJ 07072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284" w:right="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8"/>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60" w:type="dxa"/>
            <w:vAlign w:val="bottom"/>
            <w:gridSpan w:val="2"/>
          </w:tcPr>
          <w:p>
            <w:pPr>
              <w:jc w:val="center"/>
              <w:ind w:right="98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76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Owl Acquisition, LLC</w:t>
            </w:r>
          </w:p>
        </w:tc>
        <w:tc>
          <w:tcPr>
            <w:tcW w:w="2420" w:type="dxa"/>
            <w:vAlign w:val="bottom"/>
          </w:tcPr>
          <w:p>
            <w:pPr>
              <w:spacing w:after="0"/>
              <w:rPr>
                <w:sz w:val="9"/>
                <w:szCs w:val="9"/>
                <w:color w:val="auto"/>
              </w:rPr>
            </w:pPr>
          </w:p>
        </w:tc>
        <w:tc>
          <w:tcPr>
            <w:tcW w:w="1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2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70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100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47 Old Webster Road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S+550, 02/04/2028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MA 01540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 Two,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22260 Haggerty Road #365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S+651, 05/18/2026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Pacific Purchaser,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6,016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(Consello Pacific Aggregator, LLC)</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S+625, 09/30/2028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3250 Wilshire Blvd # 900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90010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PCS Midco,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(PCS Parent, LP)</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03/01/2030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9450 SW Gemini Dr</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Beaverton, OR 97008</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PennantPark-TSO Senior Loan Fund, LP</w:t>
            </w:r>
            <w:r>
              <w:rPr>
                <w:rFonts w:ascii="Times New Roman" w:cs="Times New Roman" w:eastAsia="Times New Roman" w:hAnsi="Times New Roman"/>
                <w:sz w:val="10"/>
                <w:szCs w:val="10"/>
                <w:color w:val="auto"/>
              </w:rPr>
              <w:t>(6)</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Financial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4.99%</w:t>
            </w:r>
            <w:r>
              <w:rPr>
                <w:rFonts w:ascii="Times New Roman" w:cs="Times New Roman" w:eastAsia="Times New Roman" w:hAnsi="Times New Roman"/>
                <w:sz w:val="10"/>
                <w:szCs w:val="10"/>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9,705</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Textiles, Apparel and Luxury</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(Pink Lily Holdco, LLC)</w:t>
            </w:r>
            <w:r>
              <w:rPr>
                <w:rFonts w:ascii="Times New Roman" w:cs="Times New Roman" w:eastAsia="Times New Roman" w:hAnsi="Times New Roman"/>
                <w:sz w:val="10"/>
                <w:szCs w:val="10"/>
                <w:color w:val="auto"/>
              </w:rPr>
              <w:t>(5)</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Goods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S+710 (PIK 3.50%),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323 Mitch McConnell Way</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11/09/2027</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Bowling Green KY 42101</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13310 James E. Casey Ave.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S+565, 05/08/2026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Englewood, CO 80112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Pragmatic Institute,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8910 East Raintree Drive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07/06/2028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85620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(U.S.) Co-Invest, L.P.</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330 Old Country Rd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300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Mineola, NY 11501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6,467</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S+635, 11/19/2026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QuantiTech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3M S+1010, 02/04/2027</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II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360A-360D Quality Circle, Suite 100/430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 Diversified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275 Grove Street, Suite 2-130</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09/09/2024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(RFMG Parent, LP)</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12/18/2025</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Recteq,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(NEPRT Parent Holdings, LLC )</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S+715, 01/29/2026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1061 Triad Ct., Ste. 3</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284"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38"/>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LLC</w:t>
            </w:r>
          </w:p>
        </w:tc>
        <w:tc>
          <w:tcPr>
            <w:tcW w:w="2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and Dynata, LLC</w:t>
            </w:r>
          </w:p>
        </w:tc>
        <w:tc>
          <w:tcPr>
            <w:tcW w:w="1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68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S+576, 12/20/2024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825 NE 25th Avenue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S+515, 06/20/2025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Rural Sourcing Holdings,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(HPA SPQ Aggregator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S+625, 06/15/2029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817 West Peachtree St. Suite M100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S101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1450 Centrepark Blvd.</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12/29/2026</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210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Palm Beach, FL 33401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S+620, 01/03/2025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Sargent &amp; Greenleaf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Security Drive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S+760 (PIK 1.00%),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12/20/2024</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16,420</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S+825 (PIK 5.60%),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07/14/2025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Iselin, NJ 08830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Subordinate Debt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S+700, 07/26/2024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Seaway Buyer,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(Seaway Topco,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06/13/2029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6006 Siesta Lane</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 Richey, FL 34668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Sigma Defense Systems,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IT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(Delta InvestCo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S+715, 12/18/2027</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1812 Macon Rd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GA 31069</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Simplicity Financial Marketing Group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86 Summit Avenue Suite 303</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3M S+640, 12/02/2026</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NJ 07901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Skopima Consilio Parent,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1828 L Street NW Suite 1070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05/17/2028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20036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Smartronix,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Aerospace and Defense</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(OceanSound Discovery Equity,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S+635, 11/23/2028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310 The Bridge Street, Suite 350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100 Spectrum Center Drive, Suite 100</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Pharmaceuticals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10/14/2025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84" w:right="3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80" w:type="dxa"/>
            <w:vAlign w:val="bottom"/>
            <w:gridSpan w:val="2"/>
          </w:tcPr>
          <w:p>
            <w:pPr>
              <w:jc w:val="center"/>
              <w:ind w:right="6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Solutionreach, Inc.</w:t>
            </w:r>
          </w:p>
        </w:tc>
        <w:tc>
          <w:tcPr>
            <w:tcW w:w="3080" w:type="dxa"/>
            <w:vAlign w:val="bottom"/>
          </w:tcPr>
          <w:p>
            <w:pPr>
              <w:spacing w:after="0"/>
              <w:rPr>
                <w:sz w:val="9"/>
                <w:szCs w:val="9"/>
                <w:color w:val="auto"/>
              </w:rPr>
            </w:pPr>
          </w:p>
        </w:tc>
        <w:tc>
          <w:tcPr>
            <w:tcW w:w="1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Healthcare Technology</w:t>
            </w:r>
          </w:p>
        </w:tc>
        <w:tc>
          <w:tcPr>
            <w:tcW w:w="44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44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4,652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2600 N. Ashton Blvd.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S+700, 07/17/2025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Spendmend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 Haven Saints Equity Holdings, LP)</w:t>
            </w:r>
            <w:r>
              <w:rPr>
                <w:rFonts w:ascii="Times New Roman" w:cs="Times New Roman" w:eastAsia="Times New Roman" w:hAnsi="Times New Roman"/>
                <w:sz w:val="10"/>
                <w:szCs w:val="10"/>
                <w:color w:val="auto"/>
              </w:rPr>
              <w:t>(5)</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3M S+565, 03/01/2028,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Horizon Dr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 49546</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SSC Dominion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(US Dominion,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Behavioral Healthcare,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501 Corporate Centre Dr. #600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1M S+501, 11/24/2028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TN 37067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 Planning and Analysis, Inc. (f/k/a Management Consulting &amp;</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Research,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S+590, 08/16/2027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1220 12th Street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r>
              <w:rPr>
                <w:rFonts w:ascii="Times New Roman" w:cs="Times New Roman" w:eastAsia="Times New Roman" w:hAnsi="Times New Roman"/>
                <w:sz w:val="10"/>
                <w:szCs w:val="10"/>
                <w:color w:val="auto"/>
              </w:rPr>
              <w:t>(5)</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1610 Heritage St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3.0 Jogger Acquisitionco, Inc.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4"/>
              </w:rPr>
              <w:t>Media</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(TCG 3.0 Jogger Co-Invest,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S+650, 01/26/2029</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3344 Walnut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Denver, CO 80205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Team Services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131 Camino Del Rio N, Suite 650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S+543, 12/20/2027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CA 92108</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Professional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S+665, 07/28/2026</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Vertex Companies,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(TWD Parent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S+610, 08/30/2027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398 Libbey Industrial Pkwy,</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US Parent,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Food Products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(TPC Holding Company,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3M S+565, 11/24/2025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151 Struthers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TransGo,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15,569</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(Aftermarket Drivetrain Products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S+600, 12/29/2028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2621 Merced Avenue</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Monte, CA, 91733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Diversified Consumer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 N. 44th Street #230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S+640, 06/16/2025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IT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(NXOF Holdings,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S+565, 04/01/2028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284"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4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40" w:type="dxa"/>
            <w:vAlign w:val="bottom"/>
            <w:gridSpan w:val="2"/>
          </w:tcPr>
          <w:p>
            <w:pPr>
              <w:jc w:val="center"/>
              <w:ind w:right="8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50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UniTek Global Services Inc.</w:t>
            </w:r>
          </w:p>
        </w:tc>
        <w:tc>
          <w:tcPr>
            <w:tcW w:w="2660" w:type="dxa"/>
            <w:vAlign w:val="bottom"/>
          </w:tcPr>
          <w:p>
            <w:pPr>
              <w:spacing w:after="0"/>
              <w:rPr>
                <w:sz w:val="9"/>
                <w:szCs w:val="9"/>
                <w:color w:val="auto"/>
              </w:rPr>
            </w:pPr>
          </w:p>
        </w:tc>
        <w:tc>
          <w:tcPr>
            <w:tcW w:w="20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Telecommunications</w:t>
            </w:r>
          </w:p>
        </w:tc>
        <w:tc>
          <w:tcPr>
            <w:tcW w:w="500" w:type="dxa"/>
            <w:vAlign w:val="bottom"/>
          </w:tcPr>
          <w:p>
            <w:pPr>
              <w:spacing w:after="0"/>
              <w:rPr>
                <w:sz w:val="9"/>
                <w:szCs w:val="9"/>
                <w:color w:val="auto"/>
              </w:rPr>
            </w:pPr>
          </w:p>
        </w:tc>
        <w:tc>
          <w:tcPr>
            <w:tcW w:w="16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Preferred Equity</w:t>
            </w:r>
          </w:p>
        </w:tc>
        <w:tc>
          <w:tcPr>
            <w:tcW w:w="540" w:type="dxa"/>
            <w:vAlign w:val="bottom"/>
          </w:tcPr>
          <w:p>
            <w:pPr>
              <w:spacing w:after="0"/>
              <w:rPr>
                <w:sz w:val="9"/>
                <w:szCs w:val="9"/>
                <w:color w:val="auto"/>
              </w:rPr>
            </w:pPr>
          </w:p>
        </w:tc>
        <w:tc>
          <w:tcPr>
            <w:tcW w:w="760" w:type="dxa"/>
            <w:vAlign w:val="bottom"/>
            <w:tcBorders>
              <w:top w:val="single" w:sz="8" w:color="auto"/>
            </w:tcBorders>
          </w:tcPr>
          <w:p>
            <w:pPr>
              <w:ind w:left="5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7"/>
              </w:rPr>
              <w:t>Warrants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UniVista Insurance</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Urology Partners Co., LP</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500 East Broward Blvd, Suite 2150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Lauderdale, FL 33394</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Wholesale</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(Walker Edison Holdco LLC)</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 03/01/2029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1553 W 9000 S</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Jordan, UT 84088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Watchtower Intermediate,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(Watchtower Holdings, LLC)</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rPr>
              <w:t>3M S+600 , 12/01/2029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127 Weldon Parkway</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Heights, MO 63043</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WCP IvyRehab QP CF Feeder, LP</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(WCP IvyRehab Coinvestment, LP) </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1311 Mamaroneck Avenue, Suite 140</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Plains, NY 10605</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(Wildcat Parent, LP)</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S+575, 02/26/2027</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Wrench Group,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1819 Main Street Suite 1300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S+426, 10/30/2028</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Sarasota, FL 34236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Zips Car Wash,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Automobiles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1809 East Parker Road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3M S+735 (PIK 1.50%),</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Jonesboro, AR 72404</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12/31/2024</w:t>
            </w: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Marketplace Events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32.6%</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38,004</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MPE Holdings, LLC)</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S+550, 09/30/2026</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10"/>
                <w:szCs w:val="10"/>
                <w:color w:val="auto"/>
              </w:rPr>
              <w:t>(6)</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Financial Services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263,199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S+800, 05/06/2024</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2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Total Investments</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1,477,883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ind w:left="460" w:hanging="455"/>
        <w:spacing w:after="0" w:line="249"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84" w:right="339" w:bottom="1440" w:gutter="0" w:footer="0" w:header="0"/>
        </w:sectPr>
      </w:pPr>
    </w:p>
    <w:bookmarkStart w:id="54" w:name="page55"/>
    <w:bookmarkEnd w:id="54"/>
    <w:p>
      <w:pPr>
        <w:ind w:left="460" w:hanging="455"/>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Voting ownership percentage refers only to common equity, preferred equity and warrants held, if any, were we to have voting rights.</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one or more voting seats on the portfolio company’s board of directors/managers.</w:t>
      </w:r>
    </w:p>
    <w:p>
      <w:pPr>
        <w:spacing w:after="0" w:line="3" w:lineRule="exact"/>
        <w:rPr>
          <w:rFonts w:ascii="Times New Roman" w:cs="Times New Roman" w:eastAsia="Times New Roman" w:hAnsi="Times New Roman"/>
          <w:sz w:val="18"/>
          <w:szCs w:val="18"/>
          <w:color w:val="auto"/>
        </w:rPr>
      </w:pPr>
    </w:p>
    <w:p>
      <w:pPr>
        <w:ind w:left="460" w:right="260" w:hanging="455"/>
        <w:spacing w:after="0" w:line="244"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460" w:hanging="455"/>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held through our Taxable Subsidiary.</w:t>
      </w:r>
    </w:p>
    <w:p>
      <w:pPr>
        <w:spacing w:after="0" w:line="3" w:lineRule="exact"/>
        <w:rPr>
          <w:rFonts w:ascii="Times New Roman" w:cs="Times New Roman" w:eastAsia="Times New Roman" w:hAnsi="Times New Roman"/>
          <w:sz w:val="18"/>
          <w:szCs w:val="18"/>
          <w:color w:val="auto"/>
        </w:rPr>
      </w:pPr>
    </w:p>
    <w:p>
      <w:pPr>
        <w:ind w:left="460" w:right="240" w:hanging="455"/>
        <w:spacing w:after="0" w:line="246"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brief description of each portfolio company in which we have made an investment that represents greater than 5% of our total assets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PennantPark Senior Secured Loan Fund I LLC (Financial Services)</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69"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7"/>
                <w:szCs w:val="17"/>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192"/>
        </w:trPr>
        <w:tc>
          <w:tcPr>
            <w:tcW w:w="34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Electronic Equipment, Instruments, and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Components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Engineering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Components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Equipment and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35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292" w:right="439"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Healthcare Equipment and Supplies</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7"/>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7"/>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480" w:type="dxa"/>
            <w:vAlign w:val="bottom"/>
            <w:gridSpan w:val="3"/>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29"/>
        </w:trPr>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(1)</w:t>
            </w:r>
          </w:p>
        </w:tc>
        <w:tc>
          <w:tcPr>
            <w:tcW w:w="44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Excludes investments in PSSL.</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286" w:right="1440" w:bottom="1440" w:gutter="0" w:footer="0" w:header="0"/>
        </w:sectPr>
      </w:pPr>
    </w:p>
    <w:bookmarkStart w:id="56" w:name="page57"/>
    <w:bookmarkEnd w:id="56"/>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MANAGEMENT OF THE COMPANY</w:t>
      </w:r>
    </w:p>
    <w:p>
      <w:pPr>
        <w:spacing w:after="0" w:line="216" w:lineRule="exact"/>
        <w:rPr>
          <w:sz w:val="20"/>
          <w:szCs w:val="20"/>
          <w:color w:val="auto"/>
        </w:rPr>
      </w:pPr>
    </w:p>
    <w:p>
      <w:pPr>
        <w:ind w:firstLine="45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3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320" w:top="290" w:right="619" w:bottom="1440" w:gutter="0" w:footer="0" w:header="0"/>
        </w:sectPr>
      </w:pPr>
    </w:p>
    <w:bookmarkStart w:id="57" w:name="page58"/>
    <w:bookmarkEnd w:id="5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INVESTMENT MANAGEMENT AND ADMINISTRATION AGREEMENT</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entitled “Business—Investment Management Agreement,” “Business—Investment Advisory Fees,” “Business— Organization of the Investment Adviser,” “Business—Administration Agreements” in Part I, Item 1 of our most recent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the notes to our consolidated financial statements under the caption “Note 3. Agreements and Related Party Transactions” in our most recent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290"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MANAGEMENT</w:t>
      </w:r>
    </w:p>
    <w:p>
      <w:pPr>
        <w:spacing w:after="0" w:line="216"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w:t>
      </w:r>
    </w:p>
    <w:p>
      <w:pPr>
        <w:spacing w:after="0" w:line="19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5" w:lineRule="exact"/>
        <w:rPr>
          <w:sz w:val="20"/>
          <w:szCs w:val="20"/>
          <w:color w:val="auto"/>
        </w:rPr>
      </w:pPr>
    </w:p>
    <w:p>
      <w:pPr>
        <w:ind w:right="220" w:firstLine="450"/>
        <w:spacing w:after="0" w:line="250"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5" w:lineRule="exact"/>
        <w:rPr>
          <w:sz w:val="20"/>
          <w:szCs w:val="20"/>
          <w:color w:val="auto"/>
        </w:rPr>
      </w:pPr>
    </w:p>
    <w:p>
      <w:pPr>
        <w:ind w:right="380" w:firstLine="450"/>
        <w:spacing w:after="0" w:line="332" w:lineRule="auto"/>
        <w:rPr>
          <w:sz w:val="20"/>
          <w:szCs w:val="20"/>
          <w:color w:val="auto"/>
        </w:rPr>
      </w:pPr>
      <w:r>
        <w:rPr>
          <w:rFonts w:ascii="Times New Roman" w:cs="Times New Roman" w:eastAsia="Times New Roman" w:hAnsi="Times New Roman"/>
          <w:sz w:val="16"/>
          <w:szCs w:val="16"/>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2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90" w:right="339" w:bottom="1440" w:gutter="0" w:footer="0" w:header="0"/>
        </w:sectPr>
      </w:pPr>
    </w:p>
    <w:bookmarkStart w:id="59" w:name="page60"/>
    <w:bookmarkEnd w:id="59"/>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9" w:lineRule="exact"/>
        <w:rPr>
          <w:sz w:val="20"/>
          <w:szCs w:val="20"/>
          <w:color w:val="auto"/>
        </w:rPr>
      </w:pPr>
    </w:p>
    <w:p>
      <w:pPr>
        <w:ind w:right="240" w:firstLine="450"/>
        <w:spacing w:after="0" w:line="293" w:lineRule="auto"/>
        <w:rPr>
          <w:sz w:val="20"/>
          <w:szCs w:val="20"/>
          <w:color w:val="auto"/>
        </w:rPr>
      </w:pPr>
      <w:r>
        <w:rPr>
          <w:rFonts w:ascii="Times New Roman" w:cs="Times New Roman" w:eastAsia="Times New Roman" w:hAnsi="Times New Roman"/>
          <w:sz w:val="16"/>
          <w:szCs w:val="16"/>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managing our investments, as of March 31, 2024,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6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Investment Corporation</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Business development company</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 U.S. middle market companies in</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form of first lien secured loans, second lien</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debt, subordinated debt and equity</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Primarily floating rate loans, with an emphasis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senior secured loans, in middle-market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leveraged companies.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Senior Loan Fund, LLC</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invests in middle-market and other</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consistent with PennantPark</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Corporation’s strategy.</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Managed Funds or Accounts</w:t>
            </w:r>
            <w:r>
              <w:rPr>
                <w:rFonts w:ascii="Times New Roman" w:cs="Times New Roman" w:eastAsia="Times New Roman" w:hAnsi="Times New Roman"/>
                <w:sz w:val="26"/>
                <w:szCs w:val="26"/>
                <w:color w:val="auto"/>
                <w:vertAlign w:val="superscript"/>
              </w:rPr>
              <w:t>(1)</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Lending Funds</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credit opportunities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7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39</w:t>
            </w:r>
          </w:p>
        </w:tc>
        <w:tc>
          <w:tcPr>
            <w:tcW w:w="3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2" w:right="339" w:bottom="1440" w:gutter="0" w:footer="0" w:header="0"/>
        </w:sectPr>
      </w:pPr>
    </w:p>
    <w:bookmarkStart w:id="60" w:name="page61"/>
    <w:bookmarkEnd w:id="60"/>
    <w:p>
      <w:pPr>
        <w:ind w:left="460" w:right="580" w:hanging="455"/>
        <w:spacing w:after="0" w:line="332" w:lineRule="auto"/>
        <w:tabs>
          <w:tab w:leader="none" w:pos="4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289560</wp:posOffset>
            </wp:positionV>
            <wp:extent cx="7854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85495" cy="8255"/>
                    </a:xfrm>
                    <a:prstGeom prst="rect">
                      <a:avLst/>
                    </a:prstGeom>
                    <a:noFill/>
                  </pic:spPr>
                </pic:pic>
              </a:graphicData>
            </a:graphic>
          </wp:anchor>
        </w:drawing>
        <w:t>The following table identifies, based on gross assets as of March 31, 2024, (i) the number of other registered investment companies, other pooled investment vehicles and other accounts managed by the portfolio managers; and (ii) the total assets of such companies, vehicles and accounts.</w:t>
      </w:r>
    </w:p>
    <w:p>
      <w:pPr>
        <w:spacing w:after="0" w:line="12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0" w:type="dxa"/>
            <w:vAlign w:val="bottom"/>
          </w:tcPr>
          <w:p>
            <w:pPr>
              <w:spacing w:after="0"/>
              <w:rPr>
                <w:sz w:val="1"/>
                <w:szCs w:val="1"/>
                <w:color w:val="auto"/>
              </w:rPr>
            </w:pPr>
          </w:p>
        </w:tc>
      </w:tr>
      <w:tr>
        <w:trPr>
          <w:trHeight w:val="14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448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46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7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53">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more information of potential conflicts of interests.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dollar range of our common stock beneficially owned by each of our senior investment professionals as of March 31,</w:t>
      </w:r>
    </w:p>
    <w:p>
      <w:pPr>
        <w:spacing w:after="0" w:line="44"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18"/>
          <w:szCs w:val="18"/>
          <w:color w:val="auto"/>
        </w:rPr>
        <w:t>2024.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Dollar Range of the</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PennantPark Floating Rate</w:t>
            </w:r>
          </w:p>
        </w:tc>
      </w:tr>
      <w:tr>
        <w:trPr>
          <w:trHeight w:val="182"/>
        </w:trPr>
        <w:tc>
          <w:tcPr>
            <w:tcW w:w="3600" w:type="dxa"/>
            <w:vAlign w:val="bottom"/>
          </w:tcPr>
          <w:p>
            <w:pPr>
              <w:spacing w:after="0"/>
              <w:rPr>
                <w:sz w:val="15"/>
                <w:szCs w:val="15"/>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 xml:space="preserve">Capital Ltd. </w:t>
            </w:r>
            <w:r>
              <w:rPr>
                <w:rFonts w:ascii="Times New Roman" w:cs="Times New Roman" w:eastAsia="Times New Roman" w:hAnsi="Times New Roman"/>
                <w:sz w:val="10"/>
                <w:szCs w:val="10"/>
                <w:b w:val="1"/>
                <w:bCs w:val="1"/>
                <w:color w:val="auto"/>
                <w:w w:val="99"/>
              </w:rPr>
              <w:t>(1)</w:t>
            </w:r>
          </w:p>
        </w:tc>
      </w:tr>
      <w:tr>
        <w:trPr>
          <w:trHeight w:val="211"/>
        </w:trPr>
        <w:tc>
          <w:tcPr>
            <w:tcW w:w="3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Arthur H. Penn</w:t>
            </w:r>
            <w:r>
              <w:rPr>
                <w:rFonts w:ascii="Times New Roman" w:cs="Times New Roman" w:eastAsia="Times New Roman" w:hAnsi="Times New Roman"/>
                <w:sz w:val="24"/>
                <w:szCs w:val="24"/>
                <w:color w:val="auto"/>
                <w:vertAlign w:val="superscript"/>
              </w:rPr>
              <w:t>(2)</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José A. Briones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Appelbaum</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Clerkin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 Horn</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Raskopf</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Winograd</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9" w:lineRule="exact"/>
        <w:rPr>
          <w:sz w:val="20"/>
          <w:szCs w:val="20"/>
          <w:color w:val="auto"/>
        </w:rPr>
      </w:pPr>
    </w:p>
    <w:p>
      <w:pPr>
        <w:ind w:left="460" w:right="220" w:hanging="455"/>
        <w:spacing w:after="0" w:line="254"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5"/>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476" w:right="35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DETERMINATION OF NET ASSET VALUE</w:t>
      </w:r>
    </w:p>
    <w:p>
      <w:pPr>
        <w:spacing w:after="0" w:line="21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14"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1" w:lineRule="exact"/>
        <w:rPr>
          <w:sz w:val="20"/>
          <w:szCs w:val="20"/>
          <w:color w:val="auto"/>
        </w:rPr>
      </w:pPr>
    </w:p>
    <w:p>
      <w:pPr>
        <w:ind w:left="1000" w:right="180" w:hanging="547"/>
        <w:spacing w:after="0" w:line="26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21" w:lineRule="exact"/>
        <w:rPr>
          <w:rFonts w:ascii="Times New Roman" w:cs="Times New Roman" w:eastAsia="Times New Roman" w:hAnsi="Times New Roman"/>
          <w:sz w:val="18"/>
          <w:szCs w:val="18"/>
          <w:color w:val="auto"/>
        </w:rPr>
      </w:pPr>
    </w:p>
    <w:p>
      <w:pPr>
        <w:ind w:left="1000" w:right="600" w:hanging="547"/>
        <w:spacing w:after="0" w:line="25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1" w:lineRule="exact"/>
        <w:rPr>
          <w:rFonts w:ascii="Times New Roman" w:cs="Times New Roman" w:eastAsia="Times New Roman" w:hAnsi="Times New Roman"/>
          <w:sz w:val="18"/>
          <w:szCs w:val="18"/>
          <w:color w:val="auto"/>
        </w:rPr>
      </w:pPr>
    </w:p>
    <w:p>
      <w:pPr>
        <w:ind w:left="1000" w:right="240" w:hanging="547"/>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rFonts w:ascii="Times New Roman" w:cs="Times New Roman" w:eastAsia="Times New Roman" w:hAnsi="Times New Roman"/>
          <w:sz w:val="18"/>
          <w:szCs w:val="18"/>
          <w:color w:val="auto"/>
        </w:rPr>
      </w:pPr>
    </w:p>
    <w:p>
      <w:pPr>
        <w:ind w:left="1000" w:right="340" w:hanging="547"/>
        <w:spacing w:after="0" w:line="26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9"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290" w:right="339" w:bottom="1440" w:gutter="0" w:footer="0" w:header="0"/>
        </w:sectPr>
      </w:pPr>
    </w:p>
    <w:bookmarkStart w:id="62" w:name="page63"/>
    <w:bookmarkEnd w:id="62"/>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ectPr>
          <w:pgSz w:w="11900" w:h="16838" w:orient="portrait"/>
          <w:cols w:equalWidth="0" w:num="1">
            <w:col w:w="11220"/>
          </w:cols>
          <w:pgMar w:left="320" w:top="292" w:right="359" w:bottom="1440" w:gutter="0" w:footer="0" w:header="0"/>
        </w:sectPr>
      </w:pP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45"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9"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5"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11"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3060" w:hanging="4982"/>
        <w:spacing w:after="0" w:line="436" w:lineRule="auto"/>
        <w:tabs>
          <w:tab w:leader="none" w:pos="9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42</w:t>
      </w:r>
    </w:p>
    <w:p>
      <w:pPr>
        <w:sectPr>
          <w:pgSz w:w="11900" w:h="16838" w:orient="portrait"/>
          <w:cols w:equalWidth="0" w:num="1">
            <w:col w:w="11220"/>
          </w:cols>
          <w:pgMar w:left="320" w:top="292" w:right="359" w:bottom="1440" w:gutter="0" w:footer="0" w:header="0"/>
          <w:type w:val="continuous"/>
        </w:sectPr>
      </w:pPr>
    </w:p>
    <w:bookmarkStart w:id="63" w:name="page64"/>
    <w:bookmarkEnd w:id="63"/>
    <w:p>
      <w:pPr>
        <w:ind w:left="1000" w:right="140" w:hanging="442"/>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7" w:lineRule="exact"/>
        <w:rPr>
          <w:rFonts w:ascii="Times New Roman" w:cs="Times New Roman" w:eastAsia="Times New Roman" w:hAnsi="Times New Roman"/>
          <w:sz w:val="18"/>
          <w:szCs w:val="18"/>
          <w:color w:val="auto"/>
        </w:rPr>
      </w:pPr>
    </w:p>
    <w:p>
      <w:pPr>
        <w:ind w:left="1000" w:right="560" w:hanging="442"/>
        <w:spacing w:after="0" w:line="26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22" w:lineRule="exact"/>
        <w:rPr>
          <w:sz w:val="20"/>
          <w:szCs w:val="20"/>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5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right="20" w:firstLine="450"/>
        <w:spacing w:after="0" w:line="332"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292" w:right="379" w:bottom="1440" w:gutter="0" w:footer="0" w:header="0"/>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CAPITAL STOCK</w:t>
      </w:r>
    </w:p>
    <w:p>
      <w:pPr>
        <w:spacing w:after="0" w:line="216"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May 23, 2024 was $11.26 per share. As of March 31, 2024, we had 32 stockholders of record.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2024:</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Us or</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5"/>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8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Our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4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10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w w:val="95"/>
              </w:rPr>
              <w:t>100,000,000</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63,228,138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290" w:right="379" w:bottom="1440" w:gutter="0" w:footer="0" w:header="0"/>
        </w:sectPr>
      </w:pPr>
    </w:p>
    <w:bookmarkStart w:id="65" w:name="page66"/>
    <w:bookmarkEnd w:id="65"/>
    <w:p>
      <w:pPr>
        <w:ind w:right="10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restricting or eliminating the liabilities of directors under Maryland law will apply to, or in any way limit, the duties or liabilities of such persons with respect to matters arising under the federal securities laws.</w:t>
      </w:r>
    </w:p>
    <w:p>
      <w:pPr>
        <w:spacing w:after="0" w:line="154"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9"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Provisions of the Maryland General Corporation Law and our Charter and Bylaws</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13"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13"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1"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13"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29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Advance notice provisions for stockholder nominations and stockholder proposals</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20" w:firstLine="5"/>
        <w:spacing w:after="0" w:line="244" w:lineRule="auto"/>
        <w:tabs>
          <w:tab w:leader="none" w:pos="2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13" w:lineRule="exact"/>
        <w:rPr>
          <w:sz w:val="20"/>
          <w:szCs w:val="20"/>
          <w:color w:val="auto"/>
        </w:rPr>
      </w:pPr>
    </w:p>
    <w:p>
      <w:pPr>
        <w:jc w:val="both"/>
        <w:ind w:right="200" w:firstLine="450"/>
        <w:spacing w:after="0" w:line="252"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13"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288" w:right="359" w:bottom="1440" w:gutter="0" w:footer="0" w:header="0"/>
        </w:sectPr>
      </w:pPr>
    </w:p>
    <w:bookmarkStart w:id="68" w:name="page69"/>
    <w:bookmarkEnd w:id="68"/>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13"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13"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69" w:lineRule="exact"/>
        <w:rPr>
          <w:sz w:val="20"/>
          <w:szCs w:val="20"/>
          <w:color w:val="auto"/>
        </w:rPr>
      </w:pPr>
    </w:p>
    <w:p>
      <w:pPr>
        <w:ind w:firstLine="450"/>
        <w:spacing w:after="0" w:line="289" w:lineRule="auto"/>
        <w:rPr>
          <w:sz w:val="20"/>
          <w:szCs w:val="20"/>
          <w:color w:val="auto"/>
        </w:rPr>
      </w:pPr>
      <w:r>
        <w:rPr>
          <w:rFonts w:ascii="Times New Roman" w:cs="Times New Roman" w:eastAsia="Times New Roman" w:hAnsi="Times New Roman"/>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1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80"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60" w:lineRule="exact"/>
        <w:rPr>
          <w:sz w:val="20"/>
          <w:szCs w:val="20"/>
          <w:color w:val="auto"/>
        </w:rPr>
      </w:pPr>
    </w:p>
    <w:p>
      <w:pPr>
        <w:ind w:right="140" w:firstLine="450"/>
        <w:spacing w:after="0" w:line="268"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292"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Business combinations</w:t>
      </w:r>
    </w:p>
    <w:p>
      <w:pPr>
        <w:spacing w:after="0" w:line="113"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1" w:lineRule="exact"/>
        <w:rPr>
          <w:sz w:val="20"/>
          <w:szCs w:val="20"/>
          <w:color w:val="auto"/>
        </w:rPr>
      </w:pPr>
    </w:p>
    <w:p>
      <w:pPr>
        <w:ind w:left="1000" w:hanging="442"/>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7" w:lineRule="exact"/>
        <w:rPr>
          <w:sz w:val="20"/>
          <w:szCs w:val="20"/>
          <w:color w:val="auto"/>
        </w:rPr>
      </w:pPr>
    </w:p>
    <w:p>
      <w:pPr>
        <w:ind w:left="1000" w:hanging="442"/>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21" w:lineRule="exact"/>
        <w:rPr>
          <w:rFonts w:ascii="Times New Roman" w:cs="Times New Roman" w:eastAsia="Times New Roman" w:hAnsi="Times New Roman"/>
          <w:sz w:val="18"/>
          <w:szCs w:val="18"/>
          <w:color w:val="auto"/>
        </w:rPr>
      </w:pPr>
    </w:p>
    <w:p>
      <w:pPr>
        <w:ind w:left="1000" w:right="220" w:hanging="442"/>
        <w:spacing w:after="0" w:line="332" w:lineRule="auto"/>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3"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9"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13"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Exclusive Forum</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ind w:left="240" w:hanging="235"/>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Internal Corporate Claim, as such term is defined in Section 1-101(q) of the Maryland General Corporation Law, or any successor provision thereof,</w:t>
      </w:r>
    </w:p>
    <w:p>
      <w:pPr>
        <w:spacing w:after="0" w:line="26" w:lineRule="exact"/>
        <w:rPr>
          <w:rFonts w:ascii="Times New Roman" w:cs="Times New Roman" w:eastAsia="Times New Roman" w:hAnsi="Times New Roman"/>
          <w:sz w:val="16"/>
          <w:szCs w:val="16"/>
          <w:color w:val="auto"/>
        </w:rPr>
      </w:pPr>
    </w:p>
    <w:p>
      <w:pPr>
        <w:ind w:firstLine="5"/>
        <w:spacing w:after="0" w:line="244"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288" w:right="4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PREFERRED STOCK</w:t>
      </w:r>
    </w:p>
    <w:p>
      <w:pPr>
        <w:spacing w:after="0" w:line="21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7" w:lineRule="exact"/>
        <w:rPr>
          <w:sz w:val="20"/>
          <w:szCs w:val="20"/>
          <w:color w:val="auto"/>
        </w:rPr>
      </w:pPr>
    </w:p>
    <w:p>
      <w:pPr>
        <w:ind w:right="460" w:firstLine="450"/>
        <w:spacing w:after="0" w:line="268"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77" w:lineRule="exact"/>
        <w:rPr>
          <w:sz w:val="20"/>
          <w:szCs w:val="20"/>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9"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90"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WARRANTS</w:t>
      </w:r>
    </w:p>
    <w:p>
      <w:pPr>
        <w:spacing w:after="0" w:line="216"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22" w:lineRule="exact"/>
        <w:rPr>
          <w:sz w:val="20"/>
          <w:szCs w:val="20"/>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7" w:lineRule="exact"/>
        <w:rPr>
          <w:rFonts w:ascii="Times New Roman" w:cs="Times New Roman" w:eastAsia="Times New Roman" w:hAnsi="Times New Roman"/>
          <w:sz w:val="18"/>
          <w:szCs w:val="18"/>
          <w:color w:val="auto"/>
        </w:rPr>
      </w:pPr>
    </w:p>
    <w:p>
      <w:pPr>
        <w:jc w:val="both"/>
        <w:ind w:left="1000" w:hanging="442"/>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14"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90" w:right="359" w:bottom="1440" w:gutter="0" w:footer="0" w:header="0"/>
        </w:sectPr>
      </w:pPr>
    </w:p>
    <w:bookmarkStart w:id="73" w:name="page74"/>
    <w:bookmarkEnd w:id="73"/>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292" w:right="39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SUBSCRIPTION RIGHTS</w:t>
      </w:r>
    </w:p>
    <w:p>
      <w:pPr>
        <w:spacing w:after="0" w:line="216"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applicable prospectus supplement would describe the following terms of subscription rights in respect of which this prospectus is being delivered:</w:t>
      </w:r>
    </w:p>
    <w:p>
      <w:pPr>
        <w:spacing w:after="0" w:line="145" w:lineRule="exact"/>
        <w:rPr>
          <w:sz w:val="20"/>
          <w:szCs w:val="20"/>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1000" w:right="240" w:hanging="442"/>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77"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5"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290" w:right="35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DEBT SECURITIES</w:t>
      </w:r>
    </w:p>
    <w:p>
      <w:pPr>
        <w:spacing w:after="0" w:line="21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8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3" w:lineRule="exact"/>
        <w:rPr>
          <w:sz w:val="20"/>
          <w:szCs w:val="20"/>
          <w:color w:val="auto"/>
        </w:rPr>
      </w:pPr>
    </w:p>
    <w:p>
      <w:pPr>
        <w:ind w:right="340" w:firstLine="450"/>
        <w:spacing w:after="0" w:line="289" w:lineRule="auto"/>
        <w:rPr>
          <w:sz w:val="20"/>
          <w:szCs w:val="20"/>
          <w:color w:val="auto"/>
        </w:rPr>
      </w:pPr>
      <w:r>
        <w:rPr>
          <w:rFonts w:ascii="Times New Roman" w:cs="Times New Roman" w:eastAsia="Times New Roman" w:hAnsi="Times New Roman"/>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5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4"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7" w:lineRule="exact"/>
        <w:rPr>
          <w:sz w:val="20"/>
          <w:szCs w:val="20"/>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290" w:right="359" w:bottom="1440" w:gutter="0" w:footer="0" w:header="0"/>
        </w:sectPr>
      </w:pPr>
    </w:p>
    <w:bookmarkStart w:id="76" w:name="page77"/>
    <w:bookmarkEnd w:id="76"/>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rate or rates (which may be either fixed or variable) and/or the method of determining such rate or rates of interest, if any;</w:t>
      </w:r>
    </w:p>
    <w:p>
      <w:pPr>
        <w:spacing w:after="0" w:line="121" w:lineRule="exact"/>
        <w:rPr>
          <w:rFonts w:ascii="Times New Roman" w:cs="Times New Roman" w:eastAsia="Times New Roman" w:hAnsi="Times New Roman"/>
          <w:sz w:val="18"/>
          <w:szCs w:val="18"/>
          <w:color w:val="auto"/>
        </w:rPr>
      </w:pPr>
    </w:p>
    <w:p>
      <w:pPr>
        <w:ind w:left="1000" w:right="40" w:hanging="442"/>
        <w:spacing w:after="0" w:line="26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21" w:lineRule="exact"/>
        <w:rPr>
          <w:rFonts w:ascii="Times New Roman" w:cs="Times New Roman" w:eastAsia="Times New Roman" w:hAnsi="Times New Roman"/>
          <w:sz w:val="18"/>
          <w:szCs w:val="18"/>
          <w:color w:val="auto"/>
        </w:rPr>
      </w:pPr>
    </w:p>
    <w:p>
      <w:pPr>
        <w:jc w:val="both"/>
        <w:ind w:left="1000" w:right="240" w:hanging="442"/>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federal income tax implications, including, if applicable, federal income tax considerations relating to original issue discount, or OID;</w:t>
      </w:r>
    </w:p>
    <w:p>
      <w:pPr>
        <w:spacing w:after="0" w:line="144" w:lineRule="exact"/>
        <w:rPr>
          <w:rFonts w:ascii="Times New Roman" w:cs="Times New Roman" w:eastAsia="Times New Roman" w:hAnsi="Times New Roman"/>
          <w:sz w:val="16"/>
          <w:szCs w:val="16"/>
          <w:color w:val="auto"/>
        </w:rPr>
      </w:pPr>
    </w:p>
    <w:p>
      <w:pPr>
        <w:ind w:left="1000" w:right="480" w:hanging="442"/>
        <w:spacing w:after="0" w:line="332" w:lineRule="auto"/>
        <w:tabs>
          <w:tab w:leader="none" w:pos="10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1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0" w:lineRule="exact"/>
        <w:rPr>
          <w:sz w:val="20"/>
          <w:szCs w:val="20"/>
          <w:color w:val="auto"/>
        </w:rPr>
      </w:pPr>
    </w:p>
    <w:p>
      <w:pPr>
        <w:ind w:right="280" w:firstLine="450"/>
        <w:spacing w:after="0" w:line="268"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292" w:right="359" w:bottom="1440" w:gutter="0" w:footer="0" w:header="0"/>
        </w:sectPr>
      </w:pPr>
    </w:p>
    <w:bookmarkStart w:id="77" w:name="page78"/>
    <w:bookmarkEnd w:id="77"/>
    <w:p>
      <w:pPr>
        <w:ind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237"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11"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1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0"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292" w:right="359" w:bottom="1440" w:gutter="0" w:footer="0" w:header="0"/>
        </w:sectPr>
      </w:pPr>
    </w:p>
    <w:bookmarkStart w:id="78" w:name="page79"/>
    <w:bookmarkEnd w:id="7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1" w:lineRule="exact"/>
        <w:rPr>
          <w:sz w:val="20"/>
          <w:szCs w:val="20"/>
          <w:color w:val="auto"/>
        </w:rPr>
      </w:pPr>
    </w:p>
    <w:p>
      <w:pPr>
        <w:jc w:val="both"/>
        <w:ind w:right="140" w:firstLine="450"/>
        <w:spacing w:after="0" w:line="252"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1" w:lineRule="exact"/>
        <w:rPr>
          <w:sz w:val="20"/>
          <w:szCs w:val="20"/>
          <w:color w:val="auto"/>
        </w:rPr>
      </w:pPr>
    </w:p>
    <w:p>
      <w:pPr>
        <w:ind w:right="180" w:firstLine="450"/>
        <w:spacing w:after="0" w:line="303"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3"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92" w:right="359" w:bottom="1440" w:gutter="0" w:footer="0" w:header="0"/>
        </w:sectPr>
      </w:pPr>
    </w:p>
    <w:bookmarkStart w:id="79" w:name="page80"/>
    <w:bookmarkEnd w:id="79"/>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320" w:firstLine="450"/>
        <w:spacing w:after="0" w:line="332"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1"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77" w:lineRule="exact"/>
        <w:rPr>
          <w:sz w:val="20"/>
          <w:szCs w:val="20"/>
          <w:color w:val="auto"/>
        </w:rPr>
      </w:pPr>
    </w:p>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21" w:lineRule="exact"/>
        <w:rPr>
          <w:rFonts w:ascii="Times New Roman" w:cs="Times New Roman" w:eastAsia="Times New Roman" w:hAnsi="Times New Roman"/>
          <w:sz w:val="18"/>
          <w:szCs w:val="18"/>
          <w:color w:val="auto"/>
        </w:rPr>
      </w:pPr>
    </w:p>
    <w:p>
      <w:pPr>
        <w:ind w:left="1000" w:right="340" w:hanging="442"/>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7" w:lineRule="exact"/>
        <w:rPr>
          <w:rFonts w:ascii="Times New Roman" w:cs="Times New Roman" w:eastAsia="Times New Roman" w:hAnsi="Times New Roman"/>
          <w:sz w:val="18"/>
          <w:szCs w:val="18"/>
          <w:color w:val="auto"/>
        </w:rPr>
      </w:pPr>
    </w:p>
    <w:p>
      <w:pPr>
        <w:ind w:left="1000" w:right="200" w:hanging="442"/>
        <w:spacing w:after="0" w:line="26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1"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292"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22" w:lineRule="exact"/>
        <w:rPr>
          <w:sz w:val="20"/>
          <w:szCs w:val="20"/>
          <w:color w:val="auto"/>
        </w:rPr>
      </w:pPr>
    </w:p>
    <w:p>
      <w:pPr>
        <w:ind w:left="1000" w:right="26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7"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7" w:lineRule="exact"/>
        <w:rPr>
          <w:rFonts w:ascii="Times New Roman" w:cs="Times New Roman" w:eastAsia="Times New Roman" w:hAnsi="Times New Roman"/>
          <w:sz w:val="18"/>
          <w:szCs w:val="18"/>
          <w:color w:val="auto"/>
        </w:rPr>
      </w:pPr>
    </w:p>
    <w:p>
      <w:pPr>
        <w:ind w:left="1000" w:right="220" w:hanging="442"/>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8"/>
          <w:szCs w:val="18"/>
          <w:color w:val="auto"/>
        </w:rPr>
      </w:pPr>
    </w:p>
    <w:p>
      <w:pPr>
        <w:ind w:left="1000" w:right="40" w:hanging="442"/>
        <w:spacing w:after="0" w:line="332"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Times New Roman" w:cs="Times New Roman" w:eastAsia="Times New Roman" w:hAnsi="Times New Roman"/>
          <w:sz w:val="16"/>
          <w:szCs w:val="16"/>
          <w:color w:val="auto"/>
        </w:rPr>
      </w:pPr>
    </w:p>
    <w:p>
      <w:pPr>
        <w:ind w:left="1000" w:right="100" w:hanging="442"/>
        <w:spacing w:after="0" w:line="25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22" w:lineRule="exact"/>
        <w:rPr>
          <w:sz w:val="20"/>
          <w:szCs w:val="20"/>
          <w:color w:val="auto"/>
        </w:rPr>
      </w:pPr>
    </w:p>
    <w:p>
      <w:pPr>
        <w:ind w:left="1000" w:hanging="442"/>
        <w:spacing w:after="0" w:line="26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292" w:right="459" w:bottom="1440" w:gutter="0" w:footer="0" w:header="0"/>
        </w:sectPr>
      </w:pPr>
    </w:p>
    <w:bookmarkStart w:id="81" w:name="page82"/>
    <w:bookmarkEnd w:id="81"/>
    <w:p>
      <w:pPr>
        <w:ind w:left="1000" w:right="360" w:hanging="442"/>
        <w:spacing w:after="0" w:line="26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1" w:lineRule="exact"/>
        <w:rPr>
          <w:sz w:val="20"/>
          <w:szCs w:val="20"/>
          <w:color w:val="auto"/>
        </w:rPr>
      </w:pPr>
    </w:p>
    <w:p>
      <w:pPr>
        <w:ind w:right="1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1"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92" w:right="339"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will have rights if an Event of Default occurs in respect of the debt securities of your series and is not cured, as described later in this subsection.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22" w:lineRule="exact"/>
        <w:rPr>
          <w:sz w:val="20"/>
          <w:szCs w:val="20"/>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21" w:lineRule="exact"/>
        <w:rPr>
          <w:rFonts w:ascii="Times New Roman" w:cs="Times New Roman" w:eastAsia="Times New Roman" w:hAnsi="Times New Roman"/>
          <w:sz w:val="18"/>
          <w:szCs w:val="18"/>
          <w:color w:val="auto"/>
        </w:rPr>
      </w:pPr>
    </w:p>
    <w:p>
      <w:pPr>
        <w:ind w:left="1000" w:right="80" w:hanging="442"/>
        <w:spacing w:after="0" w:line="332" w:lineRule="auto"/>
        <w:tabs>
          <w:tab w:leader="none" w:pos="10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14"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3"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7" w:lineRule="exact"/>
        <w:rPr>
          <w:sz w:val="20"/>
          <w:szCs w:val="20"/>
          <w:color w:val="auto"/>
        </w:rPr>
      </w:pPr>
    </w:p>
    <w:p>
      <w:pPr>
        <w:ind w:left="1000" w:hanging="442"/>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21" w:lineRule="exact"/>
        <w:rPr>
          <w:rFonts w:ascii="Times New Roman" w:cs="Times New Roman" w:eastAsia="Times New Roman" w:hAnsi="Times New Roman"/>
          <w:sz w:val="18"/>
          <w:szCs w:val="18"/>
          <w:color w:val="auto"/>
        </w:rPr>
      </w:pPr>
    </w:p>
    <w:p>
      <w:pPr>
        <w:ind w:left="1000" w:right="20" w:hanging="442"/>
        <w:spacing w:after="0" w:line="332"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292" w:right="359" w:bottom="1440" w:gutter="0" w:footer="0" w:header="0"/>
        </w:sectPr>
      </w:pPr>
    </w:p>
    <w:bookmarkStart w:id="83" w:name="page84"/>
    <w:bookmarkEnd w:id="83"/>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trustee must not have taken action for 60 days after receipt of the above notice and offer of indemnity;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12" w:lineRule="exact"/>
        <w:rPr>
          <w:sz w:val="20"/>
          <w:szCs w:val="20"/>
          <w:color w:val="auto"/>
        </w:rPr>
      </w:pPr>
    </w:p>
    <w:p>
      <w:pPr>
        <w:ind w:right="30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7" w:lineRule="exact"/>
        <w:rPr>
          <w:sz w:val="20"/>
          <w:szCs w:val="20"/>
          <w:color w:val="auto"/>
        </w:rPr>
      </w:pPr>
    </w:p>
    <w:p>
      <w:pPr>
        <w:ind w:left="1000" w:right="300" w:hanging="442"/>
        <w:spacing w:after="0" w:line="26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292" w:right="399" w:bottom="1440" w:gutter="0" w:footer="0" w:header="0"/>
        </w:sectPr>
      </w:pPr>
    </w:p>
    <w:bookmarkStart w:id="84" w:name="page85"/>
    <w:bookmarkEnd w:id="84"/>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22" w:lineRule="exact"/>
        <w:rPr>
          <w:sz w:val="20"/>
          <w:szCs w:val="20"/>
          <w:color w:val="auto"/>
        </w:rPr>
      </w:pPr>
    </w:p>
    <w:p>
      <w:pPr>
        <w:ind w:left="1000" w:hanging="442"/>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21"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14" w:lineRule="exact"/>
        <w:rPr>
          <w:sz w:val="20"/>
          <w:szCs w:val="20"/>
          <w:color w:val="auto"/>
        </w:rPr>
      </w:pPr>
    </w:p>
    <w:p>
      <w:pPr>
        <w:ind w:right="40" w:firstLine="450"/>
        <w:spacing w:after="0" w:line="303" w:lineRule="auto"/>
        <w:rPr>
          <w:sz w:val="20"/>
          <w:szCs w:val="20"/>
          <w:color w:val="auto"/>
        </w:rPr>
      </w:pPr>
      <w:r>
        <w:rPr>
          <w:rFonts w:ascii="Times New Roman" w:cs="Times New Roman" w:eastAsia="Times New Roman" w:hAnsi="Times New Roman"/>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22" w:lineRule="exact"/>
        <w:rPr>
          <w:sz w:val="20"/>
          <w:szCs w:val="20"/>
          <w:color w:val="auto"/>
        </w:rPr>
      </w:pPr>
    </w:p>
    <w:p>
      <w:pPr>
        <w:ind w:left="1000" w:hanging="442"/>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292" w:right="379" w:bottom="1440" w:gutter="0" w:footer="0" w:header="0"/>
        </w:sectPr>
      </w:pPr>
    </w:p>
    <w:bookmarkStart w:id="85" w:name="page86"/>
    <w:bookmarkEnd w:id="85"/>
    <w:p>
      <w:pPr>
        <w:ind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2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1" w:lineRule="exact"/>
        <w:rPr>
          <w:sz w:val="20"/>
          <w:szCs w:val="20"/>
          <w:color w:val="auto"/>
        </w:rPr>
      </w:pPr>
    </w:p>
    <w:p>
      <w:pPr>
        <w:ind w:right="240" w:firstLine="450"/>
        <w:spacing w:after="0" w:line="250"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right="280" w:hanging="442"/>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0"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9" w:lineRule="exact"/>
        <w:rPr>
          <w:sz w:val="20"/>
          <w:szCs w:val="20"/>
          <w:color w:val="auto"/>
        </w:rPr>
      </w:pPr>
    </w:p>
    <w:p>
      <w:pPr>
        <w:ind w:right="120" w:firstLine="450"/>
        <w:spacing w:after="0" w:line="303"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1"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7" w:lineRule="exact"/>
        <w:rPr>
          <w:sz w:val="20"/>
          <w:szCs w:val="20"/>
          <w:color w:val="auto"/>
        </w:rPr>
      </w:pPr>
    </w:p>
    <w:p>
      <w:pPr>
        <w:ind w:left="1000" w:right="280" w:hanging="442"/>
        <w:spacing w:after="0" w:line="26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92" w:right="339" w:bottom="1440" w:gutter="0" w:footer="0" w:header="0"/>
        </w:sectPr>
      </w:pPr>
    </w:p>
    <w:bookmarkStart w:id="86" w:name="page87"/>
    <w:bookmarkEnd w:id="86"/>
    <w:p>
      <w:pPr>
        <w:ind w:left="100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 government agency notes or bonds that will generate enough cash to make interest, principal and any other payments on the debt securities on their various due dates;</w:t>
      </w:r>
    </w:p>
    <w:p>
      <w:pPr>
        <w:spacing w:after="0" w:line="77" w:lineRule="exact"/>
        <w:rPr>
          <w:sz w:val="20"/>
          <w:szCs w:val="20"/>
          <w:color w:val="auto"/>
        </w:rPr>
      </w:pPr>
    </w:p>
    <w:p>
      <w:pPr>
        <w:ind w:left="1000" w:right="120" w:hanging="442"/>
        <w:spacing w:after="0" w:line="249"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3"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9"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22" w:lineRule="exact"/>
        <w:rPr>
          <w:sz w:val="20"/>
          <w:szCs w:val="20"/>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14" w:lineRule="exact"/>
        <w:rPr>
          <w:sz w:val="20"/>
          <w:szCs w:val="20"/>
          <w:color w:val="auto"/>
        </w:rPr>
      </w:pPr>
    </w:p>
    <w:p>
      <w:pPr>
        <w:ind w:right="780" w:firstLine="450"/>
        <w:spacing w:after="0" w:line="268"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9" w:lineRule="exact"/>
        <w:rPr>
          <w:sz w:val="20"/>
          <w:szCs w:val="20"/>
          <w:color w:val="auto"/>
        </w:rPr>
      </w:pPr>
    </w:p>
    <w:p>
      <w:pPr>
        <w:ind w:firstLine="450"/>
        <w:spacing w:after="0" w:line="332"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2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0" w:lineRule="exact"/>
        <w:rPr>
          <w:sz w:val="20"/>
          <w:szCs w:val="20"/>
          <w:color w:val="auto"/>
        </w:rPr>
      </w:pPr>
    </w:p>
    <w:p>
      <w:pPr>
        <w:ind w:right="280" w:firstLine="450"/>
        <w:spacing w:after="0" w:line="332"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3" w:lineRule="exact"/>
        <w:rPr>
          <w:sz w:val="20"/>
          <w:szCs w:val="20"/>
          <w:color w:val="auto"/>
        </w:rPr>
      </w:pPr>
    </w:p>
    <w:p>
      <w:pPr>
        <w:ind w:right="20" w:firstLine="450"/>
        <w:spacing w:after="0" w:line="293"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292" w:right="339" w:bottom="1440" w:gutter="0" w:footer="0" w:header="0"/>
        </w:sectPr>
      </w:pPr>
    </w:p>
    <w:bookmarkStart w:id="87" w:name="page88"/>
    <w:bookmarkEnd w:id="87"/>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 registered debt security is issued in book-entry form, only the depositary will be entitled to transfer and exchange the debt security as described in this subsection, since it will be the sole holder of the debt security.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11"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8"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22" w:lineRule="exact"/>
        <w:rPr>
          <w:sz w:val="20"/>
          <w:szCs w:val="20"/>
          <w:color w:val="auto"/>
        </w:rPr>
      </w:pPr>
    </w:p>
    <w:p>
      <w:pPr>
        <w:ind w:left="1000" w:right="100" w:hanging="442"/>
        <w:spacing w:after="0" w:line="25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14"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Equiniti Trust Company, LLC (f/k/a American Stock Transfer &amp; Trust Company, LLC) is the trustee under the indenture and the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292"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Considerations Relating to Foreign Currencies</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60"/>
          </w:cols>
          <w:pgMar w:left="320" w:top="290" w:right="419" w:bottom="1440" w:gutter="0" w:footer="0" w:header="0"/>
        </w:sectPr>
      </w:pPr>
    </w:p>
    <w:bookmarkStart w:id="89" w:name="page90"/>
    <w:bookmarkEnd w:id="8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BROKERAGE ALLOCATIONS AND OTHER PRACTICES</w:t>
      </w:r>
    </w:p>
    <w:p>
      <w:pPr>
        <w:spacing w:after="0" w:line="21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290" w:right="51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MATERIAL U.S. FEDERAL INCOME TAX CONSIDERATIONS</w:t>
      </w:r>
    </w:p>
    <w:p>
      <w:pPr>
        <w:spacing w:after="0" w:line="216" w:lineRule="exact"/>
        <w:rPr>
          <w:sz w:val="20"/>
          <w:szCs w:val="20"/>
          <w:color w:val="auto"/>
        </w:rPr>
      </w:pPr>
    </w:p>
    <w:p>
      <w:pPr>
        <w:ind w:right="60" w:firstLine="450"/>
        <w:spacing w:after="0" w:line="24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22" w:lineRule="exact"/>
        <w:rPr>
          <w:sz w:val="20"/>
          <w:szCs w:val="20"/>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14"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29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Election to be Treated as a RIC</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22" w:lineRule="exact"/>
        <w:rPr>
          <w:sz w:val="20"/>
          <w:szCs w:val="20"/>
          <w:color w:val="auto"/>
        </w:rPr>
      </w:pPr>
    </w:p>
    <w:p>
      <w:pPr>
        <w:ind w:left="1000" w:hanging="442"/>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21" w:lineRule="exact"/>
        <w:rPr>
          <w:rFonts w:ascii="Times New Roman" w:cs="Times New Roman" w:eastAsia="Times New Roman" w:hAnsi="Times New Roman"/>
          <w:sz w:val="18"/>
          <w:szCs w:val="18"/>
          <w:color w:val="auto"/>
        </w:rPr>
      </w:pPr>
    </w:p>
    <w:p>
      <w:pPr>
        <w:jc w:val="both"/>
        <w:ind w:left="1460" w:right="260" w:hanging="455"/>
        <w:spacing w:after="0" w:line="256"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7" w:lineRule="exact"/>
        <w:rPr>
          <w:rFonts w:ascii="Times New Roman" w:cs="Times New Roman" w:eastAsia="Times New Roman" w:hAnsi="Times New Roman"/>
          <w:sz w:val="18"/>
          <w:szCs w:val="18"/>
          <w:color w:val="auto"/>
        </w:rPr>
      </w:pPr>
    </w:p>
    <w:p>
      <w:pPr>
        <w:jc w:val="both"/>
        <w:ind w:left="1460" w:right="40" w:hanging="455"/>
        <w:spacing w:after="0" w:line="256"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0"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290" w:right="359" w:bottom="1440" w:gutter="0" w:footer="0" w:header="0"/>
        </w:sectPr>
      </w:pPr>
    </w:p>
    <w:bookmarkStart w:id="92" w:name="page93"/>
    <w:bookmarkEnd w:id="92"/>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11" w:lineRule="exact"/>
        <w:rPr>
          <w:sz w:val="20"/>
          <w:szCs w:val="20"/>
          <w:color w:val="auto"/>
        </w:rPr>
      </w:pPr>
    </w:p>
    <w:p>
      <w:pPr>
        <w:ind w:right="20" w:firstLine="450"/>
        <w:spacing w:after="0" w:line="289" w:lineRule="auto"/>
        <w:rPr>
          <w:sz w:val="20"/>
          <w:szCs w:val="20"/>
          <w:color w:val="auto"/>
        </w:rPr>
      </w:pPr>
      <w:r>
        <w:rPr>
          <w:rFonts w:ascii="Times New Roman" w:cs="Times New Roman" w:eastAsia="Times New Roman" w:hAnsi="Times New Roman"/>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91"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292" w:right="339" w:bottom="1440" w:gutter="0" w:footer="0" w:header="0"/>
        </w:sectPr>
      </w:pPr>
    </w:p>
    <w:bookmarkStart w:id="93" w:name="page94"/>
    <w:bookmarkEnd w:id="93"/>
    <w:p>
      <w:pPr>
        <w:ind w:right="20" w:firstLine="45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w:t>
      </w:r>
    </w:p>
    <w:p>
      <w:pPr>
        <w:spacing w:after="0" w:line="1" w:lineRule="exact"/>
        <w:rPr>
          <w:sz w:val="20"/>
          <w:szCs w:val="20"/>
          <w:color w:val="auto"/>
        </w:rPr>
      </w:pPr>
    </w:p>
    <w:p>
      <w:pPr>
        <w:ind w:right="420" w:firstLine="5"/>
        <w:spacing w:after="0" w:line="245" w:lineRule="auto"/>
        <w:tabs>
          <w:tab w:leader="none" w:pos="2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9"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5"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292" w:right="339" w:bottom="1440" w:gutter="0" w:footer="0" w:header="0"/>
        </w:sectPr>
      </w:pPr>
    </w:p>
    <w:bookmarkStart w:id="94" w:name="page95"/>
    <w:bookmarkEnd w:id="94"/>
    <w:p>
      <w:pPr>
        <w:ind w:right="10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8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1"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292"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Failure to Qualify as a RIC</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11"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1"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290" w:right="339" w:bottom="1440" w:gutter="0" w:footer="0" w:header="0"/>
        </w:sectPr>
      </w:pPr>
    </w:p>
    <w:bookmarkStart w:id="96" w:name="page97"/>
    <w:bookmarkEnd w:id="96"/>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Distributions out of our current and accumulated earnings and profits will not be eligible for the 20% pass through deduction under Section 199A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6" w:lineRule="exact"/>
        <w:rPr>
          <w:sz w:val="20"/>
          <w:szCs w:val="20"/>
          <w:color w:val="auto"/>
        </w:rPr>
      </w:pPr>
    </w:p>
    <w:p>
      <w:pPr>
        <w:ind w:right="260" w:firstLine="450"/>
        <w:spacing w:after="0" w:line="249"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85"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376"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5"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292" w:right="339" w:bottom="1440" w:gutter="0" w:footer="0" w:header="0"/>
        </w:sectPr>
      </w:pPr>
    </w:p>
    <w:bookmarkStart w:id="97" w:name="page98"/>
    <w:bookmarkEnd w:id="97"/>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6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292"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preferential rate). Distributions may also be subject to additional state, local and foreign taxes depending on a U.S. stockholder’s particular situation.</w:t>
      </w:r>
    </w:p>
    <w:p>
      <w:pPr>
        <w:spacing w:after="0" w:line="214" w:lineRule="exact"/>
        <w:rPr>
          <w:sz w:val="20"/>
          <w:szCs w:val="20"/>
          <w:color w:val="auto"/>
        </w:rPr>
      </w:pPr>
    </w:p>
    <w:p>
      <w:pPr>
        <w:jc w:val="both"/>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0"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ind w:right="60" w:firstLine="5"/>
        <w:spacing w:after="0" w:line="245" w:lineRule="auto"/>
        <w:tabs>
          <w:tab w:leader="none" w:pos="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11"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0"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92" w:right="339" w:bottom="1440" w:gutter="0" w:footer="0" w:header="0"/>
        </w:sectPr>
      </w:pPr>
    </w:p>
    <w:bookmarkStart w:id="99" w:name="page100"/>
    <w:bookmarkEnd w:id="9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0"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8"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5"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1"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292" w:right="399" w:bottom="1440" w:gutter="0" w:footer="0" w:header="0"/>
        </w:sectPr>
      </w:pPr>
    </w:p>
    <w:bookmarkStart w:id="100" w:name="page101"/>
    <w:bookmarkEnd w:id="100"/>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292" w:right="3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PLAN OF DISTRIBUTION</w:t>
      </w:r>
    </w:p>
    <w:p>
      <w:pPr>
        <w:spacing w:after="0" w:line="216" w:lineRule="exact"/>
        <w:rPr>
          <w:sz w:val="20"/>
          <w:szCs w:val="20"/>
          <w:color w:val="auto"/>
        </w:rPr>
      </w:pPr>
    </w:p>
    <w:p>
      <w:pPr>
        <w:ind w:right="140" w:firstLine="450"/>
        <w:spacing w:after="0" w:line="303"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3" w:lineRule="exact"/>
        <w:rPr>
          <w:sz w:val="20"/>
          <w:szCs w:val="20"/>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1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0" w:lineRule="exact"/>
        <w:rPr>
          <w:sz w:val="20"/>
          <w:szCs w:val="20"/>
          <w:color w:val="auto"/>
        </w:rPr>
      </w:pPr>
    </w:p>
    <w:p>
      <w:pPr>
        <w:jc w:val="both"/>
        <w:ind w:right="240" w:firstLine="450"/>
        <w:spacing w:after="0" w:line="282" w:lineRule="auto"/>
        <w:rPr>
          <w:sz w:val="20"/>
          <w:szCs w:val="20"/>
          <w:color w:val="auto"/>
        </w:rPr>
      </w:pPr>
      <w:r>
        <w:rPr>
          <w:rFonts w:ascii="Times New Roman" w:cs="Times New Roman" w:eastAsia="Times New Roman" w:hAnsi="Times New Roman"/>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6" w:lineRule="exact"/>
        <w:rPr>
          <w:sz w:val="20"/>
          <w:szCs w:val="20"/>
          <w:color w:val="auto"/>
        </w:rPr>
      </w:pPr>
    </w:p>
    <w:p>
      <w:pPr>
        <w:jc w:val="both"/>
        <w:ind w:right="340" w:firstLine="450"/>
        <w:spacing w:after="0" w:line="25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0"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9"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3" w:lineRule="exact"/>
        <w:rPr>
          <w:sz w:val="20"/>
          <w:szCs w:val="20"/>
          <w:color w:val="auto"/>
        </w:rPr>
      </w:pPr>
    </w:p>
    <w:p>
      <w:pPr>
        <w:ind w:right="80" w:firstLine="450"/>
        <w:spacing w:after="0" w:line="289" w:lineRule="auto"/>
        <w:rPr>
          <w:sz w:val="20"/>
          <w:szCs w:val="20"/>
          <w:color w:val="auto"/>
        </w:rPr>
      </w:pPr>
      <w:r>
        <w:rPr>
          <w:rFonts w:ascii="Times New Roman" w:cs="Times New Roman" w:eastAsia="Times New Roman" w:hAnsi="Times New Roman"/>
          <w:sz w:val="16"/>
          <w:szCs w:val="16"/>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90" w:right="339" w:bottom="1440" w:gutter="0" w:footer="0" w:header="0"/>
        </w:sectPr>
      </w:pPr>
    </w:p>
    <w:bookmarkStart w:id="102" w:name="page103"/>
    <w:bookmarkEnd w:id="102"/>
    <w:p>
      <w:pPr>
        <w:ind w:firstLine="45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292" w:right="35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SUB-ADMINISTRATOR, CUSTODIAN, TRANSFER AGENT AND TRUSTEE</w:t>
      </w:r>
    </w:p>
    <w:p>
      <w:pPr>
        <w:spacing w:after="0" w:line="216"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and serves as custodian for PFLT Investment Holdings, LLC, a subsidiary of PennantPark Floating Rate Capital Ltd.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NY 10005, telephone number: (800) 468-9716.</w:t>
      </w:r>
    </w:p>
    <w:p>
      <w:pPr>
        <w:spacing w:after="0" w:line="57"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In addition, Wilmington Trust, National Association, serves as custodian for PennantPark CLO VIII, LLC, a subsidiary of PennantPark Floating Rate Capital Ltd., in connection with certain financing matters. The principal business address of Wilmington Trust, National Association is 1100 North Market Street, Wilmington, Delaware 19890, telephone number: (302) 651-1000. In addition, U.S. Bank National Association serves as custodian for PennantPark Floating Rate Funding I, LLC, PennantPark Floating Rate Funding II, LLC, PennantPark CLO I, LLC and PennantPark CLO I, Ltd., each a subsidiary of PennantPark Floating Rate Capital Ltd., in connection with certain financing matters. The principal business address of U.S. Bank National Association is One Federal Street, Third Floor, Boston, Massachusetts 02110, telephone number: (617) 603-6461.</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right="540" w:firstLine="450"/>
        <w:spacing w:after="0" w:line="25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Subsidiaries (the Company) as of September 30,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87"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290"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INCORPORATION BY REFERENCE</w:t>
      </w:r>
    </w:p>
    <w:p>
      <w:pPr>
        <w:spacing w:after="0" w:line="216" w:lineRule="exact"/>
        <w:rPr>
          <w:sz w:val="20"/>
          <w:szCs w:val="20"/>
          <w:color w:val="auto"/>
        </w:rPr>
      </w:pPr>
    </w:p>
    <w:p>
      <w:pPr>
        <w:ind w:firstLine="450"/>
        <w:spacing w:after="0" w:line="303"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prospectus and any prospectus supplement incorporates by reference the documents set forth below that have previously been filed with the SEC:</w:t>
      </w:r>
    </w:p>
    <w:p>
      <w:pPr>
        <w:spacing w:after="0" w:line="145" w:lineRule="exact"/>
        <w:rPr>
          <w:sz w:val="20"/>
          <w:szCs w:val="20"/>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3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13, 2023;</w:t>
      </w:r>
    </w:p>
    <w:p>
      <w:pPr>
        <w:spacing w:after="0" w:line="121"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57"/>
        </w:numPr>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May 8, 2024</w:t>
        </w:r>
      </w:hyperlink>
      <w:hyperlink r:id="rId32">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right="360" w:hanging="442"/>
        <w:spacing w:after="0" w:line="268" w:lineRule="auto"/>
        <w:tabs>
          <w:tab w:leader="none" w:pos="1000" w:val="left"/>
        </w:tabs>
        <w:numPr>
          <w:ilvl w:val="0"/>
          <w:numId w:val="57"/>
        </w:numPr>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42">
        <w:r>
          <w:rPr>
            <w:rFonts w:ascii="Times New Roman" w:cs="Times New Roman" w:eastAsia="Times New Roman" w:hAnsi="Times New Roman"/>
            <w:sz w:val="18"/>
            <w:szCs w:val="18"/>
            <w:u w:val="single" w:color="auto"/>
            <w:color w:val="0000EE"/>
          </w:rPr>
          <w:t>May 8, 2024</w:t>
        </w:r>
      </w:hyperlink>
      <w:hyperlink r:id="rId141">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ind w:left="1000" w:right="60" w:hanging="442"/>
        <w:spacing w:after="0" w:line="25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4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290" w:right="339" w:bottom="1440" w:gutter="0" w:footer="0" w:header="0"/>
        </w:sectPr>
      </w:pPr>
    </w:p>
    <w:bookmarkStart w:id="105" w:name="page106"/>
    <w:bookmarkEnd w:id="105"/>
    <w:p>
      <w:pPr>
        <w:ind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by email to: publicinfo@sec.gov.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292" w:right="3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222250</wp:posOffset>
            </wp:positionV>
            <wp:extent cx="713549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272415</wp:posOffset>
            </wp:positionV>
            <wp:extent cx="71354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2805430</wp:posOffset>
            </wp:positionH>
            <wp:positionV relativeFrom="page">
              <wp:posOffset>615315</wp:posOffset>
            </wp:positionV>
            <wp:extent cx="1938655" cy="459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Up to $500 million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1639570</wp:posOffset>
            </wp:positionV>
            <wp:extent cx="15043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234315</wp:posOffset>
            </wp:positionV>
            <wp:extent cx="15043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Citizens JMP</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Raymond James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1640205</wp:posOffset>
            </wp:positionV>
            <wp:extent cx="15043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424815</wp:posOffset>
            </wp:positionV>
            <wp:extent cx="71354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483235</wp:posOffset>
            </wp:positionV>
            <wp:extent cx="713549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1)"/>
      <w:numFmt w:val="decimal"/>
      <w:start w:val="7"/>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7"/>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2"/>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3"/>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lvl w:ilvl="1">
      <w:lvlJc w:val="left"/>
      <w:lvlText w:val="%2)"/>
      <w:numFmt w:val="decimal"/>
      <w:start w:val="1"/>
    </w:lvl>
  </w:abstractNum>
  <w:abstractNum w:abstractNumId="53">
    <w:nsid w:val="649BB77C"/>
    <w:multiLevelType w:val="hybridMultilevel"/>
    <w:lvl w:ilvl="0">
      <w:lvlJc w:val="left"/>
      <w:lvlText w:val="(%1)"/>
      <w:numFmt w:val="lowerLetter"/>
      <w:start w:val="7"/>
    </w:lvl>
  </w:abstractNum>
  <w:abstractNum w:abstractNumId="54">
    <w:nsid w:val="275AC794"/>
    <w:multiLevelType w:val="hybridMultilevel"/>
    <w:lvl w:ilvl="0">
      <w:lvlJc w:val="left"/>
      <w:lvlText w:val="(%1)"/>
      <w:numFmt w:val="decimal"/>
      <w:start w:val="2"/>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jpe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8"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jpe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30" Type="http://schemas.openxmlformats.org/officeDocument/2006/relationships/hyperlink" Target="http://www.sec.gov/ix?doc=/Archives/edgar/data/1504619/000095017023068908/pflt-20230930.htm" TargetMode="External"/><Relationship Id="rId31" Type="http://schemas.openxmlformats.org/officeDocument/2006/relationships/hyperlink" Target="http://www.sec.gov/Archives/edgar/data/1504619/000095017023070038/pflt-2024-def_14a.htm" TargetMode="External"/><Relationship Id="rId32" Type="http://schemas.openxmlformats.org/officeDocument/2006/relationships/hyperlink" Target="http://www.sec.gov/ix?doc=/Archives/edgar/data/1504619/000095017024012187/pflt-20231231.htm" TargetMode="External"/><Relationship Id="rId33" Type="http://schemas.openxmlformats.org/officeDocument/2006/relationships/hyperlink" Target="http://www.sec.gov/ix?doc=/Archives/edgar/data/1504619/000095017024055631/pflt-20240331.htm" TargetMode="External"/><Relationship Id="rId34" Type="http://schemas.openxmlformats.org/officeDocument/2006/relationships/hyperlink" Target="http://www.sec.gov/ix?doc=/Archives/edgar/data/1504619/000117184324000688/f8k_020824.htm" TargetMode="External"/><Relationship Id="rId35" Type="http://schemas.openxmlformats.org/officeDocument/2006/relationships/hyperlink" Target="http://www.sec.gov/ix?doc=/Archives/edgar/data/1504619/000095017024013264/pflt-20240206.htm" TargetMode="External"/><Relationship Id="rId36" Type="http://schemas.openxmlformats.org/officeDocument/2006/relationships/hyperlink" Target="http://www.sec.gov/ix?doc=/Archives/edgar/data/1504619/000119312524047922/d620677d8k.htm" TargetMode="External"/><Relationship Id="rId37" Type="http://schemas.openxmlformats.org/officeDocument/2006/relationships/hyperlink" Target="http://www.sec.gov/ix?doc=/Archives/edgar/data/1504619/000117184324003278/f8k_060424.htm" TargetMode="External"/><Relationship Id="rId38" Type="http://schemas.openxmlformats.org/officeDocument/2006/relationships/hyperlink" Target="http://www.sec.gov/Archives/edgar/data/1504619/000117184324003926/f8k_071224.htm" TargetMode="External"/><Relationship Id="rId39" Type="http://schemas.openxmlformats.org/officeDocument/2006/relationships/hyperlink" Target="http://www.sec.gov/Archives/edgar/data/1504619/000156459019043972/pflt-ex44_124.htm" TargetMode="External"/><Relationship Id="rId40" Type="http://schemas.openxmlformats.org/officeDocument/2006/relationships/hyperlink" Target="http://www.sec.gov/Archives/edgar/data/1504619/000119312511090965/d8a12b.htm" TargetMode="External"/><Relationship Id="rId53" Type="http://schemas.openxmlformats.org/officeDocument/2006/relationships/hyperlink" Target="http://www.sec.gov/Archives/edgar/data/1504619/000095017023068908/pflt-20230930.htm" TargetMode="External"/><Relationship Id="rId54" Type="http://schemas.openxmlformats.org/officeDocument/2006/relationships/hyperlink" Target="http://www.sec.gov/Archives/edgar/data/1504619/000095017024055631/pflt-20240331.htm" TargetMode="External"/><Relationship Id="rId57" Type="http://schemas.openxmlformats.org/officeDocument/2006/relationships/hyperlink" Target="http://www.sec.gov/ix?doc=/Archives/edgar/data/1504619/000095017023068908/pflt-20230930.htm#item_1_business" TargetMode="External"/><Relationship Id="rId59" Type="http://schemas.openxmlformats.org/officeDocument/2006/relationships/hyperlink" Target="http://www.sec.gov/ix?doc=/Archives/edgar/data/1504619/000095017023068908/pflt-20230930.htm#item_5_market_for_registrants_common_equ" TargetMode="External"/><Relationship Id="rId141" Type="http://schemas.openxmlformats.org/officeDocument/2006/relationships/hyperlink" Target="http://www.sec.gov/ix?doc=/Archives/edgar/data/1504619/000095017024045307/pflt-20240416.htm" TargetMode="External"/><Relationship Id="rId142" Type="http://schemas.openxmlformats.org/officeDocument/2006/relationships/hyperlink" Target="http://www.sec.gov/ix?doc=/Archives/edgar/data/1504619/000117184324002668/f8k_0508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2024-07-17T16:32:23Z</dcterms:created>
  <dcterms:modified xsi:type="dcterms:W3CDTF">2024-07-17T16:32:23Z</dcterms:modified>
</cp:coreProperties>
</file>