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230" w:right="239" w:bottom="1440" w:gutter="0" w:footer="0" w:header="0"/>
        </w:sectPr>
      </w:pPr>
    </w:p>
    <w:p>
      <w:pPr>
        <w:spacing w:after="0" w:line="3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ind w:left="120"/>
        <w:spacing w:after="0"/>
        <w:rPr>
          <w:sz w:val="20"/>
          <w:szCs w:val="20"/>
          <w:color w:val="auto"/>
        </w:rPr>
      </w:pPr>
      <w:r>
        <w:rPr>
          <w:rFonts w:ascii="Arial" w:cs="Arial" w:eastAsia="Arial" w:hAnsi="Arial"/>
          <w:sz w:val="15"/>
          <w:szCs w:val="15"/>
          <w:b w:val="1"/>
          <w:bCs w:val="1"/>
          <w:color w:val="auto"/>
        </w:rPr>
        <w:t>Filed pursuant to Rule 497</w:t>
      </w:r>
    </w:p>
    <w:p>
      <w:pPr>
        <w:spacing w:after="0" w:line="5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No. 333-190602</w:t>
      </w:r>
    </w:p>
    <w:p>
      <w:pPr>
        <w:spacing w:after="0" w:line="200" w:lineRule="exact"/>
        <w:rPr>
          <w:sz w:val="24"/>
          <w:szCs w:val="24"/>
          <w:color w:val="auto"/>
        </w:rPr>
      </w:pPr>
    </w:p>
    <w:p>
      <w:pPr>
        <w:sectPr>
          <w:pgSz w:w="11900" w:h="16838" w:orient="portrait"/>
          <w:cols w:equalWidth="0" w:num="2">
            <w:col w:w="8580" w:space="720"/>
            <w:col w:w="2120"/>
          </w:cols>
          <w:pgMar w:left="240" w:top="230" w:right="23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$800,000,000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139700</wp:posOffset>
            </wp:positionV>
            <wp:extent cx="238379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6" w:lineRule="exact"/>
        <w:rPr>
          <w:sz w:val="24"/>
          <w:szCs w:val="24"/>
          <w:color w:val="auto"/>
        </w:rPr>
      </w:pPr>
    </w:p>
    <w:p>
      <w:pPr>
        <w:ind w:right="500" w:firstLine="57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51" w:lineRule="exact"/>
        <w:rPr>
          <w:sz w:val="24"/>
          <w:szCs w:val="24"/>
          <w:color w:val="auto"/>
        </w:rPr>
      </w:pPr>
    </w:p>
    <w:p>
      <w:pPr>
        <w:ind w:right="20" w:firstLine="571"/>
        <w:spacing w:after="0" w:line="256" w:lineRule="auto"/>
        <w:rPr>
          <w:sz w:val="20"/>
          <w:szCs w:val="20"/>
          <w:color w:val="auto"/>
        </w:rPr>
      </w:pPr>
      <w:r>
        <w:rPr>
          <w:rFonts w:ascii="Arial" w:cs="Arial" w:eastAsia="Arial" w:hAnsi="Arial"/>
          <w:sz w:val="18"/>
          <w:szCs w:val="18"/>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62" w:lineRule="exact"/>
        <w:rPr>
          <w:sz w:val="24"/>
          <w:szCs w:val="24"/>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4"/>
          <w:szCs w:val="24"/>
          <w:color w:val="auto"/>
        </w:rPr>
      </w:pPr>
    </w:p>
    <w:p>
      <w:pPr>
        <w:ind w:right="6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$800,000,000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6 and “Sales of Common Stock Below Net Asset Value” on page 41 of this prospectus for more information.</w:t>
      </w:r>
    </w:p>
    <w:p>
      <w:pPr>
        <w:spacing w:after="0" w:line="42" w:lineRule="exact"/>
        <w:rPr>
          <w:sz w:val="24"/>
          <w:szCs w:val="24"/>
          <w:color w:val="auto"/>
        </w:rPr>
      </w:pPr>
    </w:p>
    <w:p>
      <w:pPr>
        <w:ind w:right="80" w:firstLine="571"/>
        <w:spacing w:after="0" w:line="332" w:lineRule="auto"/>
        <w:rPr>
          <w:sz w:val="20"/>
          <w:szCs w:val="20"/>
          <w:color w:val="auto"/>
        </w:rPr>
      </w:pPr>
      <w:r>
        <w:rPr>
          <w:rFonts w:ascii="Arial" w:cs="Arial" w:eastAsia="Arial" w:hAnsi="Arial"/>
          <w:sz w:val="16"/>
          <w:szCs w:val="16"/>
          <w:color w:val="auto"/>
        </w:rPr>
        <w:t>Our common stock has been approved for quotation on the NASDAQ Global Select Market under the symbol “PFLT.” The last reported closing price for our common stock on January 9, 2015 was $13.92 per share, and our net asset value on September 30, 2014 was $14.40 per share.</w:t>
      </w:r>
    </w:p>
    <w:p>
      <w:pPr>
        <w:spacing w:after="0" w:line="4" w:lineRule="exact"/>
        <w:rPr>
          <w:sz w:val="24"/>
          <w:szCs w:val="24"/>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2" w:lineRule="exact"/>
        <w:rPr>
          <w:sz w:val="24"/>
          <w:szCs w:val="24"/>
          <w:color w:val="auto"/>
        </w:rPr>
      </w:pPr>
    </w:p>
    <w:p>
      <w:pPr>
        <w:ind w:right="18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1">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4"/>
          <w:szCs w:val="24"/>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Prospectus dated January 15, 2015</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2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96"/>
              </w:rPr>
              <w:t>TABLE OF CONTENTS</w:t>
            </w:r>
          </w:p>
        </w:tc>
        <w:tc>
          <w:tcPr>
            <w:tcW w:w="540" w:type="dxa"/>
            <w:vAlign w:val="bottom"/>
          </w:tcPr>
          <w:p>
            <w:pPr>
              <w:spacing w:after="0"/>
              <w:rPr>
                <w:sz w:val="19"/>
                <w:szCs w:val="19"/>
                <w:color w:val="auto"/>
              </w:rPr>
            </w:pPr>
          </w:p>
        </w:tc>
      </w:tr>
      <w:tr>
        <w:trPr>
          <w:trHeight w:val="353"/>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10780" w:type="dxa"/>
            <w:vAlign w:val="bottom"/>
            <w:gridSpan w:val="3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22"/>
                <w:szCs w:val="22"/>
                <w:color w:val="auto"/>
              </w:rPr>
            </w:pPr>
          </w:p>
        </w:tc>
        <w:tc>
          <w:tcPr>
            <w:tcW w:w="8740" w:type="dxa"/>
            <w:vAlign w:val="bottom"/>
            <w:gridSpan w:val="2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FORWARD-LOOKING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2860" w:type="dxa"/>
            <w:vAlign w:val="bottom"/>
            <w:tcBorders>
              <w:top w:val="single" w:sz="8" w:color="0000EE"/>
            </w:tcBorders>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7920" w:type="dxa"/>
            <w:vAlign w:val="bottom"/>
            <w:gridSpan w:val="1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3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SELECTED FINANCIAL DATA</w:t>
              </w:r>
            </w:hyperlink>
          </w:p>
        </w:tc>
        <w:tc>
          <w:tcPr>
            <w:tcW w:w="8400" w:type="dxa"/>
            <w:vAlign w:val="bottom"/>
            <w:gridSpan w:val="2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8700" w:type="dxa"/>
            <w:vAlign w:val="bottom"/>
            <w:tcBorders>
              <w:top w:val="single" w:sz="8" w:color="0000EE"/>
            </w:tcBorders>
            <w:gridSpan w:val="3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SENIOR SECURITIES</w:t>
              </w:r>
            </w:hyperlink>
          </w:p>
        </w:tc>
        <w:tc>
          <w:tcPr>
            <w:tcW w:w="20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90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PRICE RANGE OF COMMON STOCK</w:t>
              </w:r>
            </w:hyperlink>
          </w:p>
        </w:tc>
        <w:tc>
          <w:tcPr>
            <w:tcW w:w="7880" w:type="dxa"/>
            <w:vAlign w:val="bottom"/>
            <w:gridSpan w:val="1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454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SALES OF COMMON STOCK BELOW NET ASSET VALUE</w:t>
              </w:r>
            </w:hyperlink>
          </w:p>
        </w:tc>
        <w:tc>
          <w:tcPr>
            <w:tcW w:w="6240" w:type="dxa"/>
            <w:vAlign w:val="bottom"/>
            <w:gridSpan w:val="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64"/>
        </w:trPr>
        <w:tc>
          <w:tcPr>
            <w:tcW w:w="13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DISTRIBUTIONS</w:t>
              </w:r>
            </w:hyperlink>
          </w:p>
        </w:tc>
        <w:tc>
          <w:tcPr>
            <w:tcW w:w="9440" w:type="dxa"/>
            <w:vAlign w:val="bottom"/>
            <w:gridSpan w:val="2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64"/>
        </w:trPr>
        <w:tc>
          <w:tcPr>
            <w:tcW w:w="840" w:type="dxa"/>
            <w:vAlign w:val="bottom"/>
            <w:tcBorders>
              <w:bottom w:val="single" w:sz="8" w:color="0000EE"/>
            </w:tcBorders>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BUSINESS</w:t>
              </w:r>
            </w:hyperlink>
          </w:p>
        </w:tc>
        <w:tc>
          <w:tcPr>
            <w:tcW w:w="9940" w:type="dxa"/>
            <w:vAlign w:val="bottom"/>
            <w:gridSpan w:val="3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INVESTMENT OBJECTIVES AND POLICIES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64"/>
        </w:trPr>
        <w:tc>
          <w:tcPr>
            <w:tcW w:w="3440" w:type="dxa"/>
            <w:vAlign w:val="bottom"/>
            <w:tcBorders>
              <w:top w:val="single" w:sz="8" w:color="0000EE"/>
            </w:tcBorders>
            <w:gridSpan w:val="2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PORTFOLIO COMPANIES</w:t>
              </w:r>
            </w:hyperlink>
          </w:p>
        </w:tc>
        <w:tc>
          <w:tcPr>
            <w:tcW w:w="7340" w:type="dxa"/>
            <w:vAlign w:val="bottom"/>
            <w:gridSpan w:val="1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64"/>
        </w:trPr>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73">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22"/>
                <w:szCs w:val="22"/>
                <w:color w:val="auto"/>
              </w:rPr>
            </w:pPr>
          </w:p>
        </w:tc>
        <w:tc>
          <w:tcPr>
            <w:tcW w:w="8780" w:type="dxa"/>
            <w:vAlign w:val="bottom"/>
            <w:gridSpan w:val="2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64"/>
        </w:trPr>
        <w:tc>
          <w:tcPr>
            <w:tcW w:w="4440" w:type="dxa"/>
            <w:vAlign w:val="bottom"/>
            <w:tcBorders>
              <w:bottom w:val="single" w:sz="8" w:color="0000EE"/>
            </w:tcBorders>
            <w:gridSpan w:val="26"/>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CONTROL PERSONS AND PRINCIPAL STOCKHOLDERS</w:t>
              </w:r>
            </w:hyperlink>
          </w:p>
        </w:tc>
        <w:tc>
          <w:tcPr>
            <w:tcW w:w="6340" w:type="dxa"/>
            <w:vAlign w:val="bottom"/>
            <w:gridSpan w:val="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CERTAIN RELATIONSHIPS AND TRANSACTIONS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64"/>
        </w:trPr>
        <w:tc>
          <w:tcPr>
            <w:tcW w:w="33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4"/>
              </w:rPr>
            </w:pPr>
            <w:hyperlink w:anchor="page87">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22"/>
                <w:szCs w:val="22"/>
                <w:color w:val="auto"/>
              </w:rPr>
            </w:pPr>
          </w:p>
        </w:tc>
        <w:tc>
          <w:tcPr>
            <w:tcW w:w="6860" w:type="dxa"/>
            <w:vAlign w:val="bottom"/>
            <w:gridSpan w:val="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64"/>
        </w:trPr>
        <w:tc>
          <w:tcPr>
            <w:tcW w:w="276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89">
              <w:r>
                <w:rPr>
                  <w:rFonts w:ascii="Arial" w:cs="Arial" w:eastAsia="Arial" w:hAnsi="Arial"/>
                  <w:sz w:val="18"/>
                  <w:szCs w:val="18"/>
                  <w:color w:val="0000EE"/>
                  <w:w w:val="96"/>
                </w:rPr>
                <w:t>DIVIDEND REINVESTMENT PLAN</w:t>
              </w:r>
            </w:hyperlink>
          </w:p>
        </w:tc>
        <w:tc>
          <w:tcPr>
            <w:tcW w:w="8020" w:type="dxa"/>
            <w:vAlign w:val="bottom"/>
            <w:gridSpan w:val="1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64"/>
        </w:trPr>
        <w:tc>
          <w:tcPr>
            <w:tcW w:w="322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90">
              <w:r>
                <w:rPr>
                  <w:rFonts w:ascii="Arial" w:cs="Arial" w:eastAsia="Arial" w:hAnsi="Arial"/>
                  <w:sz w:val="18"/>
                  <w:szCs w:val="18"/>
                  <w:color w:val="0000EE"/>
                  <w:w w:val="92"/>
                </w:rPr>
                <w:t>DESCRIPTION OF OUR CAPITAL STOCK</w:t>
              </w:r>
            </w:hyperlink>
          </w:p>
        </w:tc>
        <w:tc>
          <w:tcPr>
            <w:tcW w:w="7560" w:type="dxa"/>
            <w:vAlign w:val="bottom"/>
            <w:gridSpan w:val="1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DESCRIPTION OF OUR PREFERRED STOCK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3480" w:type="dxa"/>
            <w:vAlign w:val="bottom"/>
            <w:tcBorders>
              <w:top w:val="single" w:sz="8" w:color="0000EE"/>
            </w:tcBorders>
            <w:gridSpan w:val="21"/>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DESCRIPTION OF OUR WARRANTS</w:t>
              </w:r>
            </w:hyperlink>
          </w:p>
        </w:tc>
        <w:tc>
          <w:tcPr>
            <w:tcW w:w="7300" w:type="dxa"/>
            <w:vAlign w:val="bottom"/>
            <w:gridSpan w:val="1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DESCRIPTION OF OUR SUBSCRIPTION RIGHTS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64"/>
        </w:trPr>
        <w:tc>
          <w:tcPr>
            <w:tcW w:w="33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22"/>
                <w:szCs w:val="22"/>
                <w:color w:val="auto"/>
              </w:rPr>
            </w:pPr>
          </w:p>
        </w:tc>
        <w:tc>
          <w:tcPr>
            <w:tcW w:w="6980" w:type="dxa"/>
            <w:vAlign w:val="bottom"/>
            <w:gridSpan w:val="1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64"/>
        </w:trPr>
        <w:tc>
          <w:tcPr>
            <w:tcW w:w="11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REGULATION</w:t>
              </w:r>
            </w:hyperlink>
          </w:p>
        </w:tc>
        <w:tc>
          <w:tcPr>
            <w:tcW w:w="9660" w:type="dxa"/>
            <w:vAlign w:val="bottom"/>
            <w:gridSpan w:val="3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64"/>
        </w:trPr>
        <w:tc>
          <w:tcPr>
            <w:tcW w:w="4380" w:type="dxa"/>
            <w:vAlign w:val="bottom"/>
            <w:tcBorders>
              <w:bottom w:val="single" w:sz="8" w:color="0000EE"/>
            </w:tcBorders>
            <w:gridSpan w:val="25"/>
          </w:tcPr>
          <w:p>
            <w:pPr>
              <w:spacing w:after="0"/>
              <w:rPr>
                <w:rFonts w:ascii="Arial" w:cs="Arial" w:eastAsia="Arial" w:hAnsi="Arial"/>
                <w:sz w:val="18"/>
                <w:szCs w:val="18"/>
                <w:color w:val="0000EE"/>
                <w:w w:val="93"/>
              </w:rPr>
            </w:pPr>
            <w:hyperlink w:anchor="page113">
              <w:r>
                <w:rPr>
                  <w:rFonts w:ascii="Arial" w:cs="Arial" w:eastAsia="Arial" w:hAnsi="Arial"/>
                  <w:sz w:val="18"/>
                  <w:szCs w:val="18"/>
                  <w:color w:val="0000EE"/>
                  <w:w w:val="93"/>
                </w:rPr>
                <w:t>BROKERAGE ALLOCATIONS AND OTHER PRACTICES</w:t>
              </w:r>
            </w:hyperlink>
          </w:p>
        </w:tc>
        <w:tc>
          <w:tcPr>
            <w:tcW w:w="6400" w:type="dxa"/>
            <w:vAlign w:val="bottom"/>
            <w:gridSpan w:val="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64"/>
        </w:trPr>
        <w:tc>
          <w:tcPr>
            <w:tcW w:w="4760" w:type="dxa"/>
            <w:vAlign w:val="bottom"/>
            <w:tcBorders>
              <w:bottom w:val="single" w:sz="8" w:color="0000EE"/>
            </w:tcBorders>
            <w:gridSpan w:val="29"/>
          </w:tcPr>
          <w:p>
            <w:pPr>
              <w:spacing w:after="0"/>
              <w:rPr>
                <w:rFonts w:ascii="Arial" w:cs="Arial" w:eastAsia="Arial" w:hAnsi="Arial"/>
                <w:sz w:val="18"/>
                <w:szCs w:val="18"/>
                <w:color w:val="0000EE"/>
                <w:w w:val="94"/>
              </w:rPr>
            </w:pPr>
            <w:hyperlink w:anchor="page114">
              <w:r>
                <w:rPr>
                  <w:rFonts w:ascii="Arial" w:cs="Arial" w:eastAsia="Arial" w:hAnsi="Arial"/>
                  <w:sz w:val="18"/>
                  <w:szCs w:val="18"/>
                  <w:color w:val="0000EE"/>
                  <w:w w:val="94"/>
                </w:rPr>
                <w:t>MATERIAL U.S. FEDERAL INCOME TAX CONSIDERATIONS</w:t>
              </w:r>
            </w:hyperlink>
          </w:p>
        </w:tc>
        <w:tc>
          <w:tcPr>
            <w:tcW w:w="6020" w:type="dxa"/>
            <w:vAlign w:val="bottom"/>
            <w:gridSpan w:val="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PLAN OF DISTRIBUTION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5800" w:type="dxa"/>
            <w:vAlign w:val="bottom"/>
            <w:tcBorders>
              <w:bottom w:val="single" w:sz="8" w:color="0000EE"/>
            </w:tcBorders>
            <w:gridSpan w:val="30"/>
          </w:tcPr>
          <w:p>
            <w:pPr>
              <w:spacing w:after="0"/>
              <w:rPr>
                <w:rFonts w:ascii="Arial" w:cs="Arial" w:eastAsia="Arial" w:hAnsi="Arial"/>
                <w:sz w:val="18"/>
                <w:szCs w:val="18"/>
                <w:color w:val="0000EE"/>
                <w:w w:val="94"/>
              </w:rPr>
            </w:pPr>
            <w:hyperlink w:anchor="page120">
              <w:r>
                <w:rPr>
                  <w:rFonts w:ascii="Arial" w:cs="Arial" w:eastAsia="Arial" w:hAnsi="Arial"/>
                  <w:sz w:val="18"/>
                  <w:szCs w:val="18"/>
                  <w:color w:val="0000EE"/>
                  <w:w w:val="94"/>
                </w:rPr>
                <w:t>SUB-ADMINISTRATOR, CUSTODIAN, TRANSFER AGENT AND TRUSTEE</w:t>
              </w:r>
            </w:hyperlink>
          </w:p>
        </w:tc>
        <w:tc>
          <w:tcPr>
            <w:tcW w:w="4980" w:type="dxa"/>
            <w:vAlign w:val="bottom"/>
            <w:gridSpan w:val="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LEGAL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64"/>
        </w:trPr>
        <w:tc>
          <w:tcPr>
            <w:tcW w:w="4680" w:type="dxa"/>
            <w:vAlign w:val="bottom"/>
            <w:tcBorders>
              <w:top w:val="single" w:sz="8" w:color="0000EE"/>
            </w:tcBorders>
            <w:gridSpan w:val="28"/>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INDEX TO CONSOLIDATED FINANCIAL STATEMENTS</w:t>
              </w:r>
            </w:hyperlink>
          </w:p>
        </w:tc>
        <w:tc>
          <w:tcPr>
            <w:tcW w:w="6100" w:type="dxa"/>
            <w:vAlign w:val="bottom"/>
            <w:gridSpan w:val="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8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3"/>
          </w:tcPr>
          <w:p>
            <w:pPr>
              <w:jc w:val="center"/>
              <w:ind w:right="4120"/>
              <w:spacing w:after="0"/>
              <w:rPr>
                <w:sz w:val="20"/>
                <w:szCs w:val="20"/>
                <w:color w:val="auto"/>
              </w:rPr>
            </w:pPr>
            <w:r>
              <w:rPr>
                <w:rFonts w:ascii="Arial" w:cs="Arial" w:eastAsia="Arial" w:hAnsi="Arial"/>
                <w:sz w:val="18"/>
                <w:szCs w:val="18"/>
                <w:color w:val="auto"/>
              </w:rPr>
              <w:t>i</w:t>
            </w:r>
          </w:p>
        </w:tc>
        <w:tc>
          <w:tcPr>
            <w:tcW w:w="5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$800,000,000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5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68560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1" w:lineRule="exact"/>
        <w:rPr>
          <w:sz w:val="20"/>
          <w:szCs w:val="20"/>
          <w:color w:val="auto"/>
        </w:rPr>
      </w:pPr>
    </w:p>
    <w:p>
      <w:pPr>
        <w:ind w:left="200" w:firstLine="553"/>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and “Credit Facility” refers to our senior secured revolving credit facility, as amended.</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100" w:firstLine="553"/>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132" w:lineRule="exact"/>
        <w:rPr>
          <w:sz w:val="20"/>
          <w:szCs w:val="20"/>
          <w:color w:val="auto"/>
        </w:rPr>
      </w:pPr>
    </w:p>
    <w:p>
      <w:pPr>
        <w:ind w:left="200" w:firstLine="553"/>
        <w:spacing w:after="0" w:line="288" w:lineRule="auto"/>
        <w:rPr>
          <w:sz w:val="20"/>
          <w:szCs w:val="20"/>
          <w:color w:val="auto"/>
        </w:rPr>
      </w:pPr>
      <w:r>
        <w:rPr>
          <w:rFonts w:ascii="Arial" w:cs="Arial" w:eastAsia="Arial" w:hAnsi="Arial"/>
          <w:sz w:val="16"/>
          <w:szCs w:val="16"/>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left="200" w:right="60" w:firstLine="553"/>
        <w:spacing w:after="0" w:line="254"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mezzanine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144" w:lineRule="exact"/>
        <w:rPr>
          <w:sz w:val="20"/>
          <w:szCs w:val="20"/>
          <w:color w:val="auto"/>
        </w:rPr>
      </w:pPr>
    </w:p>
    <w:p>
      <w:pPr>
        <w:ind w:left="200" w:right="20" w:firstLine="553"/>
        <w:spacing w:after="0" w:line="294"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 For a description of our Credit Facility, please see “Management’s Discussion and Analysis of Financial Condition and Results of Operations — Liquidity and Capital Resources.”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left="200" w:right="160" w:firstLine="553"/>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40" w:lineRule="exact"/>
        <w:rPr>
          <w:sz w:val="20"/>
          <w:szCs w:val="20"/>
          <w:color w:val="auto"/>
        </w:rPr>
      </w:pPr>
    </w:p>
    <w:p>
      <w:pPr>
        <w:ind w:left="200" w:right="320" w:firstLine="553"/>
        <w:spacing w:after="0" w:line="268"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81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65817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20" w:firstLine="55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$2.3 billion in debt and equity capital and has invested approximately $4.1 billion in 344 companies with 140 different financial sponsors through its managed funds.</w:t>
      </w:r>
    </w:p>
    <w:p>
      <w:pPr>
        <w:spacing w:after="0" w:line="120" w:lineRule="exact"/>
        <w:rPr>
          <w:sz w:val="20"/>
          <w:szCs w:val="20"/>
          <w:color w:val="auto"/>
        </w:rPr>
      </w:pPr>
    </w:p>
    <w:p>
      <w:pPr>
        <w:ind w:left="200" w:right="80" w:firstLine="55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40" w:firstLine="553"/>
        <w:spacing w:after="0" w:line="254"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capital markets and private markets. As a result of the difficulties in the credit markets and fewer sources of capital for middle-market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200" w:right="220" w:firstLine="553"/>
        <w:spacing w:after="0" w:line="294" w:lineRule="auto"/>
        <w:rPr>
          <w:sz w:val="20"/>
          <w:szCs w:val="20"/>
          <w:color w:val="auto"/>
        </w:rPr>
      </w:pPr>
      <w:r>
        <w:rPr>
          <w:rFonts w:ascii="Arial" w:cs="Arial" w:eastAsia="Arial" w:hAnsi="Arial"/>
          <w:sz w:val="16"/>
          <w:szCs w:val="16"/>
          <w:color w:val="auto"/>
        </w:rPr>
        <w:t>We believe that we have competitive advantages over other capital providers in middle-market companies, such as a management team with an average of over 25 years of experience in mezzanine lending, leveraged finance, distressed debt and private equity businesses,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280" w:firstLine="55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We believe this has resulted in a less competitive environment for making new investments.</w:t>
      </w:r>
    </w:p>
    <w:p>
      <w:pPr>
        <w:spacing w:after="0" w:line="116" w:lineRule="exact"/>
        <w:rPr>
          <w:sz w:val="20"/>
          <w:szCs w:val="20"/>
          <w:color w:val="auto"/>
        </w:rPr>
      </w:pPr>
    </w:p>
    <w:p>
      <w:pPr>
        <w:ind w:left="200" w:firstLine="553"/>
        <w:spacing w:after="0" w:line="318"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 — Risk Relating to our Business and Structure — We operate in a highly competitive market for investment opportunities” for more information.</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95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695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firstLine="553"/>
        <w:spacing w:after="0" w:line="290" w:lineRule="auto"/>
        <w:rPr>
          <w:sz w:val="20"/>
          <w:szCs w:val="20"/>
          <w:color w:val="auto"/>
        </w:rPr>
      </w:pPr>
      <w:r>
        <w:rPr>
          <w:rFonts w:ascii="Arial" w:cs="Arial" w:eastAsia="Arial" w:hAnsi="Arial"/>
          <w:sz w:val="16"/>
          <w:szCs w:val="16"/>
          <w:color w:val="auto"/>
        </w:rPr>
        <w:t>We currently use and expect to continue to use leverage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requirements, or the asset coverage ratio, of the 1940 Act, may generally range between 70% and 90% of our net assets, or 40% and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77" w:lineRule="exact"/>
        <w:rPr>
          <w:sz w:val="20"/>
          <w:szCs w:val="20"/>
          <w:color w:val="auto"/>
        </w:rPr>
      </w:pPr>
    </w:p>
    <w:p>
      <w:pPr>
        <w:ind w:left="200" w:firstLine="553"/>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or the Investment Management Agreement, we have agreed to pay our Investment Adviser an annual base management fee based on our average adjusted gross total assets as well as an incentive fee based on our investment performance. See “Certain Relationships and Transactions—Investment Management Agreement” for more information.</w:t>
      </w:r>
    </w:p>
    <w:p>
      <w:pPr>
        <w:spacing w:after="0" w:line="143" w:lineRule="exact"/>
        <w:rPr>
          <w:sz w:val="20"/>
          <w:szCs w:val="20"/>
          <w:color w:val="auto"/>
        </w:rPr>
      </w:pPr>
    </w:p>
    <w:p>
      <w:pPr>
        <w:ind w:left="200" w:right="120" w:firstLine="553"/>
        <w:spacing w:after="0" w:line="254"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 See “Certain Relationships and Transactions —Administration Agreement” for more information.</w:t>
      </w:r>
    </w:p>
    <w:p>
      <w:pPr>
        <w:spacing w:after="0" w:line="144" w:lineRule="exact"/>
        <w:rPr>
          <w:sz w:val="20"/>
          <w:szCs w:val="20"/>
          <w:color w:val="auto"/>
        </w:rPr>
      </w:pPr>
    </w:p>
    <w:p>
      <w:pPr>
        <w:ind w:left="200" w:right="280" w:firstLine="553"/>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20" w:firstLine="553"/>
        <w:spacing w:after="0" w:line="255"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September 30, 2014, the corresponding interest rate charged on such borrowings as of that date and the length of time that it may take us to invest any proceeds in new or existing portfolio companies.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65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26543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96" w:lineRule="exact"/>
        <w:rPr>
          <w:sz w:val="20"/>
          <w:szCs w:val="20"/>
          <w:color w:val="auto"/>
        </w:rPr>
      </w:pPr>
    </w:p>
    <w:p>
      <w:pPr>
        <w:ind w:left="200" w:right="420" w:firstLine="553"/>
        <w:spacing w:after="0" w:line="268" w:lineRule="auto"/>
        <w:rPr>
          <w:sz w:val="20"/>
          <w:szCs w:val="20"/>
          <w:color w:val="auto"/>
        </w:rPr>
      </w:pPr>
      <w:r>
        <w:rPr>
          <w:rFonts w:ascii="Arial" w:cs="Arial" w:eastAsia="Arial" w:hAnsi="Arial"/>
          <w:sz w:val="18"/>
          <w:szCs w:val="18"/>
          <w:color w:val="auto"/>
        </w:rPr>
        <w:t>We intend to continue our monthly distributions to our common stockholders. Our monthly distributions, if any, are determined by our board of directors. See “Distributions”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160" w:firstLine="553"/>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firstLine="55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28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3528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200" w:right="220" w:firstLine="553"/>
        <w:spacing w:after="0" w:line="268" w:lineRule="auto"/>
        <w:rPr>
          <w:sz w:val="20"/>
          <w:szCs w:val="20"/>
          <w:color w:val="auto"/>
        </w:rPr>
      </w:pPr>
      <w:r>
        <w:rPr>
          <w:rFonts w:ascii="Arial" w:cs="Arial" w:eastAsia="Arial" w:hAnsi="Arial"/>
          <w:sz w:val="18"/>
          <w:szCs w:val="18"/>
          <w:color w:val="auto"/>
        </w:rPr>
        <w:t>We may offer, from time to time, up to $800 million of our securities, on terms to be determined at the time of each such offering and set forth in a supplement to this prospectus.</w:t>
      </w:r>
    </w:p>
    <w:p>
      <w:pPr>
        <w:spacing w:after="0" w:line="132" w:lineRule="exact"/>
        <w:rPr>
          <w:sz w:val="20"/>
          <w:szCs w:val="20"/>
          <w:color w:val="auto"/>
        </w:rPr>
      </w:pPr>
    </w:p>
    <w:p>
      <w:pPr>
        <w:ind w:left="200" w:firstLine="553"/>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left="200" w:right="120" w:firstLine="553"/>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right="20" w:firstLine="553"/>
        <w:spacing w:after="0" w:line="289"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or any supplements to this prospectus,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w:t>
      </w:r>
      <w:r>
        <w:rPr>
          <w:rFonts w:ascii="Arial" w:cs="Arial" w:eastAsia="Arial" w:hAnsi="Arial"/>
          <w:sz w:val="16"/>
          <w:szCs w:val="16"/>
          <w:color w:val="auto"/>
        </w:rPr>
        <w:t>that contains material that we file with the SEC on the EDGAR Database.</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220" w:type="dxa"/>
            <w:vAlign w:val="bottom"/>
          </w:tcPr>
          <w:p>
            <w:pPr>
              <w:spacing w:after="0"/>
              <w:rPr>
                <w:sz w:val="19"/>
                <w:szCs w:val="19"/>
                <w:color w:val="auto"/>
              </w:rPr>
            </w:pPr>
          </w:p>
        </w:tc>
      </w:tr>
      <w:tr>
        <w:trPr>
          <w:trHeight w:val="297"/>
        </w:trPr>
        <w:tc>
          <w:tcPr>
            <w:tcW w:w="8020" w:type="dxa"/>
            <w:vAlign w:val="bottom"/>
          </w:tcPr>
          <w:p>
            <w:pPr>
              <w:spacing w:after="0"/>
              <w:rPr>
                <w:sz w:val="20"/>
                <w:szCs w:val="20"/>
                <w:color w:val="auto"/>
              </w:rPr>
            </w:pPr>
            <w:r>
              <w:rPr>
                <w:rFonts w:ascii="Arial" w:cs="Arial" w:eastAsia="Arial" w:hAnsi="Arial"/>
                <w:sz w:val="18"/>
                <w:szCs w:val="18"/>
                <w:color w:val="auto"/>
              </w:rPr>
              <w:t>Sales load</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 expenses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Interest on borrowed funds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0"/>
          <w:szCs w:val="10"/>
          <w:color w:val="auto"/>
        </w:rPr>
        <w:t>(2)</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1.69 %</w:t>
      </w:r>
      <w:r>
        <w:rPr>
          <w:rFonts w:ascii="Arial" w:cs="Arial" w:eastAsia="Arial" w:hAnsi="Arial"/>
          <w:sz w:val="10"/>
          <w:szCs w:val="10"/>
          <w:color w:val="auto"/>
        </w:rPr>
        <w:t>(4)</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2.04 %</w:t>
      </w:r>
      <w:r>
        <w:rPr>
          <w:rFonts w:ascii="Arial" w:cs="Arial" w:eastAsia="Arial" w:hAnsi="Arial"/>
          <w:sz w:val="10"/>
          <w:szCs w:val="10"/>
          <w:color w:val="auto"/>
        </w:rPr>
        <w:t>(5)</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1.64 %</w:t>
      </w:r>
      <w:r>
        <w:rPr>
          <w:rFonts w:ascii="Arial" w:cs="Arial" w:eastAsia="Arial" w:hAnsi="Arial"/>
          <w:sz w:val="10"/>
          <w:szCs w:val="10"/>
          <w:color w:val="auto"/>
        </w:rPr>
        <w:t>(6)</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1.05 %</w:t>
      </w: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33020</wp:posOffset>
            </wp:positionV>
            <wp:extent cx="231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6.42 %</w:t>
      </w:r>
      <w:r>
        <w:rPr>
          <w:rFonts w:ascii="Arial" w:cs="Arial" w:eastAsia="Arial" w:hAnsi="Arial"/>
          <w:sz w:val="10"/>
          <w:szCs w:val="10"/>
          <w:color w:val="auto"/>
        </w:rPr>
        <w:t>(8)</w:t>
      </w:r>
    </w:p>
    <w:p>
      <w:pPr>
        <w:spacing w:after="0" w:line="214" w:lineRule="exact"/>
        <w:rPr>
          <w:sz w:val="20"/>
          <w:szCs w:val="20"/>
          <w:color w:val="auto"/>
        </w:rPr>
      </w:pPr>
    </w:p>
    <w:p>
      <w:pPr>
        <w:sectPr>
          <w:pgSz w:w="11900" w:h="16838" w:orient="portrait"/>
          <w:cols w:equalWidth="0" w:num="2">
            <w:col w:w="9900" w:space="720"/>
            <w:col w:w="780"/>
          </w:cols>
          <w:pgMar w:left="240" w:top="459" w:right="259" w:bottom="1440" w:gutter="0" w:footer="0" w:header="0"/>
          <w:type w:val="continuous"/>
        </w:sectPr>
      </w:pPr>
    </w:p>
    <w:p>
      <w:pPr>
        <w:spacing w:after="0" w:line="42"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for the three months ended September 30, 2014.</w:t>
      </w:r>
    </w:p>
    <w:p>
      <w:pPr>
        <w:spacing w:after="0" w:line="68" w:lineRule="exact"/>
        <w:rPr>
          <w:rFonts w:ascii="Arial" w:cs="Arial" w:eastAsia="Arial" w:hAnsi="Arial"/>
          <w:sz w:val="14"/>
          <w:szCs w:val="14"/>
          <w:color w:val="auto"/>
        </w:rPr>
      </w:pPr>
    </w:p>
    <w:p>
      <w:pPr>
        <w:ind w:left="580" w:right="440" w:hanging="572"/>
        <w:spacing w:after="0" w:line="239"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September 30, 2014.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right="80" w:hanging="572"/>
        <w:spacing w:after="0" w:line="266" w:lineRule="auto"/>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three months ended September 30, 2014,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three months ended September 30, 2014. For more detailed information about the incentive fee, please see “Certain Relationships and Transactions—Investment Management Agreement” for more information.</w:t>
      </w:r>
    </w:p>
    <w:p>
      <w:pPr>
        <w:spacing w:after="0" w:line="194" w:lineRule="exact"/>
        <w:rPr>
          <w:rFonts w:ascii="Arial" w:cs="Arial" w:eastAsia="Arial" w:hAnsi="Arial"/>
          <w:sz w:val="12"/>
          <w:szCs w:val="12"/>
          <w:color w:val="auto"/>
        </w:rPr>
      </w:pPr>
    </w:p>
    <w:p>
      <w:pPr>
        <w:ind w:left="580" w:right="20" w:hanging="572"/>
        <w:spacing w:after="0" w:line="228"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As of September 30, 2014, we had $146.4 million in borrowings outstanding under our $200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59" w:lineRule="exact"/>
        <w:rPr>
          <w:rFonts w:ascii="Arial" w:cs="Arial" w:eastAsia="Arial" w:hAnsi="Arial"/>
          <w:sz w:val="14"/>
          <w:szCs w:val="14"/>
          <w:color w:val="auto"/>
        </w:rPr>
      </w:pPr>
    </w:p>
    <w:p>
      <w:pPr>
        <w:ind w:left="580" w:hanging="572"/>
        <w:spacing w:after="0" w:line="233"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2014, annualized for a full year.</w:t>
      </w:r>
    </w:p>
    <w:p>
      <w:pPr>
        <w:spacing w:after="0" w:line="57" w:lineRule="exact"/>
        <w:rPr>
          <w:rFonts w:ascii="Arial" w:cs="Arial" w:eastAsia="Arial" w:hAnsi="Arial"/>
          <w:sz w:val="14"/>
          <w:szCs w:val="14"/>
          <w:color w:val="auto"/>
        </w:rPr>
      </w:pPr>
    </w:p>
    <w:p>
      <w:pPr>
        <w:ind w:left="580" w:right="100" w:hanging="572"/>
        <w:spacing w:after="0" w:line="278" w:lineRule="auto"/>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35 of this prospectus.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77"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estimated annual expenses of 4.38%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sz w:val="20"/>
                <w:szCs w:val="20"/>
                <w:color w:val="auto"/>
              </w:rPr>
            </w:pPr>
            <w:r>
              <w:rPr>
                <w:rFonts w:ascii="Arial" w:cs="Arial" w:eastAsia="Arial" w:hAnsi="Arial"/>
                <w:sz w:val="14"/>
                <w:szCs w:val="14"/>
                <w:b w:val="1"/>
                <w:bCs w:val="1"/>
                <w:color w:val="auto"/>
              </w:rPr>
              <w:t>You would pay the following expenses on a $1,000 common stock investment:</w:t>
            </w: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3 years</w:t>
            </w:r>
          </w:p>
        </w:tc>
        <w:tc>
          <w:tcPr>
            <w:tcW w:w="2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2"/>
              </w:rPr>
              <w:t>5 years</w:t>
            </w:r>
          </w:p>
        </w:tc>
        <w:tc>
          <w:tcPr>
            <w:tcW w:w="26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10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Assuming a 5% annual return (assumes no return from net realized capital gains or net unrealized capital appreciation)</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77</w:t>
            </w:r>
          </w:p>
        </w:tc>
        <w:tc>
          <w:tcPr>
            <w:tcW w:w="28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163</w:t>
            </w:r>
          </w:p>
        </w:tc>
        <w:tc>
          <w:tcPr>
            <w:tcW w:w="40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w:t>
            </w:r>
          </w:p>
        </w:tc>
        <w:tc>
          <w:tcPr>
            <w:tcW w:w="440" w:type="dxa"/>
            <w:vAlign w:val="bottom"/>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00" w:type="dxa"/>
            <w:vAlign w:val="bottom"/>
            <w:gridSpan w:val="2"/>
          </w:tcPr>
          <w:p>
            <w:pPr>
              <w:spacing w:after="0"/>
              <w:rPr>
                <w:sz w:val="20"/>
                <w:szCs w:val="20"/>
                <w:color w:val="auto"/>
              </w:rPr>
            </w:pPr>
            <w:r>
              <w:rPr>
                <w:rFonts w:ascii="Arial" w:cs="Arial" w:eastAsia="Arial" w:hAnsi="Arial"/>
                <w:sz w:val="14"/>
                <w:szCs w:val="14"/>
                <w:color w:val="auto"/>
              </w:rPr>
              <w:t>Assuming a 5% annual return (assumes return from only realized capital gains and thus subject to the capital gains incentive fee)</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87</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190</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292</w:t>
            </w:r>
          </w:p>
        </w:tc>
        <w:tc>
          <w:tcPr>
            <w:tcW w:w="44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our expenses, and returns to investors, would be higher. The example assumes that all distributions are reinvested at net asset value. Reinvestment of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if any, before you decide whether to make an investment in our securities. The risks set out below are not the only risks we face. Additional risks and uncertainties not currently known to us or that we currently deem to be immaterial also may have a material adverse affect on our business, financial condition and/or operating results. If any of the following events occur, our business, financial condition and results of operations could be materially adversely affected. In such case, our NAV, the trading price of our common stock or any securities we may issue, may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77"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140"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90"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w:t>
      </w:r>
    </w:p>
    <w:p>
      <w:pPr>
        <w:spacing w:after="0" w:line="12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significant disruption in the capital markets experienced in the past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99"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b w:val="1"/>
          <w:bCs w:val="1"/>
          <w:i w:val="1"/>
          <w:iCs w:val="1"/>
          <w:color w:val="auto"/>
        </w:rPr>
        <w:t>Market developments may adversely affect our business and results of operations by reducing availability and/or triggering mandatory prepayment under Funding I’s Credit Facility.</w:t>
      </w:r>
    </w:p>
    <w:p>
      <w:pPr>
        <w:spacing w:after="0" w:line="51"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In addition to the applicable asset coverage ratio that restricts our ability to borrow under our Credit Facility, the Credit Facility contains various covenants applicable to Funding I. For example, the income coverage covenant, or test, compares the amount of interest received on the portfolio loans held by Funding I to the amount of interest payable under the Credit Facility to the lenders, or the Lenders, and certain other expenses. To meet this test,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require changes in the priority of distributions under the payment waterfall, which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9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8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43"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We make long-term loans and debt investments, which may involve a high degree of repayment risk. Our investments with a deferred interest feature, such as OID income, could represent a higher credit risk than investments that must pay interest in full in cash on a regular basis.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51"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43"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the target of securities litigation.</w:t>
      </w:r>
    </w:p>
    <w:p>
      <w:pPr>
        <w:spacing w:after="0" w:line="90" w:lineRule="exact"/>
        <w:rPr>
          <w:sz w:val="20"/>
          <w:szCs w:val="20"/>
          <w:color w:val="auto"/>
        </w:rPr>
      </w:pPr>
    </w:p>
    <w:p>
      <w:pPr>
        <w:ind w:right="280" w:firstLine="571"/>
        <w:spacing w:after="0" w:line="259"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221"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59"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8"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9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123"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thereby decreasing our net income. Also, an increase in interest rates available to investors could make an investment in our common stock less attractive if we are not able to increase our dividend rate, which could reduce the value of our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90" w:lineRule="exact"/>
        <w:rPr>
          <w:sz w:val="20"/>
          <w:szCs w:val="20"/>
          <w:color w:val="auto"/>
        </w:rPr>
      </w:pPr>
    </w:p>
    <w:p>
      <w:pPr>
        <w:ind w:right="100" w:firstLine="571"/>
        <w:spacing w:after="0" w:line="288"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0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51"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may not replicate the historical performance of other investment companies and funds with which our investment professionals have been affiliated.</w:t>
      </w:r>
    </w:p>
    <w:p>
      <w:pPr>
        <w:spacing w:after="0" w:line="125" w:lineRule="exact"/>
        <w:rPr>
          <w:sz w:val="20"/>
          <w:szCs w:val="20"/>
          <w:color w:val="auto"/>
        </w:rPr>
      </w:pPr>
    </w:p>
    <w:p>
      <w:pPr>
        <w:ind w:right="220" w:firstLine="571"/>
        <w:spacing w:after="0" w:line="253" w:lineRule="auto"/>
        <w:rPr>
          <w:sz w:val="20"/>
          <w:szCs w:val="20"/>
          <w:color w:val="auto"/>
        </w:rPr>
      </w:pPr>
      <w:r>
        <w:rPr>
          <w:rFonts w:ascii="Arial" w:cs="Arial" w:eastAsia="Arial" w:hAnsi="Arial"/>
          <w:sz w:val="18"/>
          <w:szCs w:val="18"/>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investment professionals have been affiliated, and we caution that our investment returns could be substantially lower than the returns achieved by such other companies.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of RIC tax status would substantially reduce net assets and income available for debt service and distributions.</w:t>
      </w:r>
    </w:p>
    <w:p>
      <w:pPr>
        <w:spacing w:after="0" w:line="90"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distributions.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an amount at least equal to the sum of (1) 98% of our net ordinary income (for the calendar year), (2) 98.2% of the sum of our net realized capital gains (during each 12-month period ending on October 31), and (3) the sum of any net ordinary income plus capital gains and net ordinary gains for preceding years that were not distributed during such years.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13"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original issue discount, or OID, and payment-in-kind interest, or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Annual Distribution Requirement and obtaining RIC tax benefits.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224" w:lineRule="exact"/>
        <w:rPr>
          <w:sz w:val="20"/>
          <w:szCs w:val="20"/>
          <w:color w:val="auto"/>
        </w:rPr>
      </w:pPr>
    </w:p>
    <w:p>
      <w:pPr>
        <w:ind w:right="80" w:firstLine="228"/>
        <w:spacing w:after="0" w:line="357"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100" w:firstLine="571"/>
        <w:spacing w:after="0" w:line="290"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gains. However, we may retain certain net long-term capital gains and pay applicable income taxes with respect thereto and elect to treat as deemed distributions to our stockholders. As a BDC, we generally are required to meet an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We are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 and if Funding I is unable to obtain a waiver, compliance with the covenants may result in a corporate-level income tax on us.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9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permissible under the asset coverage definition under the 1940 Act. Our ability to pay dividends or issue additional senior securities would be restricted if our asset coverage ratio was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59" w:lineRule="exact"/>
        <w:rPr>
          <w:sz w:val="20"/>
          <w:szCs w:val="20"/>
          <w:color w:val="auto"/>
        </w:rPr>
      </w:pPr>
    </w:p>
    <w:p>
      <w:pPr>
        <w:ind w:left="460" w:right="4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are exposed to typical risks associated with leverage, including an increased risk of loss. If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5"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Such procedures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64" w:lineRule="exact"/>
        <w:rPr>
          <w:rFonts w:ascii="Arial" w:cs="Arial" w:eastAsia="Arial" w:hAnsi="Arial"/>
          <w:sz w:val="16"/>
          <w:szCs w:val="16"/>
          <w:color w:val="auto"/>
        </w:rPr>
      </w:pPr>
    </w:p>
    <w:p>
      <w:pPr>
        <w:ind w:left="460" w:hanging="452"/>
        <w:spacing w:after="0" w:line="285"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Because we borrow funds through Funding I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and any cash that we use to service our indebtedness is not available for distribution to our common stockholders.</w:t>
      </w:r>
    </w:p>
    <w:p>
      <w:pPr>
        <w:spacing w:after="0" w:line="116"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90" w:lineRule="exact"/>
        <w:rPr>
          <w:sz w:val="20"/>
          <w:szCs w:val="20"/>
          <w:color w:val="auto"/>
        </w:rPr>
      </w:pPr>
    </w:p>
    <w:p>
      <w:pPr>
        <w:ind w:right="20" w:firstLine="571"/>
        <w:spacing w:after="0" w:line="307" w:lineRule="auto"/>
        <w:rPr>
          <w:sz w:val="20"/>
          <w:szCs w:val="20"/>
          <w:color w:val="auto"/>
        </w:rPr>
      </w:pPr>
      <w:r>
        <w:rPr>
          <w:rFonts w:ascii="Arial" w:cs="Arial" w:eastAsia="Arial" w:hAnsi="Arial"/>
          <w:sz w:val="15"/>
          <w:szCs w:val="15"/>
          <w:color w:val="auto"/>
        </w:rPr>
        <w:t>We have indebtedness outstanding pursuant to our Credit Facility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85"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As of September 30, 2014, we had outstanding borrowings of $146.4 million under our Credit Facility with a current interest rate on of 2.16% exclusive of the fees on the undrawn commitment of 0.375%. Accordingly, to cover the annual interest on our borrowings outstanding at September 30, 2014, at the then current rate, we would have to receive an annual yield of at least 0.88%.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89" w:lineRule="exact"/>
        <w:rPr>
          <w:sz w:val="20"/>
          <w:szCs w:val="20"/>
          <w:color w:val="auto"/>
        </w:rPr>
      </w:pPr>
    </w:p>
    <w:p>
      <w:pPr>
        <w:ind w:right="140" w:firstLine="571"/>
        <w:spacing w:after="0" w:line="318" w:lineRule="auto"/>
        <w:rPr>
          <w:sz w:val="20"/>
          <w:szCs w:val="20"/>
          <w:color w:val="auto"/>
        </w:rPr>
      </w:pPr>
      <w:r>
        <w:rPr>
          <w:rFonts w:ascii="Arial" w:cs="Arial" w:eastAsia="Arial" w:hAnsi="Arial"/>
          <w:sz w:val="15"/>
          <w:szCs w:val="15"/>
          <w:color w:val="auto"/>
        </w:rPr>
        <w:t>The following table is designed to illustrate the effect on return to a holder of our common stock of the leverage created by our use of borrowing at September 30, 2014 of 39% of total assets (including such borrowed funds), at a current interest rate at the time of 2.16%, and assumes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Assumed return on portfolio (net of expenses) </w:t>
            </w:r>
            <w:r>
              <w:rPr>
                <w:rFonts w:ascii="Arial" w:cs="Arial" w:eastAsia="Arial" w:hAnsi="Arial"/>
                <w:sz w:val="11"/>
                <w:szCs w:val="11"/>
                <w:color w:val="auto"/>
              </w:rPr>
              <w:t>(1)</w:t>
            </w:r>
          </w:p>
        </w:tc>
        <w:tc>
          <w:tcPr>
            <w:tcW w:w="2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 xml:space="preserve">Corresponding return to common stockholders </w:t>
            </w:r>
            <w:r>
              <w:rPr>
                <w:rFonts w:ascii="Arial" w:cs="Arial" w:eastAsia="Arial" w:hAnsi="Arial"/>
                <w:sz w:val="11"/>
                <w:szCs w:val="11"/>
                <w:color w:val="auto"/>
              </w:rPr>
              <w:t>(2)</w:t>
            </w:r>
          </w:p>
        </w:tc>
        <w:tc>
          <w:tcPr>
            <w:tcW w:w="2620" w:type="dxa"/>
            <w:vAlign w:val="bottom"/>
          </w:tcPr>
          <w:p>
            <w:pPr>
              <w:jc w:val="right"/>
              <w:ind w:right="152"/>
              <w:spacing w:after="0"/>
              <w:rPr>
                <w:sz w:val="20"/>
                <w:szCs w:val="20"/>
                <w:color w:val="auto"/>
              </w:rPr>
            </w:pPr>
            <w:r>
              <w:rPr>
                <w:rFonts w:ascii="Arial" w:cs="Arial" w:eastAsia="Arial" w:hAnsi="Arial"/>
                <w:sz w:val="18"/>
                <w:szCs w:val="18"/>
                <w:color w:val="auto"/>
              </w:rPr>
              <w:t>(18.9)%</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(10.2)%</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7.2%</w:t>
            </w:r>
          </w:p>
        </w:tc>
        <w:tc>
          <w:tcPr>
            <w:tcW w:w="740" w:type="dxa"/>
            <w:vAlign w:val="bottom"/>
          </w:tcPr>
          <w:p>
            <w:pPr>
              <w:jc w:val="right"/>
              <w:spacing w:after="0"/>
              <w:rPr>
                <w:sz w:val="20"/>
                <w:szCs w:val="20"/>
                <w:color w:val="auto"/>
              </w:rPr>
            </w:pPr>
            <w:r>
              <w:rPr>
                <w:rFonts w:ascii="Arial" w:cs="Arial" w:eastAsia="Arial" w:hAnsi="Arial"/>
                <w:sz w:val="18"/>
                <w:szCs w:val="18"/>
                <w:color w:val="auto"/>
              </w:rPr>
              <w:t>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220" w:right="20" w:hanging="212"/>
        <w:spacing w:after="0" w:line="203" w:lineRule="auto"/>
        <w:tabs>
          <w:tab w:leader="none" w:pos="220" w:val="left"/>
        </w:tabs>
        <w:numPr>
          <w:ilvl w:val="0"/>
          <w:numId w:val="5"/>
        </w:numPr>
        <w:rPr>
          <w:rFonts w:ascii="Arial" w:cs="Arial" w:eastAsia="Arial" w:hAnsi="Arial"/>
          <w:sz w:val="21"/>
          <w:szCs w:val="21"/>
          <w:color w:val="auto"/>
          <w:vertAlign w:val="superscript"/>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22"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51" w:lineRule="exact"/>
        <w:rPr>
          <w:sz w:val="20"/>
          <w:szCs w:val="20"/>
          <w:color w:val="auto"/>
        </w:rPr>
      </w:pPr>
    </w:p>
    <w:p>
      <w:pPr>
        <w:ind w:right="260" w:firstLine="571"/>
        <w:spacing w:after="0" w:line="291" w:lineRule="auto"/>
        <w:rPr>
          <w:sz w:val="20"/>
          <w:szCs w:val="20"/>
          <w:color w:val="auto"/>
        </w:rPr>
      </w:pPr>
      <w:r>
        <w:rPr>
          <w:rFonts w:ascii="Arial" w:cs="Arial" w:eastAsia="Arial" w:hAnsi="Arial"/>
          <w:sz w:val="16"/>
          <w:szCs w:val="16"/>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90"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188"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51"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Our Credit Facility expires in May 2018. We utilize the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01"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51"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interests in Funding I are subordinated.</w:t>
      </w:r>
    </w:p>
    <w:p>
      <w:pPr>
        <w:spacing w:after="0" w:line="9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93"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receive cash on our equity interests from Funding I.</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we issue preferred stock, debt securities or convertible debt securities the NAV and market value of our common stock may become more volatile.</w:t>
      </w:r>
    </w:p>
    <w:p>
      <w:pPr>
        <w:spacing w:after="0" w:line="125"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93"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affairs.</w:t>
      </w:r>
    </w:p>
    <w:p>
      <w:pPr>
        <w:spacing w:after="0" w:line="199"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51"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w:t>
      </w:r>
    </w:p>
    <w:p>
      <w:pPr>
        <w:spacing w:after="0" w:line="94"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86"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89"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ability to sell investments held by Funding I is limited.</w:t>
      </w:r>
    </w:p>
    <w:p>
      <w:pPr>
        <w:spacing w:after="0" w:line="90"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90"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factors include the following:</w:t>
      </w:r>
    </w:p>
    <w:p>
      <w:pPr>
        <w:spacing w:after="0" w:line="158"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44"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Terms relating to redemption may have a material adverse effect on the return on any debt securities.</w:t>
      </w:r>
    </w:p>
    <w:p>
      <w:pPr>
        <w:spacing w:after="0" w:line="90" w:lineRule="exact"/>
        <w:rPr>
          <w:sz w:val="20"/>
          <w:szCs w:val="20"/>
          <w:color w:val="auto"/>
        </w:rPr>
      </w:pPr>
    </w:p>
    <w:p>
      <w:pPr>
        <w:ind w:right="20" w:firstLine="571"/>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13"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NAV. Further increases of fair value of our debt will have the opposite effect. Any future indebtedness that we elect the fair value option for may have similar effects on our NAV as our Credit Facility. This will tend to mitigate volatility in our earnings and NAV. As a result of these factors, results for any period should not be relied upon as being indicative of performance in future periods.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9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13"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6"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1" w:lineRule="exact"/>
        <w:rPr>
          <w:sz w:val="20"/>
          <w:szCs w:val="20"/>
          <w:color w:val="auto"/>
        </w:rPr>
      </w:pPr>
    </w:p>
    <w:p>
      <w:pPr>
        <w:ind w:right="60" w:firstLine="571"/>
        <w:spacing w:after="0" w:line="284" w:lineRule="auto"/>
        <w:rPr>
          <w:sz w:val="20"/>
          <w:szCs w:val="20"/>
          <w:color w:val="auto"/>
        </w:rPr>
      </w:pPr>
      <w:r>
        <w:rPr>
          <w:rFonts w:ascii="Arial" w:cs="Arial" w:eastAsia="Arial" w:hAnsi="Arial"/>
          <w:sz w:val="16"/>
          <w:szCs w:val="16"/>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w:t>
      </w:r>
    </w:p>
    <w:p>
      <w:pPr>
        <w:spacing w:after="0" w:line="1" w:lineRule="exact"/>
        <w:rPr>
          <w:sz w:val="20"/>
          <w:szCs w:val="20"/>
          <w:color w:val="auto"/>
        </w:rPr>
      </w:pPr>
    </w:p>
    <w:p>
      <w:pPr>
        <w:ind w:right="20" w:firstLine="8"/>
        <w:spacing w:after="0" w:line="292" w:lineRule="auto"/>
        <w:tabs>
          <w:tab w:leader="none" w:pos="35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90" w:lineRule="exact"/>
        <w:rPr>
          <w:sz w:val="20"/>
          <w:szCs w:val="20"/>
          <w:color w:val="auto"/>
        </w:rPr>
      </w:pPr>
    </w:p>
    <w:p>
      <w:pPr>
        <w:ind w:right="140" w:firstLine="571"/>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5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At September 30, 2014, all of our investments were recorded at fair value as approved in good faith by our board of directors. Our board of directors uses the services of one or more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or lower than the values that we ultimately realize upon the disposal of such investments.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140" w:firstLine="571"/>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6"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24"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We rely in part on our over-the-counter securities, which have and may continue to face liquidity constraints under recent market conditions, to provide us with adequate liquidity.</w:t>
      </w:r>
    </w:p>
    <w:p>
      <w:pPr>
        <w:spacing w:after="0" w:line="51"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intend to invest primarily in Floating Rate Loans, which may consist of senior secured loans, mezzanine debt and selected equity investments issued by U.S. middle-market companies.</w:t>
      </w:r>
    </w:p>
    <w:p>
      <w:pPr>
        <w:spacing w:after="0" w:line="118" w:lineRule="exact"/>
        <w:rPr>
          <w:sz w:val="20"/>
          <w:szCs w:val="20"/>
          <w:color w:val="auto"/>
        </w:rPr>
      </w:pPr>
    </w:p>
    <w:p>
      <w:pPr>
        <w:ind w:left="920" w:right="80" w:hanging="345"/>
        <w:spacing w:after="0" w:line="289"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Floating Rate Loans: </w:t>
      </w:r>
      <w:r>
        <w:rPr>
          <w:rFonts w:ascii="Arial" w:cs="Arial" w:eastAsia="Arial" w:hAnsi="Arial"/>
          <w:sz w:val="16"/>
          <w:szCs w:val="16"/>
          <w:color w:val="auto"/>
        </w:rPr>
        <w:t>The Floating Rate Loans we invest in are usually rated below investment grade or may also be unrated.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04" w:lineRule="exact"/>
        <w:rPr>
          <w:rFonts w:ascii="Arial" w:cs="Arial" w:eastAsia="Arial" w:hAnsi="Arial"/>
          <w:sz w:val="16"/>
          <w:szCs w:val="16"/>
          <w:color w:val="auto"/>
        </w:rPr>
      </w:pPr>
    </w:p>
    <w:p>
      <w:pPr>
        <w:ind w:left="920" w:right="60"/>
        <w:spacing w:after="0" w:line="288" w:lineRule="auto"/>
        <w:rPr>
          <w:rFonts w:ascii="Arial" w:cs="Arial" w:eastAsia="Arial" w:hAnsi="Arial"/>
          <w:sz w:val="16"/>
          <w:szCs w:val="16"/>
          <w:color w:val="auto"/>
        </w:rPr>
      </w:pPr>
      <w:r>
        <w:rPr>
          <w:rFonts w:ascii="Arial" w:cs="Arial" w:eastAsia="Arial" w:hAnsi="Arial"/>
          <w:sz w:val="16"/>
          <w:szCs w:val="16"/>
          <w:color w:val="auto"/>
        </w:rPr>
        <w:t>Floating Rate Loans are subject to the risk of non-payment of scheduled interest or principal. Such non-payment would result in a reduction of income to us, a reduction in the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111" w:lineRule="exact"/>
        <w:rPr>
          <w:sz w:val="20"/>
          <w:szCs w:val="20"/>
          <w:color w:val="auto"/>
        </w:rPr>
      </w:pPr>
    </w:p>
    <w:p>
      <w:pPr>
        <w:ind w:left="920" w:right="40" w:hanging="345"/>
        <w:spacing w:after="0" w:line="288"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Secured Loans: </w:t>
      </w:r>
      <w:r>
        <w:rPr>
          <w:rFonts w:ascii="Arial" w:cs="Arial" w:eastAsia="Arial" w:hAnsi="Arial"/>
          <w:sz w:val="16"/>
          <w:szCs w:val="16"/>
          <w:color w:val="auto"/>
        </w:rPr>
        <w:t>When we extend senior secured loans, which we define to include first lien debt, we will generally take a security interest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06" w:lineRule="exact"/>
        <w:rPr>
          <w:rFonts w:ascii="Arial" w:cs="Arial" w:eastAsia="Arial" w:hAnsi="Arial"/>
          <w:sz w:val="16"/>
          <w:szCs w:val="16"/>
          <w:color w:val="auto"/>
        </w:rPr>
      </w:pPr>
    </w:p>
    <w:p>
      <w:pPr>
        <w:ind w:left="920" w:hanging="345"/>
        <w:spacing w:after="0" w:line="290"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subordinated 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04" w:lineRule="exact"/>
        <w:rPr>
          <w:rFonts w:ascii="Arial" w:cs="Arial" w:eastAsia="Arial" w:hAnsi="Arial"/>
          <w:sz w:val="16"/>
          <w:szCs w:val="16"/>
          <w:color w:val="auto"/>
        </w:rPr>
      </w:pPr>
    </w:p>
    <w:p>
      <w:pPr>
        <w:ind w:left="920" w:right="40" w:hanging="345"/>
        <w:spacing w:after="0" w:line="291"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Investments: </w:t>
      </w:r>
      <w:r>
        <w:rPr>
          <w:rFonts w:ascii="Arial" w:cs="Arial" w:eastAsia="Arial" w:hAnsi="Arial"/>
          <w:sz w:val="16"/>
          <w:szCs w:val="16"/>
          <w:color w:val="auto"/>
        </w:rPr>
        <w:t>We have made and expect to continue to make select equity investments, all of which are subordinated to debt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when we invest in senior secured loans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58" w:lineRule="exact"/>
        <w:rPr>
          <w:sz w:val="20"/>
          <w:szCs w:val="20"/>
          <w:color w:val="auto"/>
        </w:rPr>
      </w:pPr>
    </w:p>
    <w:p>
      <w:pPr>
        <w:jc w:val="both"/>
        <w:ind w:left="900" w:right="1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26" w:lineRule="exact"/>
        <w:rPr>
          <w:rFonts w:ascii="Arial" w:cs="Arial" w:eastAsia="Arial" w:hAnsi="Arial"/>
          <w:sz w:val="18"/>
          <w:szCs w:val="18"/>
          <w:color w:val="auto"/>
        </w:rPr>
      </w:pPr>
    </w:p>
    <w:p>
      <w:pPr>
        <w:jc w:val="both"/>
        <w:ind w:left="900" w:right="18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publicly-available information, narrower product lines and smaller market shares than larger businesses, which tend to render them more vulnerable to competitors’ actions and changing market conditions, as well as general economic downturns;</w:t>
      </w:r>
    </w:p>
    <w:p>
      <w:pPr>
        <w:spacing w:after="0" w:line="126"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1"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9"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13" w:lineRule="exact"/>
        <w:rPr>
          <w:sz w:val="20"/>
          <w:szCs w:val="20"/>
          <w:color w:val="auto"/>
        </w:rPr>
      </w:pPr>
    </w:p>
    <w:p>
      <w:pPr>
        <w:ind w:right="140" w:firstLine="228"/>
        <w:spacing w:after="0" w:line="357" w:lineRule="auto"/>
        <w:rPr>
          <w:sz w:val="20"/>
          <w:szCs w:val="20"/>
          <w:color w:val="auto"/>
        </w:rPr>
      </w:pPr>
      <w:r>
        <w:rPr>
          <w:rFonts w:ascii="Arial" w:cs="Arial" w:eastAsia="Arial" w:hAnsi="Arial"/>
          <w:sz w:val="15"/>
          <w:szCs w:val="15"/>
          <w:b w:val="1"/>
          <w:bCs w:val="1"/>
          <w:i w:val="1"/>
          <w:i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ind w:right="200" w:firstLine="571"/>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16"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9"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9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118"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44"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status.</w:t>
      </w:r>
    </w:p>
    <w:p>
      <w:pPr>
        <w:spacing w:after="0" w:line="225"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4"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94" w:lineRule="exact"/>
        <w:rPr>
          <w:sz w:val="20"/>
          <w:szCs w:val="20"/>
          <w:color w:val="auto"/>
        </w:rPr>
      </w:pPr>
    </w:p>
    <w:p>
      <w:pPr>
        <w:jc w:val="both"/>
        <w:ind w:right="220" w:firstLine="228"/>
        <w:spacing w:after="0" w:line="259"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9"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90" w:lineRule="exact"/>
        <w:rPr>
          <w:sz w:val="20"/>
          <w:szCs w:val="20"/>
          <w:color w:val="auto"/>
        </w:rPr>
      </w:pPr>
    </w:p>
    <w:p>
      <w:pPr>
        <w:ind w:right="120" w:firstLine="571"/>
        <w:spacing w:after="0" w:line="289" w:lineRule="auto"/>
        <w:rPr>
          <w:sz w:val="20"/>
          <w:szCs w:val="20"/>
          <w:color w:val="auto"/>
        </w:rPr>
      </w:pPr>
      <w:r>
        <w:rPr>
          <w:rFonts w:ascii="Arial" w:cs="Arial" w:eastAsia="Arial" w:hAnsi="Arial"/>
          <w:sz w:val="16"/>
          <w:szCs w:val="16"/>
          <w:color w:val="auto"/>
        </w:rPr>
        <w:t>We invest primarily in Floating Rate Loans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9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our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2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97"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51"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90"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90"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or we incur a net loss for that quarter.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91"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2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6"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26"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We intend to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18"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9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9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90" w:lineRule="exact"/>
        <w:rPr>
          <w:sz w:val="20"/>
          <w:szCs w:val="20"/>
          <w:color w:val="auto"/>
        </w:rPr>
      </w:pPr>
    </w:p>
    <w:p>
      <w:pPr>
        <w:ind w:right="140" w:firstLine="571"/>
        <w:spacing w:after="0" w:line="323" w:lineRule="auto"/>
        <w:rPr>
          <w:sz w:val="20"/>
          <w:szCs w:val="20"/>
          <w:color w:val="auto"/>
        </w:rPr>
      </w:pPr>
      <w:r>
        <w:rPr>
          <w:rFonts w:ascii="Arial" w:cs="Arial" w:eastAsia="Arial" w:hAnsi="Arial"/>
          <w:sz w:val="15"/>
          <w:szCs w:val="15"/>
          <w:color w:val="auto"/>
        </w:rPr>
        <w:t>Shares of BDCs may trade at a market price that is less than the NAV that is attributable to those shares. Our shares have traded above and below our NAV. Our shares closed on the NASDAQ Global Select Market at $13.78 on both September 30, 2014 and 2013. Our NAV per share was $14.40 and $14.10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18" w:lineRule="exact"/>
        <w:rPr>
          <w:sz w:val="20"/>
          <w:szCs w:val="20"/>
          <w:color w:val="auto"/>
        </w:rPr>
      </w:pPr>
    </w:p>
    <w:p>
      <w:pPr>
        <w:ind w:left="900" w:right="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118"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loss of our BDC or RIC status;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57"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118"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44"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25"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90"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90"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51"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90" w:lineRule="exact"/>
        <w:rPr>
          <w:sz w:val="20"/>
          <w:szCs w:val="20"/>
          <w:color w:val="auto"/>
        </w:rPr>
      </w:pPr>
    </w:p>
    <w:p>
      <w:pPr>
        <w:ind w:right="460" w:firstLine="571"/>
        <w:spacing w:after="0" w:line="298" w:lineRule="auto"/>
        <w:rPr>
          <w:sz w:val="20"/>
          <w:szCs w:val="20"/>
          <w:color w:val="auto"/>
        </w:rPr>
      </w:pPr>
      <w:r>
        <w:rPr>
          <w:rFonts w:ascii="Arial" w:cs="Arial" w:eastAsia="Arial" w:hAnsi="Arial"/>
          <w:sz w:val="16"/>
          <w:szCs w:val="16"/>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as amended, or the Sarbanes-Oxley Act, and other rules implemented by the SEC and the listing standards of the NASDAQ Stock Market LLC.</w:t>
      </w:r>
    </w:p>
    <w:p>
      <w:pPr>
        <w:spacing w:after="0" w:line="194"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European sovereign debt issues.</w:t>
      </w:r>
    </w:p>
    <w:p>
      <w:pPr>
        <w:spacing w:after="0" w:line="171"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jc w:val="both"/>
        <w:ind w:right="40" w:firstLine="571"/>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periodic reports that we in the future may file with the SEC, including annual and quarterly reports on Form 10-K/Q and current reports on Form 8-K.</w:t>
      </w:r>
    </w:p>
    <w:p>
      <w:pPr>
        <w:spacing w:after="0" w:line="143"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 general corporate or strategic purposes. Any supplements to this prospectus relating to an offering may more fully identify the use of the proceeds from such offering.</w:t>
      </w:r>
    </w:p>
    <w:p>
      <w:pPr>
        <w:spacing w:after="0" w:line="14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As of September 30, 2014, we had $146.4 million in borrowings outstanding under our $200 million Credit Facility. Borrowings under our Credit Facility bear interest at LIBOR plus 200 basis points per annum during the revolving period, and the rate resets to LIBOR plus 425 basis points per annum for the remaining two years. At September 30, 2014, the interest rate was 2.16%, excluding the 0.375% undrawn commitment fee. The Credit Facility is a revolving facility maturing in May 2018 and is secured by all of the assets held by Funding I. Amounts repaid under our Credit Facility remain available for future borrowings during the revolving period. See “Management’s Discussion and Analysis of Financial Condition and Results of Operations” for more information.</w:t>
      </w:r>
    </w:p>
    <w:p>
      <w:pPr>
        <w:spacing w:after="0" w:line="116"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We have derived the other data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For the period</w:t>
            </w:r>
          </w:p>
        </w:tc>
        <w:tc>
          <w:tcPr>
            <w:tcW w:w="24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24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24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of</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operations)</w:t>
            </w:r>
          </w:p>
        </w:tc>
        <w:tc>
          <w:tcPr>
            <w:tcW w:w="24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2"/>
                <w:szCs w:val="12"/>
                <w:color w:val="auto"/>
              </w:rPr>
            </w:pPr>
          </w:p>
        </w:tc>
      </w:tr>
      <w:tr>
        <w:trPr>
          <w:trHeight w:val="161"/>
        </w:trPr>
        <w:tc>
          <w:tcPr>
            <w:tcW w:w="55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2014</w:t>
            </w:r>
          </w:p>
        </w:tc>
        <w:tc>
          <w:tcPr>
            <w:tcW w:w="1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September 30, 2011</w:t>
            </w:r>
          </w:p>
        </w:tc>
        <w:tc>
          <w:tcPr>
            <w:tcW w:w="240" w:type="dxa"/>
            <w:vAlign w:val="bottom"/>
          </w:tcPr>
          <w:p>
            <w:pPr>
              <w:spacing w:after="0"/>
              <w:rPr>
                <w:sz w:val="14"/>
                <w:szCs w:val="14"/>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amounts in thousands, except per share data)</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18,867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12,099</w:t>
            </w:r>
          </w:p>
        </w:tc>
        <w:tc>
          <w:tcPr>
            <w:tcW w:w="4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2,947</w:t>
            </w:r>
          </w:p>
        </w:tc>
        <w:tc>
          <w:tcPr>
            <w:tcW w:w="2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13,721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8,344</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2,626</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(5)</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10,523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1,461</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5,651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144"/>
              <w:spacing w:after="0"/>
              <w:rPr>
                <w:sz w:val="20"/>
                <w:szCs w:val="20"/>
                <w:color w:val="auto"/>
              </w:rPr>
            </w:pPr>
            <w:r>
              <w:rPr>
                <w:rFonts w:ascii="Arial" w:cs="Arial" w:eastAsia="Arial" w:hAnsi="Arial"/>
                <w:sz w:val="18"/>
                <w:szCs w:val="18"/>
                <w:color w:val="auto"/>
              </w:rPr>
              <w:t>(3,793)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11,985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(3,473)</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w:t>
            </w:r>
          </w:p>
        </w:tc>
        <w:tc>
          <w:tcPr>
            <w:tcW w:w="2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1"/>
                <w:szCs w:val="11"/>
                <w:color w:val="auto"/>
              </w:rPr>
              <w:t>(1)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realized and unrealized gain (loss) </w:t>
            </w:r>
            <w:r>
              <w:rPr>
                <w:rFonts w:ascii="Arial" w:cs="Arial" w:eastAsia="Arial" w:hAnsi="Arial"/>
                <w:sz w:val="11"/>
                <w:szCs w:val="11"/>
                <w:color w:val="auto"/>
              </w:rPr>
              <w:t>(1)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(0.56)</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 xml:space="preserve">Net increase (decrease) in net assets resulting from operations </w:t>
            </w:r>
            <w:r>
              <w:rPr>
                <w:rFonts w:ascii="Arial" w:cs="Arial" w:eastAsia="Arial" w:hAnsi="Arial"/>
                <w:sz w:val="11"/>
                <w:szCs w:val="11"/>
                <w:color w:val="auto"/>
              </w:rPr>
              <w:t>(1)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144"/>
              <w:spacing w:after="0"/>
              <w:rPr>
                <w:sz w:val="20"/>
                <w:szCs w:val="20"/>
                <w:color w:val="auto"/>
              </w:rPr>
            </w:pPr>
            <w:r>
              <w:rPr>
                <w:rFonts w:ascii="Arial" w:cs="Arial" w:eastAsia="Arial" w:hAnsi="Arial"/>
                <w:sz w:val="18"/>
                <w:szCs w:val="18"/>
                <w:color w:val="auto"/>
              </w:rPr>
              <w:t>(0.51)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Distributions declared </w:t>
            </w:r>
            <w:r>
              <w:rPr>
                <w:rFonts w:ascii="Arial" w:cs="Arial" w:eastAsia="Arial" w:hAnsi="Arial"/>
                <w:sz w:val="11"/>
                <w:szCs w:val="11"/>
                <w:color w:val="auto"/>
              </w:rPr>
              <w:t>(1), (2)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Consolidated Statements of Assets and Liabilities data:</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372,874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328,802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178,367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121,075</w:t>
            </w:r>
          </w:p>
        </w:tc>
        <w:tc>
          <w:tcPr>
            <w:tcW w:w="2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348,428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317,804</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171,834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110,724</w:t>
            </w:r>
          </w:p>
        </w:tc>
        <w:tc>
          <w:tcPr>
            <w:tcW w:w="2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99,600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75,123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24,650</w:t>
            </w:r>
          </w:p>
        </w:tc>
        <w:tc>
          <w:tcPr>
            <w:tcW w:w="2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Total net asset value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214,528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210,066</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95,744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92,072</w:t>
            </w:r>
          </w:p>
        </w:tc>
        <w:tc>
          <w:tcPr>
            <w:tcW w:w="2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1"/>
                <w:szCs w:val="11"/>
                <w:color w:val="auto"/>
              </w:rPr>
              <w:t>(3)</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17.17%</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4"/>
              <w:spacing w:after="0"/>
              <w:rPr>
                <w:sz w:val="20"/>
                <w:szCs w:val="20"/>
                <w:color w:val="auto"/>
              </w:rPr>
            </w:pPr>
            <w:r>
              <w:rPr>
                <w:rFonts w:ascii="Arial" w:cs="Arial" w:eastAsia="Arial" w:hAnsi="Arial"/>
                <w:sz w:val="18"/>
                <w:szCs w:val="18"/>
                <w:color w:val="auto"/>
              </w:rPr>
              <w:t>(28.13)%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Number of portfolio companies </w:t>
            </w:r>
            <w:r>
              <w:rPr>
                <w:rFonts w:ascii="Arial" w:cs="Arial" w:eastAsia="Arial" w:hAnsi="Arial"/>
                <w:sz w:val="11"/>
                <w:szCs w:val="11"/>
                <w:color w:val="auto"/>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 xml:space="preserve">Yield on debt portfolio </w:t>
            </w:r>
            <w:r>
              <w:rPr>
                <w:rFonts w:ascii="Arial" w:cs="Arial" w:eastAsia="Arial" w:hAnsi="Arial"/>
                <w:sz w:val="11"/>
                <w:szCs w:val="11"/>
                <w:color w:val="auto"/>
              </w:rPr>
              <w:t>(4)</w:t>
            </w: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3"/>
          </w:tcPr>
          <w:p>
            <w:pPr>
              <w:jc w:val="right"/>
              <w:ind w:right="64"/>
              <w:spacing w:after="0"/>
              <w:rPr>
                <w:sz w:val="20"/>
                <w:szCs w:val="20"/>
                <w:color w:val="auto"/>
              </w:rPr>
            </w:pPr>
            <w:r>
              <w:rPr>
                <w:rFonts w:ascii="Arial" w:cs="Arial" w:eastAsia="Arial" w:hAnsi="Arial"/>
                <w:sz w:val="18"/>
                <w:szCs w:val="18"/>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663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3"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Based on the weighted average shares outstanding for the respective periods.</w:t>
      </w:r>
    </w:p>
    <w:p>
      <w:pPr>
        <w:ind w:left="220" w:hanging="212"/>
        <w:spacing w:after="0" w:line="182" w:lineRule="auto"/>
        <w:tabs>
          <w:tab w:leader="none" w:pos="220" w:val="left"/>
        </w:tabs>
        <w:numPr>
          <w:ilvl w:val="0"/>
          <w:numId w:val="15"/>
        </w:numPr>
        <w:rPr>
          <w:rFonts w:ascii="Arial" w:cs="Arial" w:eastAsia="Arial" w:hAnsi="Arial"/>
          <w:sz w:val="17"/>
          <w:szCs w:val="17"/>
          <w:color w:val="auto"/>
          <w:vertAlign w:val="superscript"/>
        </w:rPr>
      </w:pPr>
      <w:r>
        <w:rPr>
          <w:rFonts w:ascii="Arial" w:cs="Arial" w:eastAsia="Arial" w:hAnsi="Arial"/>
          <w:sz w:val="11"/>
          <w:szCs w:val="11"/>
          <w:color w:val="auto"/>
        </w:rPr>
        <w:t>Determined based on taxable income calculated in accordance with income tax regulations, which may differ from amounts determined under GAAP.</w:t>
      </w:r>
    </w:p>
    <w:p>
      <w:pPr>
        <w:ind w:left="220" w:right="420" w:hanging="212"/>
        <w:spacing w:after="0" w:line="182" w:lineRule="auto"/>
        <w:tabs>
          <w:tab w:leader="none" w:pos="220" w:val="left"/>
        </w:tabs>
        <w:numPr>
          <w:ilvl w:val="0"/>
          <w:numId w:val="15"/>
        </w:numPr>
        <w:rPr>
          <w:rFonts w:ascii="Arial" w:cs="Arial" w:eastAsia="Arial" w:hAnsi="Arial"/>
          <w:sz w:val="21"/>
          <w:szCs w:val="21"/>
          <w:color w:val="auto"/>
          <w:vertAlign w:val="superscript"/>
        </w:rPr>
      </w:pPr>
      <w:r>
        <w:rPr>
          <w:rFonts w:ascii="Arial" w:cs="Arial" w:eastAsia="Arial" w:hAnsi="Arial"/>
          <w:sz w:val="13"/>
          <w:szCs w:val="13"/>
          <w:color w:val="auto"/>
        </w:rPr>
        <w:t>Not annualized for a period of less than a year. Based on the change in market price per share during the periods and takes into account distributions, if any, reinvested in accordance with our dividend reinvestment plan.</w:t>
      </w:r>
    </w:p>
    <w:p>
      <w:pPr>
        <w:ind w:left="220" w:hanging="212"/>
        <w:spacing w:after="0" w:line="182" w:lineRule="auto"/>
        <w:tabs>
          <w:tab w:leader="none" w:pos="220" w:val="left"/>
        </w:tabs>
        <w:numPr>
          <w:ilvl w:val="0"/>
          <w:numId w:val="15"/>
        </w:numPr>
        <w:rPr>
          <w:rFonts w:ascii="Arial" w:cs="Arial" w:eastAsia="Arial" w:hAnsi="Arial"/>
          <w:sz w:val="17"/>
          <w:szCs w:val="17"/>
          <w:color w:val="auto"/>
          <w:vertAlign w:val="superscript"/>
        </w:rPr>
      </w:pPr>
      <w:r>
        <w:rPr>
          <w:rFonts w:ascii="Arial" w:cs="Arial" w:eastAsia="Arial" w:hAnsi="Arial"/>
          <w:sz w:val="11"/>
          <w:szCs w:val="11"/>
          <w:color w:val="auto"/>
        </w:rPr>
        <w:t>Unaudited, at year end.</w:t>
      </w:r>
    </w:p>
    <w:p>
      <w:pPr>
        <w:ind w:left="220" w:hanging="212"/>
        <w:spacing w:after="0" w:line="185" w:lineRule="auto"/>
        <w:tabs>
          <w:tab w:leader="none" w:pos="220" w:val="left"/>
        </w:tabs>
        <w:numPr>
          <w:ilvl w:val="0"/>
          <w:numId w:val="15"/>
        </w:numPr>
        <w:rPr>
          <w:rFonts w:ascii="Arial" w:cs="Arial" w:eastAsia="Arial" w:hAnsi="Arial"/>
          <w:sz w:val="18"/>
          <w:szCs w:val="18"/>
          <w:color w:val="auto"/>
          <w:vertAlign w:val="superscript"/>
        </w:rPr>
      </w:pPr>
      <w:r>
        <w:rPr>
          <w:rFonts w:ascii="Arial" w:cs="Arial" w:eastAsia="Arial" w:hAnsi="Arial"/>
          <w:sz w:val="12"/>
          <w:szCs w:val="12"/>
          <w:color w:val="auto"/>
        </w:rPr>
        <w:t>Included start-up and organizational costs.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Q3</w:t>
            </w:r>
          </w:p>
        </w:tc>
        <w:tc>
          <w:tcPr>
            <w:tcW w:w="240" w:type="dxa"/>
            <w:vAlign w:val="bottom"/>
          </w:tcPr>
          <w:p>
            <w:pPr>
              <w:spacing w:after="0"/>
              <w:rPr>
                <w:sz w:val="12"/>
                <w:szCs w:val="12"/>
                <w:color w:val="auto"/>
              </w:rPr>
            </w:pPr>
          </w:p>
        </w:tc>
        <w:tc>
          <w:tcPr>
            <w:tcW w:w="68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Q2</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5,320</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4,363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3,725</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3,228</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(3,043)</w:t>
            </w: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2,829</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2,278</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4,942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7,237</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6,057</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14.40</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14.52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14.46</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r>
      <w:tr>
        <w:trPr>
          <w:trHeight w:val="365"/>
        </w:trPr>
        <w:tc>
          <w:tcPr>
            <w:tcW w:w="2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Q3</w:t>
            </w:r>
          </w:p>
        </w:tc>
        <w:tc>
          <w:tcPr>
            <w:tcW w:w="240" w:type="dxa"/>
            <w:vAlign w:val="bottom"/>
          </w:tcPr>
          <w:p>
            <w:pPr>
              <w:spacing w:after="0"/>
              <w:rPr>
                <w:sz w:val="12"/>
                <w:szCs w:val="12"/>
                <w:color w:val="auto"/>
              </w:rPr>
            </w:pPr>
          </w:p>
        </w:tc>
        <w:tc>
          <w:tcPr>
            <w:tcW w:w="68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Q2</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3,581</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3,217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1,666</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2,059</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5,447</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1,567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3,206</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1,765</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14.10</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13.98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14.10</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w:t>
            </w:r>
          </w:p>
        </w:tc>
      </w:tr>
      <w:tr>
        <w:trPr>
          <w:trHeight w:val="365"/>
        </w:trPr>
        <w:tc>
          <w:tcPr>
            <w:tcW w:w="2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Q3</w:t>
            </w:r>
          </w:p>
        </w:tc>
        <w:tc>
          <w:tcPr>
            <w:tcW w:w="240" w:type="dxa"/>
            <w:vAlign w:val="bottom"/>
          </w:tcPr>
          <w:p>
            <w:pPr>
              <w:spacing w:after="0"/>
              <w:rPr>
                <w:sz w:val="12"/>
                <w:szCs w:val="12"/>
                <w:color w:val="auto"/>
              </w:rPr>
            </w:pPr>
          </w:p>
        </w:tc>
        <w:tc>
          <w:tcPr>
            <w:tcW w:w="68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Q2</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1,544</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1,846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1,545</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3,944</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387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4,525</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3,105</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13.98</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13.94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14.12</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r>
      <w:tr>
        <w:trPr>
          <w:trHeight w:val="108"/>
        </w:trPr>
        <w:tc>
          <w:tcPr>
            <w:tcW w:w="240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 Based on the weighted average shares outstanding for the respective periods.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132"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8"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second lien, high yield, mezzanine and distressed debt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116"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dividends, if any, on investment securities that we hold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Our primary operating expenses include the payment of a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Credit Facility. We bear all other direct or indirect costs and expenses of our operations and transactions, including:</w:t>
      </w:r>
    </w:p>
    <w:p>
      <w:pPr>
        <w:spacing w:after="0" w:line="62" w:lineRule="exact"/>
        <w:rPr>
          <w:sz w:val="20"/>
          <w:szCs w:val="20"/>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76"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40" w:lineRule="exact"/>
        <w:rPr>
          <w:sz w:val="20"/>
          <w:szCs w:val="20"/>
          <w:color w:val="auto"/>
        </w:rPr>
      </w:pPr>
    </w:p>
    <w:p>
      <w:pPr>
        <w:jc w:val="both"/>
        <w:ind w:right="280" w:firstLine="571"/>
        <w:spacing w:after="0" w:line="306" w:lineRule="auto"/>
        <w:rPr>
          <w:sz w:val="20"/>
          <w:szCs w:val="20"/>
          <w:color w:val="auto"/>
        </w:rPr>
      </w:pPr>
      <w:r>
        <w:rPr>
          <w:rFonts w:ascii="Arial" w:cs="Arial" w:eastAsia="Arial" w:hAnsi="Arial"/>
          <w:sz w:val="16"/>
          <w:szCs w:val="16"/>
          <w:color w:val="auto"/>
        </w:rPr>
        <w:t>The SEC requires that “Total Estimated Annual Expenses” be calculated as a percentage of average net assets in the table on page 4 of this prospectus rather than as a percentage of average total assets. Total assets include assets that have been funded with borrowed money (leverage). For reference, the table below illustrates our “Total Estimated Annual Expenses” as a percentage of average total assets:</w:t>
      </w:r>
    </w:p>
    <w:p>
      <w:pPr>
        <w:spacing w:after="0" w:line="101"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620" w:type="dxa"/>
            <w:vAlign w:val="bottom"/>
            <w:gridSpan w:val="2"/>
          </w:tcPr>
          <w:p>
            <w:pPr>
              <w:ind w:left="1200"/>
              <w:spacing w:after="0"/>
              <w:rPr>
                <w:sz w:val="20"/>
                <w:szCs w:val="20"/>
                <w:color w:val="auto"/>
              </w:rPr>
            </w:pPr>
            <w:r>
              <w:rPr>
                <w:rFonts w:ascii="Arial" w:cs="Arial" w:eastAsia="Arial" w:hAnsi="Arial"/>
                <w:sz w:val="18"/>
                <w:szCs w:val="18"/>
                <w:b w:val="1"/>
                <w:bCs w:val="1"/>
                <w:color w:val="auto"/>
                <w:w w:val="87"/>
              </w:rPr>
              <w:t>Estimated Annual Expenses (as a Percentage of Average Total Assets</w:t>
            </w:r>
            <w:r>
              <w:rPr>
                <w:rFonts w:ascii="Arial" w:cs="Arial" w:eastAsia="Arial" w:hAnsi="Arial"/>
                <w:sz w:val="11"/>
                <w:szCs w:val="11"/>
                <w:b w:val="1"/>
                <w:bCs w:val="1"/>
                <w:color w:val="auto"/>
                <w:w w:val="87"/>
              </w:rPr>
              <w:t>(1)</w:t>
            </w:r>
            <w:r>
              <w:rPr>
                <w:rFonts w:ascii="Arial" w:cs="Arial" w:eastAsia="Arial" w:hAnsi="Arial"/>
                <w:sz w:val="18"/>
                <w:szCs w:val="18"/>
                <w:b w:val="1"/>
                <w:bCs w:val="1"/>
                <w:color w:val="auto"/>
                <w:w w:val="87"/>
              </w:rPr>
              <w:t>)</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1.00 % </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Incentive fees</w:t>
            </w:r>
          </w:p>
        </w:tc>
        <w:tc>
          <w:tcPr>
            <w:tcW w:w="780" w:type="dxa"/>
            <w:vAlign w:val="bottom"/>
          </w:tcPr>
          <w:p>
            <w:pPr>
              <w:jc w:val="right"/>
              <w:spacing w:after="0"/>
              <w:rPr>
                <w:sz w:val="20"/>
                <w:szCs w:val="20"/>
                <w:color w:val="auto"/>
              </w:rPr>
            </w:pPr>
            <w:r>
              <w:rPr>
                <w:rFonts w:ascii="Arial" w:cs="Arial" w:eastAsia="Arial" w:hAnsi="Arial"/>
                <w:sz w:val="18"/>
                <w:szCs w:val="18"/>
                <w:color w:val="auto"/>
              </w:rPr>
              <w:t xml:space="preserve">1.20 % </w:t>
            </w:r>
            <w:r>
              <w:rPr>
                <w:rFonts w:ascii="Arial" w:cs="Arial" w:eastAsia="Arial" w:hAnsi="Arial"/>
                <w:sz w:val="11"/>
                <w:szCs w:val="11"/>
                <w:color w:val="auto"/>
              </w:rPr>
              <w:t>(3)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borrowed funds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0.97 % </w:t>
            </w:r>
            <w:r>
              <w:rPr>
                <w:rFonts w:ascii="Arial" w:cs="Arial" w:eastAsia="Arial" w:hAnsi="Arial"/>
                <w:sz w:val="11"/>
                <w:szCs w:val="11"/>
                <w:color w:val="auto"/>
              </w:rPr>
              <w:t>(4)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expenses</w:t>
            </w: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0.62 % </w:t>
            </w:r>
            <w:r>
              <w:rPr>
                <w:rFonts w:ascii="Arial" w:cs="Arial" w:eastAsia="Arial" w:hAnsi="Arial"/>
                <w:sz w:val="11"/>
                <w:szCs w:val="11"/>
                <w:color w:val="auto"/>
              </w:rPr>
              <w:t>(5)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3.79 % </w:t>
            </w:r>
            <w:r>
              <w:rPr>
                <w:rFonts w:ascii="Arial" w:cs="Arial" w:eastAsia="Arial" w:hAnsi="Arial"/>
                <w:sz w:val="11"/>
                <w:szCs w:val="11"/>
                <w:color w:val="auto"/>
              </w:rPr>
              <w:t>(6)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Average total assets attributable to common shares equals average adjusted gross assets for the three months ended September 30, 2014.</w:t>
      </w:r>
    </w:p>
    <w:p>
      <w:pPr>
        <w:spacing w:after="0" w:line="68"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right="20" w:hanging="332"/>
        <w:spacing w:after="0" w:line="266" w:lineRule="auto"/>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three months ended September 30, 2014,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three months ended September 30, 2014.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340" w:right="40" w:hanging="332"/>
        <w:spacing w:after="0" w:line="228"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September 30, 2014, we had $146.4 million in borrowings outstanding under our $200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59" w:lineRule="exact"/>
        <w:rPr>
          <w:rFonts w:ascii="Arial" w:cs="Arial" w:eastAsia="Arial" w:hAnsi="Arial"/>
          <w:sz w:val="14"/>
          <w:szCs w:val="14"/>
          <w:color w:val="auto"/>
        </w:rPr>
      </w:pPr>
    </w:p>
    <w:p>
      <w:pPr>
        <w:ind w:left="340" w:right="40" w:hanging="332"/>
        <w:spacing w:after="0" w:line="233"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2014, annualized for a full year.</w:t>
      </w:r>
    </w:p>
    <w:p>
      <w:pPr>
        <w:spacing w:after="0" w:line="57"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September 30, 2014.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77"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As of September 30, 2014, our portfolio totaled $348.4 million and consisted of $302.5 million of senior secured loans, $36.5 million of second lien secured debt and $9.4 million of subordinated debt, preferred and common equity. Our debt portfolio consisted of 95% variable-rate investments (including 92% with a LIBOR or prime floor) and 5% fixed-rate investments. As of September 30, 2014, we had one non-accrual debt investment, representing 0.6% of our overall portfolio on a cost basis. Overall, the portfolio had net unrealized appreciation of $0.1 million. Our overall portfolio consisted of 72 companies with an average investment size of $4.8 million, had a weighted average yield on debt investments of 8.2%, and was invested 87% in senior secured loans, 10% in second lien secured debt and 3% in subordinated debt, preferred and common equity.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As of September 30, 2013, our portfolio totaled $317.8 million and consisted of $281.0 million of senior secured loans, $27.5 million of second lien secured debt and $9.3 million of subordinated debt, preferred and common equity. Our debt portfolio consisted of 92% variable-rate investments (including 89% with a LIBOR or prime floor) and 8% fixed-rate investments. Overall, the portfolio had net unrealized depreciation of $1.5 million. Our overall portfolio consisted of 83 companies with an average investment size of $3.8 million, had a weighted average yield on debt investments of 8.1%, and was invested 88% in senior secured loans, 9% in second lien secured debt and 3% in subordinated debt, preferred and common equity.</w:t>
      </w:r>
    </w:p>
    <w:p>
      <w:pPr>
        <w:spacing w:after="0" w:line="89"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For the fiscal year ended September 30, 2014, we invested $248.1 million of investments in 36 new and 33 existing portfolio companies with a weighted average yield on debt investments of 8.2%. Sales and repayments of investments for the year ended September 30, 2014 totaled $225.6 million.</w:t>
      </w:r>
    </w:p>
    <w:p>
      <w:pPr>
        <w:spacing w:after="0" w:line="58"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For the fiscal year ended September 30, 2013, we invested $316.5 million of investments in 75 new and 19 existing portfolio companies with a weighted average yield on debt investments of 7.9%. Sales and repayments of investments for the year ended September 30, 2013 totaled $174.9 million.</w:t>
      </w:r>
    </w:p>
    <w:p>
      <w:pPr>
        <w:spacing w:after="0" w:line="58" w:lineRule="exact"/>
        <w:rPr>
          <w:sz w:val="20"/>
          <w:szCs w:val="20"/>
          <w:color w:val="auto"/>
        </w:rPr>
      </w:pPr>
    </w:p>
    <w:p>
      <w:pPr>
        <w:ind w:right="560" w:firstLine="571"/>
        <w:spacing w:after="0" w:line="370" w:lineRule="auto"/>
        <w:rPr>
          <w:sz w:val="20"/>
          <w:szCs w:val="20"/>
          <w:color w:val="auto"/>
        </w:rPr>
      </w:pPr>
      <w:r>
        <w:rPr>
          <w:rFonts w:ascii="Arial" w:cs="Arial" w:eastAsia="Arial" w:hAnsi="Arial"/>
          <w:sz w:val="15"/>
          <w:szCs w:val="15"/>
          <w:color w:val="auto"/>
        </w:rPr>
        <w:t>For the fiscal year ended September 30, 2012, we invested $128.7 million of investments in 47 new and seven existing portfolio companies with a weighted average yield on debt investments of 8.9%. Sales and repayments of investments for the year ended September 30, 2012 totaled $71.3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The preparation of our Consolidated Financial Statements in confomity with U.S. GAAP requires management to make estimates and assumptions that affect the reported amounts of our assets and liabilities at the date of the Consolidated Financial Statements and the reported amounts of income and expenses during the reporting periods. Actual results could differ from these estimates due to changes in the economic and regulatory environment, financial markets and any other parameters used in determining such estimates. We reclassified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below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91"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7" w:lineRule="exact"/>
        <w:rPr>
          <w:sz w:val="20"/>
          <w:szCs w:val="20"/>
          <w:color w:val="auto"/>
        </w:rPr>
      </w:pPr>
    </w:p>
    <w:p>
      <w:pPr>
        <w:ind w:left="900" w:right="4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7"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12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93"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58" w:lineRule="exact"/>
        <w:rPr>
          <w:sz w:val="20"/>
          <w:szCs w:val="20"/>
          <w:color w:val="auto"/>
        </w:rPr>
      </w:pPr>
    </w:p>
    <w:p>
      <w:pPr>
        <w:ind w:left="1700" w:right="1660" w:hanging="769"/>
        <w:spacing w:after="0" w:line="268" w:lineRule="auto"/>
        <w:tabs>
          <w:tab w:leader="none" w:pos="168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ind w:left="1700" w:right="940" w:hanging="769"/>
        <w:spacing w:after="0" w:line="306" w:lineRule="auto"/>
        <w:tabs>
          <w:tab w:leader="none" w:pos="16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3" w:lineRule="exact"/>
        <w:rPr>
          <w:sz w:val="20"/>
          <w:szCs w:val="20"/>
          <w:color w:val="auto"/>
        </w:rPr>
      </w:pPr>
    </w:p>
    <w:p>
      <w:pPr>
        <w:ind w:left="1700" w:right="1380" w:hanging="769"/>
        <w:spacing w:after="0" w:line="268" w:lineRule="auto"/>
        <w:tabs>
          <w:tab w:leader="none" w:pos="168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05"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86"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3"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$0.7 million, $0.4 million and $0.3 million, relating to amendment fees on the Credit Facility during the years ended September 30, 2014, 2013 and 2012,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2014, 2013 and 2012, our Credit Facility had a net change in unrealized (appreciation) depreciation of $(0.5) million, $(0.4) million and $0.4 million, respectively. As of September 30, 2014 and 2013, the net unrealized appreciation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a reason to doubt our ability to collect such interest. Loan origination fees, OID and market discount or premium and deferred financing costs are capitalized, on liabilities which we do not fair value, and then accreted or amortized using the effective interest method. We record prepayment penalties on loans and debt investments as income. Dividend income, if any, is recognized on an accrual basis on the ex-dividend date to the extent that we expect to collect such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firstLine="571"/>
        <w:spacing w:after="0" w:line="323" w:lineRule="auto"/>
        <w:rPr>
          <w:sz w:val="20"/>
          <w:szCs w:val="20"/>
          <w:color w:val="auto"/>
        </w:rPr>
      </w:pPr>
      <w:r>
        <w:rPr>
          <w:rFonts w:ascii="Arial" w:cs="Arial" w:eastAsia="Arial" w:hAnsi="Arial"/>
          <w:sz w:val="15"/>
          <w:szCs w:val="15"/>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 and Credit Facility during the reporting period, including any reversal of previously recorded unrealized appreciation or depreciation, when gains or losses are realized.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may not collect any cash with respect to interest on PIK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 income (i.e., the excess, if any, of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96"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the results of operations for the years ended September 30, 2014, 2013 and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Investment income for the year ended September 30, 2014 was $30.4 million and was attributable to $24.5 million from senior secured loans, $4.2 million from second lien secured debt and $1.7 million from subordinated debt. The increase in investment income over the prior year is primarily due to the growth of our portfolio.</w:t>
      </w:r>
    </w:p>
    <w:p>
      <w:pPr>
        <w:spacing w:after="0" w:line="113"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Investment income for the year ended September 30, 2013 was $18.9 million and was attributable to $16.0 million from senior secured loans, $1.6 million from second lien secured debt and $1.3 million from subordinated debt. The increase in investment income over the prior year is primarily the result of deploying our proceeds from our equity offerings and increased borrowings under our Credit Facility.</w:t>
      </w:r>
    </w:p>
    <w:p>
      <w:pPr>
        <w:spacing w:after="0" w:line="113"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Investment income for the year ended September 30, 2012 was $12.1 million and was attributable to $9.9 million from senior secured loans, $1.0 million from second lien secured debt and $1.2 million from subordinated debt. The increase in interest income over the prior year was due to both a full year of operation and the increased size of our portfolio.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Expenses for the year ended September 30, 2014 totaled $13.7 million. Base management fee for the same period totaled $3.7 million, incentive fee totaled $3.5 million (including $0.1 million on net unrealized gains accrued but not payable), Credit Facility expenses totaled $4.2 million (including $0.7 million of Credit Facility amendment expenses), general and administrative expenses totaled $1.8 million and excise taxes were $0.5 million. The increase in base management fee, incentive fee and Credit Facility expenses was due to the growth of our portfolio and expanding our borrowing capacity under our Credit Facility.</w:t>
      </w:r>
    </w:p>
    <w:p>
      <w:pPr>
        <w:spacing w:after="0" w:line="11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Expenses for the year ended September 30, 2013 totaled $8.3 million. Base management fee for the same period totaled $2.2 million, incentive fee totaled $1.9 million, Credit Facility expenses totaled $2.3 million (including $0.4 million of Credit Facility amendment expenses), general and administrative expenses totaled $1.8 million and excise taxes were $0.1 million. The increase in expenses was due to the growth of our portfolio and expanding our borrowing capacity under our Credit Facility.</w:t>
      </w:r>
    </w:p>
    <w:p>
      <w:pPr>
        <w:spacing w:after="0" w:line="116"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Expenses for the year ended September 30, 2012 totaled $5.8 million. Base management fee for the same period totaled $1.5 million, incentive fee totaled $0.6 million, Credit Facility expenses totaled $1.8 million (including $0.3 million of Credit Facility amendment expenses) and general and administrative expenses totaled $1.9 million. We expect our Credit Facility expenses and management fee to continue to increase as a result of growth in our portfolio. Additionally, general and administrative costs increased over the prior year due to a full year of operation.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Net investment income totaled $16.6 million or $1.12 per share, $10.5 million or $1.10 per share and $6.3 million or $0.92 per share, for the fiscal years ended September 30, 2014, 2013 and 2012, respectively. The increase in net investment income was due to a larger portfolio, which was partially offset by Credit Facility amendment costs.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Sales and repayments of investments for the years ended September 30, 2014, 2013 and 2012 totaled $225.6 million, $174.9 million and $71.3 million, respectively. Net realized gains totaled $2.9 million, $3.6 million and $0.9 million for the same periods, respectively. The decrease in realized gains over the prior year was driven by changes in market conditions of our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280" w:firstLine="571"/>
        <w:spacing w:after="0" w:line="306" w:lineRule="auto"/>
        <w:rPr>
          <w:sz w:val="20"/>
          <w:szCs w:val="20"/>
          <w:color w:val="auto"/>
        </w:rPr>
      </w:pPr>
      <w:r>
        <w:rPr>
          <w:rFonts w:ascii="Arial" w:cs="Arial" w:eastAsia="Arial" w:hAnsi="Arial"/>
          <w:sz w:val="16"/>
          <w:szCs w:val="16"/>
          <w:color w:val="auto"/>
        </w:rPr>
        <w:t>For the years ended September 30, 2014, 2013 and 2012, we reported unrealized appreciation (depreciation) on investments of $1.6 million, $(1.7) million and $4.4 million, respectively. As of September 30, 2014 and 2013, net unrealized appreciation (depreciation) on investments totaled $0.1 million and $(1.5) million, respectively. The change compared to prior year was the result of the overall variation in the leveraged finance markets.</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the years ended September 30, 2014, 2013 and 2012, our Credit Facility had a change in unrealized (appreciation) depreciation of $(0.5)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$0.4 million, respectively. As of September 30, 2014 and 2013, net unrealized appreciation on our Credit Facility totaled $0.5 million and zero,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 The change compared to prior year was due to changes in the capital markets.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Net change in net assets resulting from operations totaled $20.5 million or $1.38 per share, $12.0 million or $1.25 per share and $12.0 million or $1.75 per share, for the fiscal years ended September 30, 2014, 2013 and 2012, respectively. We found attractive investment opportunities to grow net assets from operations.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16"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As of September 30, 2014, Funding I’s Credit Facility with the Lenders is $200 million, subject to satisfaction of certain conditions and the regulatory restrictions that the 1940 Act imposes on us as a BDC, has an interest rate spread above LIBOR of 200 basis points, a maturity date of May 2018 and a revolving period that ends in May 2016. As of September 30, 2014 and 2013, Funding I had $146.4 million and $99.6 million of outstanding borrowings under the Credit Facility, respectively, and carried an interest rate of 2.16% and 2.18%, respectively, excluding the 0.375% undrawn commitment fee. The weighted average cost of debt for the years ended September 30, 2014, 2013 and 2012, inclusive of the fee on the undrawn commitment on the Credit Facility but excluding amendment costs, was 2.35%, 2.59% and 3.21%, respectively. As of September 30, 2014 and 2013, we had $53.6 million and $25.4 million of unused borrowing capacity, respectively, subject to the regulatory restrictions that the 1940 Act imposes on us as a BDC.</w:t>
      </w:r>
    </w:p>
    <w:p>
      <w:pPr>
        <w:spacing w:after="0" w:line="91"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During the Credit Facility’s revolving period, which extends to May 2016,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86"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a complete list of such covenants see the second amended and restated revolving credit and security agreement filed as exhibit 10.1 to our Form 10-K filed November 14, 2013. As of September 30, 2014, we were in compliance with the covenants relating to our Credit Facility.</w:t>
      </w:r>
    </w:p>
    <w:p>
      <w:pPr>
        <w:spacing w:after="0" w:line="93"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3"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9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332" w:lineRule="auto"/>
        <w:rPr>
          <w:sz w:val="20"/>
          <w:szCs w:val="20"/>
          <w:color w:val="auto"/>
        </w:rPr>
      </w:pPr>
      <w:r>
        <w:rPr>
          <w:rFonts w:ascii="Arial" w:cs="Arial" w:eastAsia="Arial" w:hAnsi="Arial"/>
          <w:sz w:val="16"/>
          <w:szCs w:val="16"/>
          <w:color w:val="auto"/>
        </w:rPr>
        <w:t>In 2013, we completed follow-on public offerings of 8,038,700 shares of common stock for gross proceeds of $113.4 million and net proceeds of $112.3 million after offering expenses. Our Investment Adviser paid an aggregate of $2.9 million of the sales load associated with these offerings.</w:t>
      </w:r>
    </w:p>
    <w:p>
      <w:pPr>
        <w:spacing w:after="0" w:line="85" w:lineRule="exact"/>
        <w:rPr>
          <w:sz w:val="20"/>
          <w:szCs w:val="20"/>
          <w:color w:val="auto"/>
        </w:rPr>
      </w:pPr>
    </w:p>
    <w:p>
      <w:pPr>
        <w:ind w:right="380" w:firstLine="571"/>
        <w:spacing w:after="0" w:line="332" w:lineRule="auto"/>
        <w:rPr>
          <w:sz w:val="20"/>
          <w:szCs w:val="20"/>
          <w:color w:val="auto"/>
        </w:rPr>
      </w:pPr>
      <w:r>
        <w:rPr>
          <w:rFonts w:ascii="Arial" w:cs="Arial" w:eastAsia="Arial" w:hAnsi="Arial"/>
          <w:sz w:val="16"/>
          <w:szCs w:val="16"/>
          <w:color w:val="auto"/>
        </w:rPr>
        <w:t>On September 30, 2014 and September 30, 2013, we had cash equivalents of $13.1 million and $4.6 million, respectively, available for investing and general corporate purposes. We believe our liquidity and capital resources are sufficient to take advantage of market opportunities.</w:t>
      </w:r>
    </w:p>
    <w:p>
      <w:pPr>
        <w:spacing w:after="0" w:line="85"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Our operating activities used cash of $22.3 million for the year ended September 30, 2014, and our financing activities provided cash of $30.8 million for the same period. Our operating activities used cash primarily for our investment activities and our financing activities provided cash primarily from net draws under the Credit Facility.</w:t>
      </w:r>
    </w:p>
    <w:p>
      <w:pPr>
        <w:spacing w:after="0" w:line="140"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Our operating activities used cash of $124.4 million for the year ended September 30, 2013, and our financing activities provided cash of $125.1 million for the same period. Our operating activities used cash primarily for net investing that was provided from public offerings and net draws under the Credit Facility.</w:t>
      </w:r>
    </w:p>
    <w:p>
      <w:pPr>
        <w:spacing w:after="0" w:line="85" w:lineRule="exact"/>
        <w:rPr>
          <w:sz w:val="20"/>
          <w:szCs w:val="20"/>
          <w:color w:val="auto"/>
        </w:rPr>
      </w:pPr>
    </w:p>
    <w:p>
      <w:pPr>
        <w:ind w:right="60" w:firstLine="571"/>
        <w:spacing w:after="0" w:line="332" w:lineRule="auto"/>
        <w:rPr>
          <w:sz w:val="20"/>
          <w:szCs w:val="20"/>
          <w:color w:val="auto"/>
        </w:rPr>
      </w:pPr>
      <w:r>
        <w:rPr>
          <w:rFonts w:ascii="Arial" w:cs="Arial" w:eastAsia="Arial" w:hAnsi="Arial"/>
          <w:sz w:val="16"/>
          <w:szCs w:val="16"/>
          <w:color w:val="auto"/>
        </w:rPr>
        <w:t>Our operating activities used cash of $47.8 million for the year ended September 30, 2012, and our financing activities provided cash of $44.7 million for the same period. Our operating activities used cash primarily for net investing that was provided from net draws under the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summary of our significant contractual payment obligations as of September 30, 2014, including borrowings under our Credit Facility and other contractual obligations,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2"/>
              </w:rPr>
              <w:t>Payments due by period (millions)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ind w:right="9"/>
              <w:spacing w:after="0" w:line="129"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ind w:right="440"/>
              <w:spacing w:after="0" w:line="129" w:lineRule="exact"/>
              <w:rPr>
                <w:sz w:val="20"/>
                <w:szCs w:val="20"/>
                <w:color w:val="auto"/>
              </w:rPr>
            </w:pPr>
            <w:r>
              <w:rPr>
                <w:rFonts w:ascii="Arial" w:cs="Arial" w:eastAsia="Arial" w:hAnsi="Arial"/>
                <w:sz w:val="14"/>
                <w:szCs w:val="14"/>
                <w:b w:val="1"/>
                <w:bCs w:val="1"/>
                <w:color w:val="auto"/>
              </w:rPr>
              <w:t>1-3</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320"/>
              <w:spacing w:after="0" w:line="129" w:lineRule="exact"/>
              <w:rPr>
                <w:sz w:val="20"/>
                <w:szCs w:val="20"/>
                <w:color w:val="auto"/>
              </w:rPr>
            </w:pPr>
            <w:r>
              <w:rPr>
                <w:rFonts w:ascii="Arial" w:cs="Arial" w:eastAsia="Arial" w:hAnsi="Arial"/>
                <w:sz w:val="14"/>
                <w:szCs w:val="14"/>
                <w:b w:val="1"/>
                <w:bCs w:val="1"/>
                <w:color w:val="auto"/>
              </w:rPr>
              <w:t>3-5</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More than</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1"/>
              </w:rPr>
              <w:t>years</w:t>
            </w:r>
          </w:p>
        </w:tc>
        <w:tc>
          <w:tcPr>
            <w:tcW w:w="220" w:type="dxa"/>
            <w:vAlign w:val="bottom"/>
          </w:tcPr>
          <w:p>
            <w:pPr>
              <w:spacing w:after="0"/>
              <w:rPr>
                <w:sz w:val="14"/>
                <w:szCs w:val="14"/>
                <w:color w:val="auto"/>
              </w:rPr>
            </w:pPr>
          </w:p>
        </w:tc>
        <w:tc>
          <w:tcPr>
            <w:tcW w:w="760" w:type="dxa"/>
            <w:vAlign w:val="bottom"/>
          </w:tcPr>
          <w:p>
            <w:pPr>
              <w:jc w:val="right"/>
              <w:ind w:right="260"/>
              <w:spacing w:after="0"/>
              <w:rPr>
                <w:sz w:val="20"/>
                <w:szCs w:val="20"/>
                <w:color w:val="auto"/>
              </w:rPr>
            </w:pPr>
            <w:r>
              <w:rPr>
                <w:rFonts w:ascii="Arial" w:cs="Arial" w:eastAsia="Arial" w:hAnsi="Arial"/>
                <w:sz w:val="14"/>
                <w:szCs w:val="14"/>
                <w:b w:val="1"/>
                <w:bCs w:val="1"/>
                <w:color w:val="auto"/>
              </w:rPr>
              <w:t>years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9"/>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84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7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(1) Unfunded investments described in the Consolidated Statements of Assets and Liabilities represent unfunded delayed draws on investments and/or revolving lines of credit.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2014,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86" w:lineRule="exact"/>
        <w:rPr>
          <w:sz w:val="20"/>
          <w:szCs w:val="20"/>
          <w:color w:val="auto"/>
        </w:rPr>
      </w:pPr>
    </w:p>
    <w:p>
      <w:pPr>
        <w:ind w:right="140" w:firstLine="571"/>
        <w:spacing w:after="0" w:line="254"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2014,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17"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8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purchased shares of our common stock in the secondary market.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currently engage in no off-balance sheet arrangements.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annually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distribute at least 90% of the sum of our ordinary income and realized net short-term capital gains in excess of realized net long-term capital losses, if any, out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assets legally available for distribution. Although not required for us to maintain our RIC tax status, in order to preclude the imposition of a 4% nondeductible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federal excise tax imposed on RICs, we must distribute during each calendar year an amount at least equal to the sum of (1) 98% of our net ordinary income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calendar year, (2) 98.2% of our capital gain net income (i.e., the excess, if any, of capital gains over capital losses) for the one-year period ending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31 of the calendar year and (3) the sum of any net ordinary income plus capital gain net income for preceding years that were not distributed during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In addition, although we may distribute realized net capital gains (i.e., net long-term capital gains in excess of short-term capital losses), if any,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annually, out of the assets legally available for such distributions in the manner described above, we have retained and may continue to retain such net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gains or net ordinary income to provide us with additional liquidity.</w:t>
      </w:r>
    </w:p>
    <w:p>
      <w:pPr>
        <w:spacing w:after="0" w:line="138"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During the years ended September 30, 2014, 2013 and 2012, we declared distributions of $1.08, $1.03 and $0.91 per share, respectively, for total distributions of $16.1 million, $10.0 million and $6.2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89"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determined by our board of directors quarterly.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1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86"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7"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2014, our debt portfolio consisted of 95% variable-rate investments (including 92% with a LIBOR or prime floor) and 5%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93"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5880" w:type="dxa"/>
            <w:vAlign w:val="bottom"/>
            <w:gridSpan w:val="4"/>
          </w:tcPr>
          <w:p>
            <w:pPr>
              <w:ind w:left="4340"/>
              <w:spacing w:after="0"/>
              <w:rPr>
                <w:sz w:val="20"/>
                <w:szCs w:val="20"/>
                <w:color w:val="auto"/>
              </w:rPr>
            </w:pPr>
            <w:r>
              <w:rPr>
                <w:rFonts w:ascii="Arial" w:cs="Arial" w:eastAsia="Arial" w:hAnsi="Arial"/>
                <w:sz w:val="14"/>
                <w:szCs w:val="14"/>
                <w:b w:val="1"/>
                <w:bCs w:val="1"/>
                <w:color w:val="auto"/>
              </w:rPr>
              <w:t>Change In Interest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Income, Net Of</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4340" w:type="dxa"/>
            <w:vAlign w:val="bottom"/>
          </w:tcPr>
          <w:p>
            <w:pPr>
              <w:spacing w:after="0"/>
              <w:rPr>
                <w:sz w:val="12"/>
                <w:szCs w:val="12"/>
                <w:color w:val="auto"/>
              </w:rPr>
            </w:pPr>
          </w:p>
        </w:tc>
        <w:tc>
          <w:tcPr>
            <w:tcW w:w="15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Interest Expense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7"/>
              </w:rPr>
              <w:t>(in thousands)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Up 1%</w:t>
            </w:r>
          </w:p>
        </w:tc>
        <w:tc>
          <w:tcPr>
            <w:tcW w:w="4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(1,372)</w:t>
            </w: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4440" w:type="dxa"/>
            <w:vAlign w:val="bottom"/>
            <w:gridSpan w:val="2"/>
          </w:tcPr>
          <w:p>
            <w:pPr>
              <w:ind w:left="43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c>
          <w:tcPr>
            <w:tcW w:w="4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4440" w:type="dxa"/>
            <w:vAlign w:val="bottom"/>
            <w:gridSpan w:val="2"/>
            <w:shd w:val="clear" w:color="auto" w:fill="CCEEFF"/>
          </w:tcPr>
          <w:p>
            <w:pPr>
              <w:ind w:left="43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4440" w:type="dxa"/>
            <w:vAlign w:val="bottom"/>
            <w:gridSpan w:val="2"/>
          </w:tcPr>
          <w:p>
            <w:pPr>
              <w:ind w:left="43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4,109</w:t>
            </w:r>
          </w:p>
        </w:tc>
        <w:tc>
          <w:tcPr>
            <w:tcW w:w="4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Information about our senior securities shown in the following table as of September 30,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8"/>
              </w:rPr>
              <w:t>Asset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6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(3)</w:t>
            </w:r>
          </w:p>
        </w:tc>
        <w:tc>
          <w:tcPr>
            <w:tcW w:w="0" w:type="dxa"/>
            <w:vAlign w:val="bottom"/>
          </w:tcPr>
          <w:p>
            <w:pPr>
              <w:spacing w:after="0"/>
              <w:rPr>
                <w:sz w:val="1"/>
                <w:szCs w:val="1"/>
                <w:color w:val="auto"/>
              </w:rPr>
            </w:pP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87"/>
              </w:rPr>
              <w:t>$146,400</w:t>
            </w:r>
          </w:p>
        </w:tc>
        <w:tc>
          <w:tcPr>
            <w:tcW w:w="120" w:type="dxa"/>
            <w:vAlign w:val="bottom"/>
          </w:tcPr>
          <w:p>
            <w:pPr>
              <w:spacing w:after="0"/>
              <w:rPr>
                <w:sz w:val="19"/>
                <w:szCs w:val="19"/>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7"/>
              </w:rPr>
              <w:t>$2,460</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$99,600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$3,109</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89"/>
              </w:rPr>
              <w:t>$75,500</w:t>
            </w:r>
          </w:p>
        </w:tc>
        <w:tc>
          <w:tcPr>
            <w:tcW w:w="120" w:type="dxa"/>
            <w:vAlign w:val="bottom"/>
          </w:tcPr>
          <w:p>
            <w:pPr>
              <w:spacing w:after="0"/>
              <w:rPr>
                <w:sz w:val="19"/>
                <w:szCs w:val="19"/>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7"/>
              </w:rPr>
              <w:t>$2,275</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$24,650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$4,735</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“PFLT.” The following table lists the high and low closing sale prices for our common stock, the closing sale prices as a premium or (discount) to our NAV per share and distributions per share since October 1, 2012. On January 9, 2015, the last reported closing price of our common stock was $13.92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Premium /</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Premium /</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(Discount)</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(Discount)</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Closing Sales Price</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of High Sales</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of Low Sales</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37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100" w:type="dxa"/>
            <w:vAlign w:val="bottom"/>
            <w:gridSpan w:val="4"/>
            <w:vMerge w:val="continue"/>
          </w:tcPr>
          <w:p>
            <w:pPr>
              <w:spacing w:after="0"/>
              <w:rPr>
                <w:sz w:val="6"/>
                <w:szCs w:val="6"/>
                <w:color w:val="auto"/>
              </w:rPr>
            </w:pPr>
          </w:p>
        </w:tc>
        <w:tc>
          <w:tcPr>
            <w:tcW w:w="116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89"/>
              </w:rPr>
              <w:t>Price to</w:t>
            </w:r>
          </w:p>
        </w:tc>
        <w:tc>
          <w:tcPr>
            <w:tcW w:w="9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Price to</w:t>
            </w:r>
          </w:p>
        </w:tc>
        <w:tc>
          <w:tcPr>
            <w:tcW w:w="60" w:type="dxa"/>
            <w:vAlign w:val="bottom"/>
          </w:tcPr>
          <w:p>
            <w:pPr>
              <w:spacing w:after="0"/>
              <w:rPr>
                <w:sz w:val="6"/>
                <w:szCs w:val="6"/>
                <w:color w:val="auto"/>
              </w:rPr>
            </w:pPr>
          </w:p>
        </w:tc>
        <w:tc>
          <w:tcPr>
            <w:tcW w:w="1140" w:type="dxa"/>
            <w:vAlign w:val="bottom"/>
            <w:gridSpan w:val="2"/>
            <w:vMerge w:val="restart"/>
          </w:tcPr>
          <w:p>
            <w:pPr>
              <w:jc w:val="right"/>
              <w:ind w:right="380"/>
              <w:spacing w:after="0" w:line="135" w:lineRule="exact"/>
              <w:rPr>
                <w:sz w:val="20"/>
                <w:szCs w:val="20"/>
                <w:color w:val="auto"/>
              </w:rPr>
            </w:pPr>
            <w:r>
              <w:rPr>
                <w:rFonts w:ascii="Arial" w:cs="Arial" w:eastAsia="Arial" w:hAnsi="Arial"/>
                <w:sz w:val="14"/>
                <w:szCs w:val="14"/>
                <w:b w:val="1"/>
                <w:bCs w:val="1"/>
                <w:color w:val="auto"/>
                <w:w w:val="85"/>
              </w:rPr>
              <w:t>Distributions</w:t>
            </w:r>
          </w:p>
        </w:tc>
        <w:tc>
          <w:tcPr>
            <w:tcW w:w="0" w:type="dxa"/>
            <w:vAlign w:val="bottom"/>
          </w:tcPr>
          <w:p>
            <w:pPr>
              <w:spacing w:after="0"/>
              <w:rPr>
                <w:sz w:val="1"/>
                <w:szCs w:val="1"/>
                <w:color w:val="auto"/>
              </w:rPr>
            </w:pPr>
          </w:p>
        </w:tc>
      </w:tr>
      <w:tr>
        <w:trPr>
          <w:trHeight w:val="35"/>
        </w:trPr>
        <w:tc>
          <w:tcPr>
            <w:tcW w:w="3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gridSpan w:val="2"/>
            <w:vMerge w:val="restart"/>
          </w:tcPr>
          <w:p>
            <w:pPr>
              <w:jc w:val="right"/>
              <w:ind w:right="260"/>
              <w:spacing w:after="0" w:line="197" w:lineRule="exact"/>
              <w:rPr>
                <w:sz w:val="20"/>
                <w:szCs w:val="20"/>
                <w:color w:val="auto"/>
              </w:rPr>
            </w:pPr>
            <w:r>
              <w:rPr>
                <w:rFonts w:ascii="Arial" w:cs="Arial" w:eastAsia="Arial" w:hAnsi="Arial"/>
                <w:sz w:val="22"/>
                <w:szCs w:val="22"/>
                <w:b w:val="1"/>
                <w:bCs w:val="1"/>
                <w:color w:val="auto"/>
                <w:vertAlign w:val="subscript"/>
              </w:rPr>
              <w:t>NAV</w:t>
            </w:r>
            <w:r>
              <w:rPr>
                <w:rFonts w:ascii="Arial" w:cs="Arial" w:eastAsia="Arial" w:hAnsi="Arial"/>
                <w:sz w:val="10"/>
                <w:szCs w:val="10"/>
                <w:b w:val="1"/>
                <w:bCs w:val="1"/>
                <w:color w:val="auto"/>
              </w:rPr>
              <w:t>(1)</w:t>
            </w:r>
          </w:p>
        </w:tc>
        <w:tc>
          <w:tcPr>
            <w:tcW w:w="18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0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High</w:t>
            </w: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c>
          <w:tcPr>
            <w:tcW w:w="1160" w:type="dxa"/>
            <w:vAlign w:val="bottom"/>
            <w:gridSpan w:val="2"/>
          </w:tcPr>
          <w:p>
            <w:pPr>
              <w:jc w:val="center"/>
              <w:ind w:right="38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 xml:space="preserve"> (2)</w:t>
            </w:r>
          </w:p>
        </w:tc>
        <w:tc>
          <w:tcPr>
            <w:tcW w:w="940" w:type="dxa"/>
            <w:vAlign w:val="bottom"/>
            <w:gridSpan w:val="2"/>
          </w:tcPr>
          <w:p>
            <w:pPr>
              <w:jc w:val="center"/>
              <w:ind w:right="20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 xml:space="preserve"> (2)</w:t>
            </w:r>
          </w:p>
        </w:tc>
        <w:tc>
          <w:tcPr>
            <w:tcW w:w="6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2015</w:t>
            </w: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Second quarter (as of January 9, 2015)</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  N/A</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  14.13</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  13.80</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  0.0900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14.23</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12.98</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0.2700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2014</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14.39</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13.75</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0.2700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14.52</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14.29</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13.61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0.2700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14.27</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13.51</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0.2700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14.24</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13.93</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13.14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0.2675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14.10</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14.60</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13.01</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0.2625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14.90</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13.82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0.2625</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14.10</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14.43</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12.94</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0.2550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13.30</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12.35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0.2475</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060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12" w:lineRule="exact"/>
        <w:rPr>
          <w:sz w:val="20"/>
          <w:szCs w:val="20"/>
          <w:color w:val="auto"/>
        </w:rPr>
      </w:pPr>
    </w:p>
    <w:p>
      <w:pPr>
        <w:ind w:left="220" w:right="80" w:hanging="212"/>
        <w:spacing w:after="0" w:line="230" w:lineRule="auto"/>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220" w:hanging="212"/>
        <w:spacing w:after="0" w:line="221" w:lineRule="auto"/>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Calculated as the respective high or low closing sales price less NAV per share, divided by the quarter-end NAV per share.</w:t>
      </w: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a dividend of $0.0900 per share payable on February 2, 2015 to stockholders of record as of January 21, 2015.</w:t>
      </w:r>
    </w:p>
    <w:p>
      <w:pPr>
        <w:spacing w:after="0" w:line="113"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$13.78 on both September 30, 2014 and 2013. Our NAV per share was $14.40 and $14.10 as of September 30, 2014 and 2013,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2014 we had five stockholders of record.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right="240" w:firstLine="571"/>
        <w:spacing w:after="0" w:line="306"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26" w:lineRule="exact"/>
        <w:rPr>
          <w:sz w:val="20"/>
          <w:szCs w:val="20"/>
          <w:color w:val="auto"/>
        </w:rPr>
      </w:pPr>
    </w:p>
    <w:p>
      <w:pPr>
        <w:ind w:left="660" w:right="200" w:hanging="314"/>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 per share by which the offering price per share and the net proceeds per share are less than the most recently determined NAV per share;</w:t>
      </w:r>
    </w:p>
    <w:p>
      <w:pPr>
        <w:spacing w:after="0" w:line="113" w:lineRule="exact"/>
        <w:rPr>
          <w:rFonts w:ascii="Arial" w:cs="Arial" w:eastAsia="Arial" w:hAnsi="Arial"/>
          <w:sz w:val="16"/>
          <w:szCs w:val="16"/>
          <w:color w:val="auto"/>
        </w:rPr>
      </w:pPr>
    </w:p>
    <w:p>
      <w:pPr>
        <w:ind w:left="660" w:right="40" w:hanging="314"/>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660" w:right="140" w:hanging="314"/>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0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65"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660" w:hanging="31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8" w:lineRule="exact"/>
        <w:rPr>
          <w:sz w:val="20"/>
          <w:szCs w:val="20"/>
          <w:color w:val="auto"/>
        </w:rPr>
      </w:pPr>
    </w:p>
    <w:p>
      <w:pPr>
        <w:jc w:val="both"/>
        <w:ind w:right="22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100" w:firstLine="571"/>
        <w:spacing w:after="0" w:line="254"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86"/>
              </w:rPr>
              <w:t>Example 1</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86"/>
              </w:rPr>
              <w:t>Example 2</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00" w:type="dxa"/>
            <w:vAlign w:val="bottom"/>
            <w:gridSpan w:val="4"/>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Prior to Sale</w:t>
            </w:r>
          </w:p>
        </w:tc>
        <w:tc>
          <w:tcPr>
            <w:tcW w:w="100" w:type="dxa"/>
            <w:vAlign w:val="bottom"/>
          </w:tcPr>
          <w:p>
            <w:pPr>
              <w:spacing w:after="0"/>
              <w:rPr>
                <w:sz w:val="14"/>
                <w:szCs w:val="14"/>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00" w:type="dxa"/>
            <w:vAlign w:val="bottom"/>
            <w:gridSpan w:val="4"/>
          </w:tcPr>
          <w:p>
            <w:pPr>
              <w:jc w:val="center"/>
              <w:ind w:right="17"/>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Following</w:t>
            </w:r>
          </w:p>
        </w:tc>
        <w:tc>
          <w:tcPr>
            <w:tcW w:w="56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Following</w:t>
            </w:r>
          </w:p>
        </w:tc>
        <w:tc>
          <w:tcPr>
            <w:tcW w:w="60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Following</w:t>
            </w:r>
          </w:p>
        </w:tc>
        <w:tc>
          <w:tcPr>
            <w:tcW w:w="72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Sale</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9"/>
                <w:szCs w:val="19"/>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w w:val="84"/>
              </w:rPr>
              <w:t>1,000,000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4"/>
              </w:rPr>
              <w:t>1,050,000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6"/>
              </w:rPr>
              <w:t>5.00 %</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87"/>
              </w:rPr>
              <w:t>1,100,000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87"/>
              </w:rPr>
              <w:t>1,250,000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85"/>
              </w:rPr>
              <w:t>(0.20)%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1"/>
              </w:rPr>
              <w:t>(0.90)%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9"/>
                <w:szCs w:val="19"/>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5"/>
              </w:rPr>
              <w:t>(5.00)%</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0.91%</w:t>
            </w: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(9.00)%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99,800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5"/>
              </w:rPr>
              <w:t>(0.20)%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99,100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(0.90)%</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580"/>
              <w:spacing w:after="0"/>
              <w:rPr>
                <w:sz w:val="20"/>
                <w:szCs w:val="20"/>
                <w:color w:val="auto"/>
              </w:rPr>
            </w:pPr>
            <w:r>
              <w:rPr>
                <w:rFonts w:ascii="Arial" w:cs="Arial" w:eastAsia="Arial" w:hAnsi="Arial"/>
                <w:sz w:val="18"/>
                <w:szCs w:val="18"/>
                <w:color w:val="auto"/>
                <w:w w:val="79"/>
              </w:rPr>
              <w:t>48</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Total investment by stockholder A (assumed to be $10.00 per share)</w:t>
      </w:r>
    </w:p>
    <w:p>
      <w:pPr>
        <w:spacing w:after="0" w:line="37" w:lineRule="exact"/>
        <w:rPr>
          <w:sz w:val="20"/>
          <w:szCs w:val="20"/>
          <w:color w:val="auto"/>
        </w:rPr>
      </w:pPr>
    </w:p>
    <w:p>
      <w:pPr>
        <w:ind w:left="440" w:right="420"/>
        <w:spacing w:after="0" w:line="268" w:lineRule="auto"/>
        <w:rPr>
          <w:sz w:val="20"/>
          <w:szCs w:val="20"/>
          <w:color w:val="auto"/>
        </w:rPr>
      </w:pPr>
      <w:r>
        <w:rPr>
          <w:rFonts w:ascii="Arial" w:cs="Arial" w:eastAsia="Arial" w:hAnsi="Arial"/>
          <w:sz w:val="18"/>
          <w:szCs w:val="18"/>
          <w:color w:val="auto"/>
        </w:rPr>
        <w:t>Total dilution to stockholder A (total NAV less total investment)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Amounts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left="367"/>
              <w:spacing w:after="0"/>
              <w:rPr>
                <w:sz w:val="20"/>
                <w:szCs w:val="20"/>
                <w:color w:val="auto"/>
              </w:rPr>
            </w:pPr>
            <w:r>
              <w:rPr>
                <w:rFonts w:ascii="Arial" w:cs="Arial" w:eastAsia="Arial" w:hAnsi="Arial"/>
                <w:sz w:val="14"/>
                <w:szCs w:val="14"/>
                <w:b w:val="1"/>
                <w:bCs w:val="1"/>
                <w:color w:val="auto"/>
                <w:w w:val="86"/>
              </w:rPr>
              <w:t>Example 1</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89"/>
              </w:rPr>
              <w:t>Example 2</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20" w:type="dxa"/>
            <w:vAlign w:val="bottom"/>
          </w:tcPr>
          <w:p>
            <w:pPr>
              <w:spacing w:after="0"/>
              <w:rPr>
                <w:sz w:val="12"/>
                <w:szCs w:val="12"/>
                <w:color w:val="auto"/>
              </w:rPr>
            </w:pPr>
          </w:p>
        </w:tc>
        <w:tc>
          <w:tcPr>
            <w:tcW w:w="1580" w:type="dxa"/>
            <w:vAlign w:val="bottom"/>
            <w:gridSpan w:val="4"/>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8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4"/>
              </w:rPr>
              <w:t>Prior to Sale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at 5% Discount</w:t>
            </w:r>
          </w:p>
        </w:tc>
        <w:tc>
          <w:tcPr>
            <w:tcW w:w="120" w:type="dxa"/>
            <w:vAlign w:val="bottom"/>
          </w:tcPr>
          <w:p>
            <w:pPr>
              <w:spacing w:after="0"/>
              <w:rPr>
                <w:sz w:val="14"/>
                <w:szCs w:val="14"/>
                <w:color w:val="auto"/>
              </w:rPr>
            </w:pPr>
          </w:p>
        </w:tc>
        <w:tc>
          <w:tcPr>
            <w:tcW w:w="1580" w:type="dxa"/>
            <w:vAlign w:val="bottom"/>
            <w:gridSpan w:val="4"/>
          </w:tcPr>
          <w:p>
            <w:pPr>
              <w:jc w:val="center"/>
              <w:ind w:right="22"/>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Following</w:t>
            </w:r>
          </w:p>
        </w:tc>
        <w:tc>
          <w:tcPr>
            <w:tcW w:w="540" w:type="dxa"/>
            <w:vAlign w:val="bottom"/>
            <w:tcBorders>
              <w:top w:val="single" w:sz="8" w:color="auto"/>
            </w:tcBorders>
          </w:tcPr>
          <w:p>
            <w:pPr>
              <w:jc w:val="right"/>
              <w:ind w:right="18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Below NAV</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Sale</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78"/>
        </w:trPr>
        <w:tc>
          <w:tcPr>
            <w:tcW w:w="880" w:type="dxa"/>
            <w:vAlign w:val="bottom"/>
          </w:tcPr>
          <w:p>
            <w:pPr>
              <w:jc w:val="right"/>
              <w:ind w:right="62"/>
              <w:spacing w:after="0"/>
              <w:rPr>
                <w:sz w:val="20"/>
                <w:szCs w:val="20"/>
                <w:color w:val="auto"/>
              </w:rPr>
            </w:pPr>
            <w:r>
              <w:rPr>
                <w:rFonts w:ascii="Arial" w:cs="Arial" w:eastAsia="Arial" w:hAnsi="Arial"/>
                <w:sz w:val="18"/>
                <w:szCs w:val="18"/>
                <w:color w:val="auto"/>
                <w:w w:val="89"/>
              </w:rPr>
              <w:t>$ 100,000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right="7"/>
              <w:spacing w:after="0"/>
              <w:rPr>
                <w:sz w:val="20"/>
                <w:szCs w:val="20"/>
                <w:color w:val="auto"/>
              </w:rPr>
            </w:pPr>
            <w:r>
              <w:rPr>
                <w:rFonts w:ascii="Arial" w:cs="Arial" w:eastAsia="Arial" w:hAnsi="Arial"/>
                <w:sz w:val="18"/>
                <w:szCs w:val="18"/>
                <w:color w:val="auto"/>
                <w:w w:val="89"/>
              </w:rPr>
              <w:t>100,000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center"/>
              <w:ind w:right="27"/>
              <w:spacing w:after="0"/>
              <w:rPr>
                <w:sz w:val="20"/>
                <w:szCs w:val="20"/>
                <w:color w:val="auto"/>
              </w:rPr>
            </w:pPr>
            <w:r>
              <w:rPr>
                <w:rFonts w:ascii="Arial" w:cs="Arial" w:eastAsia="Arial" w:hAnsi="Arial"/>
                <w:sz w:val="18"/>
                <w:szCs w:val="18"/>
                <w:color w:val="auto"/>
                <w:w w:val="86"/>
              </w:rPr>
              <w:t>100,000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right="27"/>
              <w:spacing w:after="0"/>
              <w:rPr>
                <w:sz w:val="20"/>
                <w:szCs w:val="20"/>
                <w:color w:val="auto"/>
              </w:rPr>
            </w:pPr>
            <w:r>
              <w:rPr>
                <w:rFonts w:ascii="Arial" w:cs="Arial" w:eastAsia="Arial" w:hAnsi="Arial"/>
                <w:sz w:val="18"/>
                <w:szCs w:val="18"/>
                <w:color w:val="auto"/>
                <w:w w:val="89"/>
              </w:rPr>
              <w:t>100,000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88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7"/>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-632460</wp:posOffset>
            </wp:positionV>
            <wp:extent cx="7246620" cy="3175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1270</wp:posOffset>
            </wp:positionV>
            <wp:extent cx="724662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4500" w:space="280"/>
            <w:col w:w="66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70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9.98</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9.91</w:t>
            </w:r>
          </w:p>
        </w:tc>
        <w:tc>
          <w:tcPr>
            <w:tcW w:w="860" w:type="dxa"/>
            <w:vAlign w:val="bottom"/>
            <w:vMerge w:val="restart"/>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9.50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7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Investment per share held by stockholder A (assumed to be</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$10.00 per share on shares held prior to sale)</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   10.00</w:t>
            </w:r>
          </w:p>
        </w:tc>
        <w:tc>
          <w:tcPr>
            <w:tcW w:w="3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6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0"/>
        </w:trPr>
        <w:tc>
          <w:tcPr>
            <w:tcW w:w="47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440"/>
              <w:spacing w:after="0"/>
              <w:rPr>
                <w:sz w:val="20"/>
                <w:szCs w:val="20"/>
                <w:color w:val="auto"/>
              </w:rPr>
            </w:pPr>
            <w:r>
              <w:rPr>
                <w:rFonts w:ascii="Arial" w:cs="Arial" w:eastAsia="Arial" w:hAnsi="Arial"/>
                <w:sz w:val="18"/>
                <w:szCs w:val="18"/>
                <w:color w:val="auto"/>
                <w:w w:val="94"/>
              </w:rPr>
              <w:t>Dilution per share held by stockholder A (NAV per share</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440"/>
              <w:spacing w:after="0"/>
              <w:rPr>
                <w:sz w:val="20"/>
                <w:szCs w:val="20"/>
                <w:color w:val="auto"/>
              </w:rPr>
            </w:pPr>
            <w:r>
              <w:rPr>
                <w:rFonts w:ascii="Arial" w:cs="Arial" w:eastAsia="Arial" w:hAnsi="Arial"/>
                <w:sz w:val="18"/>
                <w:szCs w:val="18"/>
                <w:color w:val="auto"/>
              </w:rPr>
              <w:t>less investment per share)</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auto"/>
              </w:rPr>
              <w:t>(0.02)</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92"/>
              <w:spacing w:after="0"/>
              <w:rPr>
                <w:sz w:val="20"/>
                <w:szCs w:val="20"/>
                <w:color w:val="auto"/>
              </w:rPr>
            </w:pPr>
            <w:r>
              <w:rPr>
                <w:rFonts w:ascii="Arial" w:cs="Arial" w:eastAsia="Arial" w:hAnsi="Arial"/>
                <w:sz w:val="18"/>
                <w:szCs w:val="18"/>
                <w:color w:val="auto"/>
              </w:rPr>
              <w:t>(0.09)</w:t>
            </w:r>
          </w:p>
        </w:tc>
        <w:tc>
          <w:tcPr>
            <w:tcW w:w="860" w:type="dxa"/>
            <w:vAlign w:val="bottom"/>
            <w:vMerge w:val="restart"/>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auto"/>
              </w:rPr>
              <w:t>(0.50)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7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Percentage dilution to stockholder A (dilution per share</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divided by investment per share)</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(0.20)%</w:t>
            </w:r>
          </w:p>
        </w:tc>
        <w:tc>
          <w:tcPr>
            <w:tcW w:w="3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(0.90)%</w:t>
            </w:r>
          </w:p>
        </w:tc>
        <w:tc>
          <w:tcPr>
            <w:tcW w:w="30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(5.00)%</w:t>
            </w:r>
          </w:p>
        </w:tc>
        <w:tc>
          <w:tcPr>
            <w:tcW w:w="0" w:type="dxa"/>
            <w:vAlign w:val="bottom"/>
          </w:tcPr>
          <w:p>
            <w:pPr>
              <w:spacing w:after="0"/>
              <w:rPr>
                <w:sz w:val="1"/>
                <w:szCs w:val="1"/>
                <w:color w:val="auto"/>
              </w:rPr>
            </w:pPr>
          </w:p>
        </w:tc>
      </w:tr>
      <w:tr>
        <w:trPr>
          <w:trHeight w:val="70"/>
        </w:trPr>
        <w:tc>
          <w:tcPr>
            <w:tcW w:w="47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100" w:firstLine="571"/>
        <w:spacing w:after="0" w:line="283"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w:t>
      </w:r>
    </w:p>
    <w:p>
      <w:pPr>
        <w:spacing w:after="0" w:line="3" w:lineRule="exact"/>
        <w:rPr>
          <w:sz w:val="20"/>
          <w:szCs w:val="20"/>
          <w:color w:val="auto"/>
        </w:rPr>
      </w:pPr>
    </w:p>
    <w:p>
      <w:pPr>
        <w:ind w:right="380" w:firstLine="8"/>
        <w:spacing w:after="0" w:line="261"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150% of their proportionate share of the offering (i.e. 3,750 shares which is 1.50% of the offering of 250,000 shares rather than their 1.00% proportionate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Prior to Sale</w:t>
            </w:r>
          </w:p>
        </w:tc>
        <w:tc>
          <w:tcPr>
            <w:tcW w:w="120" w:type="dxa"/>
            <w:vAlign w:val="bottom"/>
          </w:tcPr>
          <w:p>
            <w:pPr>
              <w:spacing w:after="0"/>
              <w:rPr>
                <w:sz w:val="14"/>
                <w:szCs w:val="14"/>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50% Participation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Below NAV</w:t>
            </w: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Offering Price</w:t>
            </w:r>
          </w:p>
        </w:tc>
        <w:tc>
          <w:tcPr>
            <w:tcW w:w="2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0" w:type="dxa"/>
            <w:vAlign w:val="bottom"/>
          </w:tcPr>
          <w:p>
            <w:pPr>
              <w:spacing w:after="0"/>
              <w:rPr>
                <w:sz w:val="19"/>
                <w:szCs w:val="19"/>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3940" w:type="dxa"/>
            <w:vAlign w:val="bottom"/>
            <w:shd w:val="clear" w:color="auto" w:fill="CCEEFF"/>
          </w:tcPr>
          <w:p>
            <w:pPr>
              <w:spacing w:after="0"/>
              <w:rPr>
                <w:sz w:val="5"/>
                <w:szCs w:val="5"/>
                <w:color w:val="auto"/>
              </w:rPr>
            </w:pPr>
          </w:p>
        </w:tc>
        <w:tc>
          <w:tcPr>
            <w:tcW w:w="220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48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3940" w:type="dxa"/>
            <w:vAlign w:val="bottom"/>
          </w:tcPr>
          <w:p>
            <w:pPr>
              <w:spacing w:after="0"/>
              <w:rPr>
                <w:sz w:val="24"/>
                <w:szCs w:val="24"/>
                <w:color w:val="auto"/>
              </w:rPr>
            </w:pPr>
          </w:p>
        </w:tc>
        <w:tc>
          <w:tcPr>
            <w:tcW w:w="2200" w:type="dxa"/>
            <w:vAlign w:val="bottom"/>
          </w:tcPr>
          <w:p>
            <w:pPr>
              <w:jc w:val="right"/>
              <w:ind w:right="252"/>
              <w:spacing w:after="0"/>
              <w:rPr>
                <w:sz w:val="20"/>
                <w:szCs w:val="20"/>
                <w:color w:val="auto"/>
              </w:rPr>
            </w:pPr>
            <w:r>
              <w:rPr>
                <w:rFonts w:ascii="Arial" w:cs="Arial" w:eastAsia="Arial" w:hAnsi="Arial"/>
                <w:sz w:val="18"/>
                <w:szCs w:val="18"/>
                <w:color w:val="auto"/>
              </w:rPr>
              <w:t>49</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Prior to Sale</w:t>
            </w:r>
          </w:p>
        </w:tc>
        <w:tc>
          <w:tcPr>
            <w:tcW w:w="100" w:type="dxa"/>
            <w:vAlign w:val="bottom"/>
          </w:tcPr>
          <w:p>
            <w:pPr>
              <w:spacing w:after="0"/>
              <w:rPr>
                <w:sz w:val="14"/>
                <w:szCs w:val="14"/>
                <w:color w:val="auto"/>
              </w:rPr>
            </w:pPr>
          </w:p>
        </w:tc>
        <w:tc>
          <w:tcPr>
            <w:tcW w:w="19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tcPr>
          <w:p>
            <w:pPr>
              <w:jc w:val="right"/>
              <w:ind w:right="21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Increases in Shares and Decrease to NAV</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w w:val="87"/>
              </w:rPr>
              <w:t>1,000,000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w w:val="87"/>
              </w:rPr>
              <w:t>1,250,000</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25.00 %</w:t>
            </w:r>
          </w:p>
        </w:tc>
        <w:tc>
          <w:tcPr>
            <w:tcW w:w="100" w:type="dxa"/>
            <w:vAlign w:val="bottom"/>
          </w:tcPr>
          <w:p>
            <w:pPr>
              <w:spacing w:after="0"/>
              <w:rPr>
                <w:sz w:val="19"/>
                <w:szCs w:val="19"/>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w w:val="84"/>
              </w:rPr>
              <w:t>1,250,000</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25.00 %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NAV per share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(Dilution)/Accretion to Participating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11,250</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12.50 %</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13,750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37.50 %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0.90%</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5"/>
              </w:rPr>
              <w:t>(10.00)%</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1.10%</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NAV held by stockholder A</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106,875</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6.88 %</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130,625</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30.63 %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88"/>
              </w:rPr>
              <w:t>Total investment by stockholder A (assumed to be $10.00 per share on shares held prior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sale)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109,863</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9.86 %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129,588</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29.59 %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(dilution)/accretion to stockholder A (total NAV less total investment)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(2,988)</w:t>
            </w:r>
          </w:p>
        </w:tc>
        <w:tc>
          <w:tcPr>
            <w:tcW w:w="200" w:type="dxa"/>
            <w:vAlign w:val="bottom"/>
          </w:tcPr>
          <w:p>
            <w:pPr>
              <w:spacing w:after="0"/>
              <w:rPr>
                <w:sz w:val="19"/>
                <w:szCs w:val="19"/>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NAV per share held by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Investment per share held by stockholder A (assumed to be $10.00 per share 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held prior to sale)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9.77</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(Dilution)/accretion per share held by stockholder A (NAV per share less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640"/>
              <w:spacing w:after="0"/>
              <w:rPr>
                <w:sz w:val="20"/>
                <w:szCs w:val="20"/>
                <w:color w:val="auto"/>
              </w:rPr>
            </w:pPr>
            <w:r>
              <w:rPr>
                <w:rFonts w:ascii="Arial" w:cs="Arial" w:eastAsia="Arial" w:hAnsi="Arial"/>
                <w:sz w:val="18"/>
                <w:szCs w:val="18"/>
                <w:color w:val="auto"/>
              </w:rPr>
              <w:t>investment per share)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19"/>
                <w:szCs w:val="19"/>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Percentage (dilution)/accretion to stockholder A ((dilution)/accretion per share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divided by investment per share)</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1</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2</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00" w:type="dxa"/>
            <w:vAlign w:val="bottom"/>
          </w:tcPr>
          <w:p>
            <w:pPr>
              <w:spacing w:after="0"/>
              <w:rPr>
                <w:sz w:val="12"/>
                <w:szCs w:val="12"/>
                <w:color w:val="auto"/>
              </w:rPr>
            </w:pPr>
          </w:p>
        </w:tc>
        <w:tc>
          <w:tcPr>
            <w:tcW w:w="19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7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1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8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Decrease to NAV</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4"/>
              </w:rPr>
              <w:t>1,050,000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4"/>
              </w:rPr>
              <w:t>1,250,000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25.00 %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NAV per share</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9.98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(0.20)%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(0.90)%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Dilution to Stockholder A</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0.90%</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4,990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23,750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tcPr>
          <w:p>
            <w:pPr>
              <w:ind w:left="440"/>
              <w:spacing w:after="0"/>
              <w:rPr>
                <w:sz w:val="20"/>
                <w:szCs w:val="20"/>
                <w:color w:val="auto"/>
              </w:rPr>
            </w:pPr>
            <w:r>
              <w:rPr>
                <w:rFonts w:ascii="Arial" w:cs="Arial" w:eastAsia="Arial" w:hAnsi="Arial"/>
                <w:sz w:val="18"/>
                <w:szCs w:val="18"/>
                <w:color w:val="auto"/>
              </w:rPr>
              <w:t>Total investment by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660"/>
              <w:spacing w:after="0"/>
              <w:rPr>
                <w:sz w:val="20"/>
                <w:szCs w:val="20"/>
                <w:color w:val="auto"/>
              </w:rPr>
            </w:pPr>
            <w:r>
              <w:rPr>
                <w:rFonts w:ascii="Arial" w:cs="Arial" w:eastAsia="Arial" w:hAnsi="Arial"/>
                <w:sz w:val="18"/>
                <w:szCs w:val="18"/>
                <w:color w:val="auto"/>
              </w:rPr>
              <w:t>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19,725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Total (dilution)/accretion to stockholder A (total NAV</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less total investment)</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4,025</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9.98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(Dilution)/accretion per share held by stockholder A</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per share less investment per share)</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tcPr>
          <w:p>
            <w:pPr>
              <w:ind w:left="440"/>
              <w:spacing w:after="0"/>
              <w:rPr>
                <w:sz w:val="20"/>
                <w:szCs w:val="20"/>
                <w:color w:val="auto"/>
              </w:rPr>
            </w:pPr>
            <w:r>
              <w:rPr>
                <w:rFonts w:ascii="Arial" w:cs="Arial" w:eastAsia="Arial" w:hAnsi="Arial"/>
                <w:sz w:val="18"/>
                <w:szCs w:val="18"/>
                <w:color w:val="auto"/>
              </w:rPr>
              <w:t>Percentage (dilution)/accretion to stockholder A</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660"/>
              <w:spacing w:after="0"/>
              <w:rPr>
                <w:sz w:val="20"/>
                <w:szCs w:val="20"/>
                <w:color w:val="auto"/>
              </w:rPr>
            </w:pPr>
            <w:r>
              <w:rPr>
                <w:rFonts w:ascii="Arial" w:cs="Arial" w:eastAsia="Arial" w:hAnsi="Arial"/>
                <w:sz w:val="18"/>
                <w:szCs w:val="18"/>
                <w:color w:val="auto"/>
              </w:rPr>
              <w:t>((dilution)/accretion per share divided by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660"/>
              <w:spacing w:after="0"/>
              <w:rPr>
                <w:sz w:val="20"/>
                <w:szCs w:val="20"/>
                <w:color w:val="auto"/>
              </w:rPr>
            </w:pPr>
            <w:r>
              <w:rPr>
                <w:rFonts w:ascii="Arial" w:cs="Arial" w:eastAsia="Arial" w:hAnsi="Arial"/>
                <w:sz w:val="18"/>
                <w:szCs w:val="18"/>
                <w:color w:val="auto"/>
              </w:rPr>
              <w:t>investment per share)</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9"/>
              </w:rPr>
              <w:t>4.65 %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518"/>
              <w:spacing w:after="0"/>
              <w:rPr>
                <w:sz w:val="20"/>
                <w:szCs w:val="20"/>
                <w:color w:val="auto"/>
              </w:rPr>
            </w:pPr>
            <w:r>
              <w:rPr>
                <w:rFonts w:ascii="Arial" w:cs="Arial" w:eastAsia="Arial" w:hAnsi="Arial"/>
                <w:sz w:val="18"/>
                <w:szCs w:val="18"/>
                <w:color w:val="auto"/>
                <w:w w:val="89"/>
              </w:rPr>
              <w:t>51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per share that we have declared on our common stock since October 1, 2012.</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4440" w:type="dxa"/>
            <w:vAlign w:val="bottom"/>
            <w:vMerge w:val="restart"/>
          </w:tcPr>
          <w:p>
            <w:pPr>
              <w:spacing w:after="0"/>
              <w:rPr>
                <w:sz w:val="14"/>
                <w:szCs w:val="14"/>
                <w:color w:val="auto"/>
              </w:rPr>
            </w:pPr>
          </w:p>
        </w:tc>
        <w:tc>
          <w:tcPr>
            <w:tcW w:w="392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Payment Dates</w:t>
            </w:r>
          </w:p>
        </w:tc>
        <w:tc>
          <w:tcPr>
            <w:tcW w:w="1080" w:type="dxa"/>
            <w:vAlign w:val="bottom"/>
            <w:gridSpan w:val="4"/>
          </w:tcPr>
          <w:p>
            <w:pPr>
              <w:ind w:left="200"/>
              <w:spacing w:after="0"/>
              <w:rPr>
                <w:sz w:val="20"/>
                <w:szCs w:val="20"/>
                <w:color w:val="auto"/>
              </w:rPr>
            </w:pPr>
            <w:r>
              <w:rPr>
                <w:rFonts w:ascii="Arial" w:cs="Arial" w:eastAsia="Arial" w:hAnsi="Arial"/>
                <w:sz w:val="14"/>
                <w:szCs w:val="14"/>
                <w:b w:val="1"/>
                <w:bCs w:val="1"/>
                <w:color w:val="auto"/>
                <w:w w:val="99"/>
              </w:rPr>
              <w:t>Distributions</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4440" w:type="dxa"/>
            <w:vAlign w:val="bottom"/>
            <w:vMerge w:val="continue"/>
          </w:tcPr>
          <w:p>
            <w:pPr>
              <w:spacing w:after="0"/>
              <w:rPr>
                <w:sz w:val="12"/>
                <w:szCs w:val="12"/>
                <w:color w:val="auto"/>
              </w:rPr>
            </w:pPr>
          </w:p>
        </w:tc>
        <w:tc>
          <w:tcPr>
            <w:tcW w:w="39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2015</w:t>
            </w:r>
          </w:p>
        </w:tc>
        <w:tc>
          <w:tcPr>
            <w:tcW w:w="2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January 21, 2015</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February 2, 2015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19, 2014</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January 2, 2015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November 19, 2014</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December 1, 2014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22, 2014</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November 3, 2014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2014</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September 26, 2014</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October 1, 2014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20, 2014</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September 2, 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July 18, 2014</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August 1, 2014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19, 2014</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July 1, 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May 19, 2014</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June 2, 2014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21, 2014</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May 1, 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March 20, 2014</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April 1, 2014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19, 2014</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March 3, 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January 22, 2014</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February 3, 2014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20, 2013</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January 2, 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November 20, 2013</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December 2, 2013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21, 2013</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November 1, 2013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September 20, 2013</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October 1, 2013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21, 2013</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September 3, 2013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July 19, 2013</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August 1, 2013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21, 2013</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July 1, 2013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May 20, 2013</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June 3, 2013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19, 2013</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May 1, 2013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March 22, 2013</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April 1, 2013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19, 2013</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March 1, 2013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January 22, 2013</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February 1, 2013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21, 2012</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January 2, 2013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November 20, 2012</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December 3, 2012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19, 2012</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November 1, 2012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In January 2015, a Form 1099-DIV will be sent to stockholders that will state the amount and composition of distributions and provide information with respect to appropriate tax treatment of our distributions.</w:t>
      </w:r>
    </w:p>
    <w:p>
      <w:pPr>
        <w:spacing w:after="0" w:line="105"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In accordance with Section 19(a) under the 1940 Act, $2.6 million and $0.1 million of our distributions paid to stockholders during the fiscal years ended September 30, 2014 and 2013, respectively, represents a distribution of long-term realized capital gains.</w:t>
      </w:r>
    </w:p>
    <w:p>
      <w:pPr>
        <w:spacing w:after="0" w:line="105" w:lineRule="exact"/>
        <w:rPr>
          <w:sz w:val="20"/>
          <w:szCs w:val="20"/>
          <w:color w:val="auto"/>
        </w:rPr>
      </w:pPr>
    </w:p>
    <w:p>
      <w:pPr>
        <w:ind w:right="40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at a particular level.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engage in any sales of unregistered securities during the fiscal year ended September 30, 2014.</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24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96"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51"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instruments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mezzanine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35"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80" w:firstLine="571"/>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$2.3 billion in debt and equity capital and has invested $4.1 billion in 344 companies with 140 different financial sponsors through its managed funds.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660" w:right="80" w:hanging="314"/>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 look to</w:t>
      </w:r>
      <w:r>
        <w:rPr>
          <w:rFonts w:ascii="Arial" w:cs="Arial" w:eastAsia="Arial" w:hAnsi="Arial"/>
          <w:sz w:val="18"/>
          <w:szCs w:val="18"/>
          <w:b w:val="1"/>
          <w:bCs w:val="1"/>
          <w:color w:val="auto"/>
        </w:rPr>
        <w:t xml:space="preserve"> </w:t>
      </w:r>
      <w:r>
        <w:rPr>
          <w:rFonts w:ascii="Arial" w:cs="Arial" w:eastAsia="Arial" w:hAnsi="Arial"/>
          <w:sz w:val="18"/>
          <w:szCs w:val="18"/>
          <w:color w:val="auto"/>
        </w:rPr>
        <w:t>raise funds by issuing high-yield bonds. We believe this approach to financing has become more difficult from time to time to the extent institutional investors seek to invest in larger, more liquid offerings. We believe this has made it harder for middle-market companies to raise funds by issuing high-yield securities from time to time.</w:t>
      </w:r>
    </w:p>
    <w:p>
      <w:pPr>
        <w:spacing w:after="0" w:line="55" w:lineRule="exact"/>
        <w:rPr>
          <w:rFonts w:ascii="Arial" w:cs="Arial" w:eastAsia="Arial" w:hAnsi="Arial"/>
          <w:sz w:val="18"/>
          <w:szCs w:val="18"/>
          <w:color w:val="auto"/>
        </w:rPr>
      </w:pPr>
    </w:p>
    <w:p>
      <w:pPr>
        <w:ind w:left="660" w:right="220" w:hanging="314"/>
        <w:spacing w:after="0" w:line="357" w:lineRule="auto"/>
        <w:tabs>
          <w:tab w:leader="none" w:pos="660" w:val="left"/>
        </w:tabs>
        <w:numPr>
          <w:ilvl w:val="0"/>
          <w:numId w:val="26"/>
        </w:numPr>
        <w:rPr>
          <w:rFonts w:ascii="Arial" w:cs="Arial" w:eastAsia="Arial" w:hAnsi="Arial"/>
          <w:sz w:val="15"/>
          <w:szCs w:val="15"/>
          <w:color w:val="auto"/>
        </w:rPr>
      </w:pPr>
      <w:r>
        <w:rPr>
          <w:rFonts w:ascii="Arial" w:cs="Arial" w:eastAsia="Arial" w:hAnsi="Arial"/>
          <w:sz w:val="15"/>
          <w:szCs w:val="15"/>
          <w:b w:val="1"/>
          <w:bCs w:val="1"/>
          <w:color w:val="auto"/>
        </w:rPr>
        <w:t xml:space="preserve">We believe middle-market companies have faced difficulty raising debt in private markets. </w:t>
      </w:r>
      <w:r>
        <w:rPr>
          <w:rFonts w:ascii="Arial" w:cs="Arial" w:eastAsia="Arial" w:hAnsi="Arial"/>
          <w:sz w:val="15"/>
          <w:szCs w:val="15"/>
          <w:color w:val="auto"/>
        </w:rPr>
        <w:t>From time to time, banks, finance companies, hedge</w:t>
      </w:r>
      <w:r>
        <w:rPr>
          <w:rFonts w:ascii="Arial" w:cs="Arial" w:eastAsia="Arial" w:hAnsi="Arial"/>
          <w:sz w:val="15"/>
          <w:szCs w:val="15"/>
          <w:b w:val="1"/>
          <w:bCs w:val="1"/>
          <w:color w:val="auto"/>
        </w:rPr>
        <w:t xml:space="preserve"> </w:t>
      </w:r>
      <w:r>
        <w:rPr>
          <w:rFonts w:ascii="Arial" w:cs="Arial" w:eastAsia="Arial" w:hAnsi="Arial"/>
          <w:sz w:val="15"/>
          <w:szCs w:val="15"/>
          <w:color w:val="auto"/>
        </w:rPr>
        <w:t>funds and CLO funds have, and may again, withdraw capital from the middle-market, resulting in opportunities for alternative funding sources.</w:t>
      </w:r>
    </w:p>
    <w:p>
      <w:pPr>
        <w:ind w:left="660" w:right="100" w:hanging="314"/>
        <w:spacing w:after="0" w:line="31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credit market dislocation for middle-market companies improves the risk-adjusted returns of our investments. </w:t>
      </w:r>
      <w:r>
        <w:rPr>
          <w:rFonts w:ascii="Arial" w:cs="Arial" w:eastAsia="Arial" w:hAnsi="Arial"/>
          <w:sz w:val="16"/>
          <w:szCs w:val="16"/>
          <w:color w:val="auto"/>
        </w:rPr>
        <w:t>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660" w:right="80" w:hanging="314"/>
        <w:spacing w:after="0" w:line="30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w:t>
      </w:r>
    </w:p>
    <w:p>
      <w:pPr>
        <w:spacing w:after="0" w:line="22" w:lineRule="exact"/>
        <w:rPr>
          <w:rFonts w:ascii="Arial" w:cs="Arial" w:eastAsia="Arial" w:hAnsi="Arial"/>
          <w:sz w:val="16"/>
          <w:szCs w:val="16"/>
          <w:color w:val="auto"/>
        </w:rPr>
      </w:pPr>
    </w:p>
    <w:p>
      <w:pPr>
        <w:ind w:left="660" w:hanging="314"/>
        <w:spacing w:after="0" w:line="296"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substantial supply of opportunities resulting from maturing loans that seek refinancing. </w:t>
      </w:r>
      <w:r>
        <w:rPr>
          <w:rFonts w:ascii="Arial" w:cs="Arial" w:eastAsia="Arial" w:hAnsi="Arial"/>
          <w:sz w:val="16"/>
          <w:szCs w:val="16"/>
          <w:color w:val="auto"/>
        </w:rPr>
        <w:t>A high volume of financings will</w:t>
      </w:r>
      <w:r>
        <w:rPr>
          <w:rFonts w:ascii="Arial" w:cs="Arial" w:eastAsia="Arial" w:hAnsi="Arial"/>
          <w:sz w:val="16"/>
          <w:szCs w:val="16"/>
          <w:b w:val="1"/>
          <w:bCs w:val="1"/>
          <w:color w:val="auto"/>
        </w:rPr>
        <w:t xml:space="preserve"> </w:t>
      </w:r>
      <w:r>
        <w:rPr>
          <w:rFonts w:ascii="Arial" w:cs="Arial" w:eastAsia="Arial" w:hAnsi="Arial"/>
          <w:sz w:val="16"/>
          <w:szCs w:val="16"/>
          <w:color w:val="auto"/>
        </w:rPr>
        <w:t>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risk-adjusted returns to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32"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Lending to middle-market companies requires in 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underwriting capabilities and more extensive ongoing monitoring are required by the lender.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32"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660" w:hanging="314"/>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171" w:lineRule="exact"/>
        <w:rPr>
          <w:rFonts w:ascii="Arial" w:cs="Arial" w:eastAsia="Arial" w:hAnsi="Arial"/>
          <w:sz w:val="18"/>
          <w:szCs w:val="18"/>
          <w:color w:val="auto"/>
        </w:rPr>
      </w:pPr>
    </w:p>
    <w:p>
      <w:pPr>
        <w:ind w:left="420" w:hanging="184"/>
        <w:spacing w:after="0"/>
        <w:tabs>
          <w:tab w:leader="none" w:pos="4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59"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51"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firstLine="571"/>
        <w:spacing w:after="0" w:line="28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However, we believe that from time to time there has been a reduction in the amount of debt capital available to middle-market companies. We believe this has resulted in a less competitive environment for making new investments.</w:t>
      </w:r>
    </w:p>
    <w:p>
      <w:pPr>
        <w:spacing w:after="0" w:line="57"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As of September 30, 2014, we maintained a $200 million Credit Facility, which matures in May 2018, with the Lenders. During the Credit Facility’s revolving period, which extends to May 2016, it bears interest at LIBOR plus 200 basis points, and after the revolving period, the rate sets to LIBOR plus 425 basis points for the remaining two years. The Credit Facility is secured by all of the assets held by Funding I, under which we had $146.4 million outstanding with an annual current interest rate of 2.16%, excluding the undrawn commitment fee of 0.375%, as of September 30, 2014. We believe that our capital resources provide us with the flexibility to take advantage of market opportunities when they arise. Our use of leverage, as calculated under the asset coverage ratio of the 1940 Act, may generally range between 70% and 90% of our net assets, or 40% and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for more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We seek to create a diversified portfolio primarily of Floating Rate Loans by generally targeting an investment size of $1 million to $15 million in securities, on average, of middle-market companies. We expect this investment size to vary proportionately with the size of our capital base. We generally expect that senior secured loans, or first lien loans, will represent at least 65% of our overall portfolio. We also generally expect to invest up to 35% of our overall portfolio opportunistically in other types of investments, including mezzanine securities and, to a lesser extent,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8" w:lineRule="exact"/>
        <w:rPr>
          <w:sz w:val="20"/>
          <w:szCs w:val="20"/>
          <w:color w:val="auto"/>
        </w:rPr>
      </w:pPr>
    </w:p>
    <w:p>
      <w:pPr>
        <w:ind w:firstLine="571"/>
        <w:spacing w:after="0" w:line="318" w:lineRule="auto"/>
        <w:rPr>
          <w:sz w:val="20"/>
          <w:szCs w:val="20"/>
          <w:color w:val="auto"/>
        </w:rPr>
      </w:pPr>
      <w:r>
        <w:rPr>
          <w:rFonts w:ascii="Arial" w:cs="Arial" w:eastAsia="Arial" w:hAnsi="Arial"/>
          <w:sz w:val="15"/>
          <w:szCs w:val="15"/>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100"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184" w:lineRule="exact"/>
        <w:rPr>
          <w:sz w:val="20"/>
          <w:szCs w:val="20"/>
          <w:color w:val="auto"/>
        </w:rPr>
      </w:pPr>
    </w:p>
    <w:p>
      <w:pPr>
        <w:ind w:left="1140" w:hanging="335"/>
        <w:spacing w:after="0"/>
        <w:tabs>
          <w:tab w:leader="none" w:pos="114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to invest in portfolio companies that it believes possess competitive advantages in scale, scope, customer loyalty, product pricing or product quality as compared to their competitors to protect their market position.</w:t>
      </w:r>
    </w:p>
    <w:p>
      <w:pPr>
        <w:spacing w:after="0" w:line="184" w:lineRule="exact"/>
        <w:rPr>
          <w:sz w:val="20"/>
          <w:szCs w:val="20"/>
          <w:color w:val="auto"/>
        </w:rPr>
      </w:pPr>
    </w:p>
    <w:p>
      <w:pPr>
        <w:ind w:left="1140" w:hanging="335"/>
        <w:spacing w:after="0"/>
        <w:tabs>
          <w:tab w:leader="none" w:pos="114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56" w:lineRule="exact"/>
        <w:rPr>
          <w:sz w:val="20"/>
          <w:szCs w:val="20"/>
          <w:color w:val="auto"/>
        </w:rPr>
      </w:pPr>
    </w:p>
    <w:p>
      <w:pPr>
        <w:ind w:left="1140" w:hanging="335"/>
        <w:spacing w:after="0"/>
        <w:tabs>
          <w:tab w:leader="none" w:pos="114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81" w:lineRule="exact"/>
        <w:rPr>
          <w:sz w:val="20"/>
          <w:szCs w:val="20"/>
          <w:color w:val="auto"/>
        </w:rPr>
      </w:pPr>
    </w:p>
    <w:p>
      <w:pPr>
        <w:ind w:left="1140" w:hanging="335"/>
        <w:spacing w:after="0"/>
        <w:tabs>
          <w:tab w:leader="none" w:pos="114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90" w:lineRule="exact"/>
        <w:rPr>
          <w:sz w:val="20"/>
          <w:szCs w:val="20"/>
          <w:color w:val="auto"/>
        </w:rPr>
      </w:pPr>
    </w:p>
    <w:p>
      <w:pPr>
        <w:ind w:right="300" w:firstLine="571"/>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53" w:lineRule="exact"/>
        <w:rPr>
          <w:sz w:val="20"/>
          <w:szCs w:val="20"/>
          <w:color w:val="auto"/>
        </w:rPr>
      </w:pPr>
    </w:p>
    <w:p>
      <w:pPr>
        <w:ind w:left="1140" w:hanging="335"/>
        <w:spacing w:after="0"/>
        <w:tabs>
          <w:tab w:leader="none" w:pos="114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 although we are permitted to be a non-diversified investment company.</w:t>
      </w:r>
    </w:p>
    <w:p>
      <w:pPr>
        <w:spacing w:after="0" w:line="181" w:lineRule="exact"/>
        <w:rPr>
          <w:sz w:val="20"/>
          <w:szCs w:val="20"/>
          <w:color w:val="auto"/>
        </w:rPr>
      </w:pPr>
    </w:p>
    <w:p>
      <w:pPr>
        <w:ind w:left="1140" w:hanging="335"/>
        <w:spacing w:after="0"/>
        <w:tabs>
          <w:tab w:leader="none" w:pos="114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71"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4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85" w:lineRule="exact"/>
        <w:rPr>
          <w:sz w:val="20"/>
          <w:szCs w:val="20"/>
          <w:color w:val="auto"/>
        </w:rPr>
      </w:pPr>
    </w:p>
    <w:p>
      <w:pPr>
        <w:jc w:val="both"/>
        <w:ind w:right="120" w:firstLine="571"/>
        <w:spacing w:after="0" w:line="298" w:lineRule="auto"/>
        <w:rPr>
          <w:sz w:val="20"/>
          <w:szCs w:val="20"/>
          <w:color w:val="auto"/>
        </w:rPr>
      </w:pPr>
      <w:r>
        <w:rPr>
          <w:rFonts w:ascii="Arial" w:cs="Arial" w:eastAsia="Arial" w:hAnsi="Arial"/>
          <w:sz w:val="16"/>
          <w:szCs w:val="16"/>
          <w:color w:val="auto"/>
        </w:rPr>
        <w:t>Typically, our mezzanine debt has maturities of three to ten years. Mezzanine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7" w:lineRule="exact"/>
        <w:rPr>
          <w:sz w:val="20"/>
          <w:szCs w:val="20"/>
          <w:color w:val="auto"/>
        </w:rPr>
      </w:pPr>
    </w:p>
    <w:p>
      <w:pPr>
        <w:ind w:left="900" w:right="2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on preserving our capital. Such restrictions may include affirmative and negative covenants, default penalties, lien protection, change of control provisions and board rights, including either observation or participation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We expect to hold most of our investments to maturity or repayment, but we may exit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80" w:firstLine="571"/>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85" w:lineRule="exact"/>
        <w:rPr>
          <w:sz w:val="20"/>
          <w:szCs w:val="20"/>
          <w:color w:val="auto"/>
        </w:rPr>
      </w:pPr>
    </w:p>
    <w:p>
      <w:pPr>
        <w:ind w:right="360" w:firstLine="571"/>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7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4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90"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Staffing</w:t>
      </w:r>
    </w:p>
    <w:p>
      <w:pPr>
        <w:spacing w:after="0" w:line="90"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w:t>
      </w:r>
    </w:p>
    <w:p>
      <w:pPr>
        <w:spacing w:after="0" w:line="144"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ectPr>
          <w:pgSz w:w="11900" w:h="16838" w:orient="portrait"/>
          <w:cols w:equalWidth="0" w:num="1">
            <w:col w:w="11420"/>
          </w:cols>
          <w:pgMar w:left="240" w:top="459" w:right="239" w:bottom="1440" w:gutter="0" w:footer="0" w:header="0"/>
        </w:sectPr>
      </w:pP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Aerospace and Defense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Auto Sector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Beverage, Food and Tobacco</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Broadcasting and Entertainment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Buildings and Real Estate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Building Materials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Business Services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Cable Television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Cargo Transportation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Chemicals, Plastics and Rubber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Communications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Consumer Goods: Durable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Consumer Goods: Non-Durable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Containers, Packaging &amp; Glass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Distribution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Diversified/Conglomerate Manufacturing</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Diversified/Conglomerate Services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Education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Energy/Utilities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Environmental Services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Financial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Grocery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Healthcare, Education and Childcare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High Tech Industries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Home &amp; Office Furnishings, Housewares &amp; Durable Consumer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Hotels, Motels, Inns and Gaming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Leisure, Amusement, Motion Picture &amp; Entertainment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Logistics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Manufacturing/Basic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Media: Broadcasting and Subscription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Mining, Steel, Iron and Non-Precious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Oil and Gas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Other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Personal, Food and Miscellaneous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Printing and Publishing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Retail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Telecommunications</w:t>
      </w:r>
    </w:p>
    <w:p>
      <w:pPr>
        <w:spacing w:after="0" w:line="165" w:lineRule="exact"/>
        <w:rPr>
          <w:sz w:val="20"/>
          <w:szCs w:val="20"/>
          <w:color w:val="auto"/>
        </w:rPr>
      </w:pPr>
    </w:p>
    <w:p>
      <w:pPr>
        <w:sectPr>
          <w:pgSz w:w="11900" w:h="16838" w:orient="portrait"/>
          <w:cols w:equalWidth="0" w:num="2">
            <w:col w:w="4160" w:space="720"/>
            <w:col w:w="6540"/>
          </w:cols>
          <w:pgMar w:left="240" w:top="459" w:right="239" w:bottom="1440" w:gutter="0" w:footer="0" w:header="0"/>
          <w:type w:val="continuous"/>
        </w:sectPr>
      </w:pPr>
    </w:p>
    <w:p>
      <w:pPr>
        <w:ind w:right="880" w:firstLine="456"/>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Portfolio Company</w:t>
            </w:r>
          </w:p>
        </w:tc>
        <w:tc>
          <w:tcPr>
            <w:tcW w:w="36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Portfolio Company</w:t>
            </w:r>
          </w:p>
        </w:tc>
        <w:tc>
          <w:tcPr>
            <w:tcW w:w="364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Patriot National, Inc. (f/k/a Old Guard Risk Services, Inc.)</w:t>
            </w: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0" w:type="dxa"/>
            <w:vAlign w:val="bottom"/>
            <w:gridSpan w:val="3"/>
            <w:shd w:val="clear" w:color="auto" w:fill="CCEEFF"/>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20" w:type="dxa"/>
            <w:vAlign w:val="bottom"/>
            <w:gridSpan w:val="2"/>
            <w:vMerge w:val="continue"/>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5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SCE Partners, LLC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AKA Diversified Holdings, Inc.</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5200" w:type="dxa"/>
            <w:vAlign w:val="bottom"/>
            <w:gridSpan w:val="3"/>
          </w:tcPr>
          <w:p>
            <w:pPr>
              <w:ind w:left="80"/>
              <w:spacing w:after="0"/>
              <w:rPr>
                <w:sz w:val="20"/>
                <w:szCs w:val="20"/>
                <w:color w:val="auto"/>
              </w:rPr>
            </w:pPr>
            <w:r>
              <w:rPr>
                <w:rFonts w:ascii="Arial" w:cs="Arial" w:eastAsia="Arial" w:hAnsi="Arial"/>
                <w:sz w:val="18"/>
                <w:szCs w:val="18"/>
                <w:color w:val="auto"/>
              </w:rPr>
              <w:t>ALG USA Holdings, LLC</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e-Rewards, Inc.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5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iEnergizer Limited and Aptara, Inc.</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iEnergizer Limited and Aptara, Inc.</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5200" w:type="dxa"/>
            <w:vAlign w:val="bottom"/>
            <w:gridSpan w:val="3"/>
          </w:tcPr>
          <w:p>
            <w:pPr>
              <w:ind w:left="80"/>
              <w:spacing w:after="0"/>
              <w:rPr>
                <w:sz w:val="20"/>
                <w:szCs w:val="20"/>
                <w:color w:val="auto"/>
              </w:rPr>
            </w:pPr>
            <w:r>
              <w:rPr>
                <w:rFonts w:ascii="Arial" w:cs="Arial" w:eastAsia="Arial" w:hAnsi="Arial"/>
                <w:sz w:val="18"/>
                <w:szCs w:val="18"/>
                <w:color w:val="auto"/>
              </w:rPr>
              <w:t>New Trident HoldCorp, Inc.</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Instant Web, LLC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5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OCI Beaumont LLC</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New Trident HoldCorp, Inc.</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5200" w:type="dxa"/>
            <w:vAlign w:val="bottom"/>
            <w:gridSpan w:val="3"/>
          </w:tcPr>
          <w:p>
            <w:pPr>
              <w:ind w:left="80"/>
              <w:spacing w:after="0"/>
              <w:rPr>
                <w:sz w:val="20"/>
                <w:szCs w:val="20"/>
                <w:color w:val="auto"/>
              </w:rPr>
            </w:pPr>
            <w:r>
              <w:rPr>
                <w:rFonts w:ascii="Arial" w:cs="Arial" w:eastAsia="Arial" w:hAnsi="Arial"/>
                <w:sz w:val="18"/>
                <w:szCs w:val="18"/>
                <w:color w:val="auto"/>
              </w:rPr>
              <w:t>Zest Anchors, LLC</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Novitex Acquisition, LLC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5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AMF Bowling Centers, Inc.</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SCE Partners, LLC</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5200" w:type="dxa"/>
            <w:vAlign w:val="bottom"/>
            <w:gridSpan w:val="3"/>
          </w:tcPr>
          <w:p>
            <w:pPr>
              <w:ind w:left="80"/>
              <w:spacing w:after="0"/>
              <w:rPr>
                <w:sz w:val="20"/>
                <w:szCs w:val="20"/>
                <w:color w:val="auto"/>
              </w:rPr>
            </w:pPr>
            <w:r>
              <w:rPr>
                <w:rFonts w:ascii="Arial" w:cs="Arial" w:eastAsia="Arial" w:hAnsi="Arial"/>
                <w:sz w:val="18"/>
                <w:szCs w:val="18"/>
                <w:color w:val="auto"/>
              </w:rPr>
              <w:t>BBTS Borrower LP</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Zest Holdings, LLC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5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Penton Media, Inc.</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1"/>
        </w:trPr>
        <w:tc>
          <w:tcPr>
            <w:tcW w:w="5120" w:type="dxa"/>
            <w:vAlign w:val="bottom"/>
            <w:gridSpan w:val="2"/>
          </w:tcPr>
          <w:p>
            <w:pPr>
              <w:spacing w:after="0"/>
              <w:rPr>
                <w:sz w:val="20"/>
                <w:szCs w:val="20"/>
                <w:color w:val="auto"/>
              </w:rPr>
            </w:pPr>
            <w:r>
              <w:rPr>
                <w:rFonts w:ascii="Arial" w:cs="Arial" w:eastAsia="Arial" w:hAnsi="Arial"/>
                <w:sz w:val="18"/>
                <w:szCs w:val="18"/>
                <w:color w:val="auto"/>
              </w:rPr>
              <w:t>Premier Dental Services, Inc.</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5200" w:type="dxa"/>
            <w:vAlign w:val="bottom"/>
            <w:gridSpan w:val="3"/>
          </w:tcPr>
          <w:p>
            <w:pPr>
              <w:ind w:left="80"/>
              <w:spacing w:after="0"/>
              <w:rPr>
                <w:sz w:val="20"/>
                <w:szCs w:val="20"/>
                <w:color w:val="auto"/>
              </w:rPr>
            </w:pPr>
            <w:r>
              <w:rPr>
                <w:rFonts w:ascii="Arial" w:cs="Arial" w:eastAsia="Arial" w:hAnsi="Arial"/>
                <w:sz w:val="18"/>
                <w:szCs w:val="18"/>
                <w:color w:val="auto"/>
              </w:rPr>
              <w:t>Polyconcept Finance B.V.</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Industry</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2014</w:t>
            </w:r>
          </w:p>
        </w:tc>
        <w:tc>
          <w:tcPr>
            <w:tcW w:w="140" w:type="dxa"/>
            <w:vAlign w:val="bottom"/>
          </w:tcPr>
          <w:p>
            <w:pPr>
              <w:spacing w:after="0"/>
              <w:rPr>
                <w:sz w:val="20"/>
                <w:szCs w:val="20"/>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b w:val="1"/>
                <w:bCs w:val="1"/>
                <w:color w:val="auto"/>
              </w:rPr>
              <w:t>Industry</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4"/>
              </w:rPr>
              <w:t>2013</w:t>
            </w:r>
          </w:p>
        </w:tc>
        <w:tc>
          <w:tcPr>
            <w:tcW w:w="140" w:type="dxa"/>
            <w:vAlign w:val="bottom"/>
          </w:tcPr>
          <w:p>
            <w:pPr>
              <w:spacing w:after="0"/>
              <w:rPr>
                <w:sz w:val="20"/>
                <w:szCs w:val="20"/>
                <w:color w:val="auto"/>
              </w:rPr>
            </w:pPr>
          </w:p>
        </w:tc>
      </w:tr>
      <w:tr>
        <w:trPr>
          <w:trHeight w:val="20"/>
        </w:trPr>
        <w:tc>
          <w:tcPr>
            <w:tcW w:w="660" w:type="dxa"/>
            <w:vAlign w:val="bottom"/>
            <w:tcBorders>
              <w:bottom w:val="single" w:sz="8" w:color="CCEEFF"/>
            </w:tcBorders>
            <w:shd w:val="clear" w:color="auto" w:fill="000000"/>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4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Healthcare and Pharmaceuticals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color w:val="auto"/>
              </w:rPr>
              <w:t>Hotel, Gaming and Leisure</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2"/>
                <w:szCs w:val="22"/>
                <w:color w:val="auto"/>
              </w:rPr>
            </w:pP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Business Services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color w:val="auto"/>
              </w:rPr>
              <w:t>Consumer Services</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2"/>
                <w:szCs w:val="22"/>
                <w:color w:val="auto"/>
              </w:rPr>
            </w:pP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Media: Advertising, Printing and Publishing</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color w:val="auto"/>
              </w:rPr>
              <w:t>Chemicals, Plastics and Rubber</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2"/>
                <w:szCs w:val="22"/>
                <w:color w:val="auto"/>
              </w:rPr>
            </w:pP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color w:val="auto"/>
              </w:rPr>
              <w:t>Consumer Goods: Non-Durable</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 Finance, Insurance and Real Estate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2"/>
                <w:szCs w:val="22"/>
                <w:color w:val="auto"/>
              </w:rPr>
            </w:pP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Energy: Oil and Gas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41"/>
        </w:trPr>
        <w:tc>
          <w:tcPr>
            <w:tcW w:w="51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color w:val="auto"/>
              </w:rPr>
              <w:t>Retail</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r>
      <w:tr>
        <w:trPr>
          <w:trHeight w:val="378"/>
        </w:trPr>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660"/>
              <w:spacing w:after="0"/>
              <w:rPr>
                <w:sz w:val="20"/>
                <w:szCs w:val="20"/>
                <w:color w:val="auto"/>
              </w:rPr>
            </w:pPr>
            <w:r>
              <w:rPr>
                <w:rFonts w:ascii="Arial" w:cs="Arial" w:eastAsia="Arial" w:hAnsi="Arial"/>
                <w:sz w:val="18"/>
                <w:szCs w:val="18"/>
                <w:color w:val="auto"/>
                <w:w w:val="79"/>
              </w:rPr>
              <w:t>62</w:t>
            </w:r>
          </w:p>
        </w:tc>
        <w:tc>
          <w:tcPr>
            <w:tcW w:w="4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allocates investment opportunities in a fair and equitable manner consistent with our allocation policy, and we have received exemptive relief with respect to certain co-investment transactions.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7"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w:t>
      </w:r>
    </w:p>
    <w:p>
      <w:pPr>
        <w:spacing w:after="0" w:line="107" w:lineRule="exact"/>
        <w:rPr>
          <w:sz w:val="20"/>
          <w:szCs w:val="20"/>
          <w:color w:val="auto"/>
        </w:rPr>
      </w:pPr>
    </w:p>
    <w:p>
      <w:pPr>
        <w:jc w:val="center"/>
        <w:ind w:left="520" w:right="300"/>
        <w:spacing w:after="0" w:line="440" w:lineRule="auto"/>
        <w:rPr>
          <w:sz w:val="20"/>
          <w:szCs w:val="20"/>
          <w:color w:val="auto"/>
        </w:rPr>
      </w:pPr>
      <w:r>
        <w:rPr>
          <w:rFonts w:ascii="Arial" w:cs="Arial" w:eastAsia="Arial" w:hAnsi="Arial"/>
          <w:sz w:val="18"/>
          <w:szCs w:val="18"/>
          <w:color w:val="auto"/>
        </w:rPr>
        <w:t>As of September 30, 2014, there was no portfolio company in which we have made an investment that represents greater than 5% of our total assets. 63</w:t>
      </w:r>
    </w:p>
    <w:p>
      <w:pPr>
        <w:sectPr>
          <w:pgSz w:w="11900" w:h="16838" w:orient="portrait"/>
          <w:cols w:equalWidth="0" w:num="1">
            <w:col w:w="11300"/>
          </w:cols>
          <w:pgMar w:left="24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96"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2014.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2014 Consolidated Financial Statements included elsewhere in this prospectus.</w:t>
      </w:r>
    </w:p>
    <w:p>
      <w:pPr>
        <w:spacing w:after="0" w:line="62"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16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Borders>
              <w:top w:val="single" w:sz="8" w:color="auto"/>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1"/>
              </w:rPr>
              <w:t>Companies less than 5% owned</w:t>
            </w:r>
          </w:p>
        </w:tc>
        <w:tc>
          <w:tcPr>
            <w:tcW w:w="2160" w:type="dxa"/>
            <w:vAlign w:val="bottom"/>
            <w:tcBorders>
              <w:top w:val="single" w:sz="8" w:color="CCEEFF"/>
              <w:bottom w:val="single" w:sz="8" w:color="CCEEFF"/>
            </w:tcBorders>
            <w:shd w:val="clear" w:color="auto" w:fill="CCEEFF"/>
          </w:tcPr>
          <w:p>
            <w:pPr>
              <w:spacing w:after="0"/>
              <w:rPr>
                <w:sz w:val="20"/>
                <w:szCs w:val="20"/>
                <w:color w:val="auto"/>
              </w:rPr>
            </w:pPr>
          </w:p>
        </w:tc>
        <w:tc>
          <w:tcPr>
            <w:tcW w:w="2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Affinion Group Holdings, Inc.</w:t>
            </w:r>
          </w:p>
        </w:tc>
        <w:tc>
          <w:tcPr>
            <w:tcW w:w="2160" w:type="dxa"/>
            <w:vAlign w:val="bottom"/>
          </w:tcPr>
          <w:p>
            <w:pPr>
              <w:spacing w:after="0"/>
              <w:rPr>
                <w:sz w:val="18"/>
                <w:szCs w:val="18"/>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Consumer Goods: Durable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Subordinated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(Affinion Investments LLC)</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Warrants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100 Connecticut Avenue</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Norwalk, CT 06850</w:t>
            </w:r>
          </w:p>
        </w:tc>
        <w:tc>
          <w:tcPr>
            <w:tcW w:w="2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AKA Diversified Holdings, Inc.</w:t>
            </w:r>
          </w:p>
        </w:tc>
        <w:tc>
          <w:tcPr>
            <w:tcW w:w="21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Retail</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(Z Wireless Holdings, Inc.)</w:t>
            </w:r>
          </w:p>
        </w:tc>
        <w:tc>
          <w:tcPr>
            <w:tcW w:w="2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Warrants</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2"/>
              </w:rPr>
              <w:t>775 Prairie Center Drive, Ste. 420</w:t>
            </w:r>
          </w:p>
        </w:tc>
        <w:tc>
          <w:tcPr>
            <w:tcW w:w="2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Eden Prairie, MN 55344</w:t>
            </w:r>
          </w:p>
        </w:tc>
        <w:tc>
          <w:tcPr>
            <w:tcW w:w="216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ALG USA Holdings, LLC</w:t>
            </w:r>
          </w:p>
        </w:tc>
        <w:tc>
          <w:tcPr>
            <w:tcW w:w="2160" w:type="dxa"/>
            <w:vAlign w:val="bottom"/>
          </w:tcPr>
          <w:p>
            <w:pPr>
              <w:spacing w:after="0"/>
              <w:rPr>
                <w:sz w:val="18"/>
                <w:szCs w:val="18"/>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Hotel, Gaming and Leisure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7 Campus Boulevard</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Newtown Square, PA 19073</w:t>
            </w:r>
          </w:p>
        </w:tc>
        <w:tc>
          <w:tcPr>
            <w:tcW w:w="2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Alvogen Pharma US, Inc).</w:t>
            </w:r>
            <w:r>
              <w:rPr>
                <w:rFonts w:ascii="Arial" w:cs="Arial" w:eastAsia="Arial" w:hAnsi="Arial"/>
                <w:sz w:val="11"/>
                <w:szCs w:val="11"/>
                <w:color w:val="auto"/>
              </w:rPr>
              <w:t>(2)</w:t>
            </w:r>
          </w:p>
        </w:tc>
        <w:tc>
          <w:tcPr>
            <w:tcW w:w="21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3"/>
              </w:rPr>
              <w:t>10 Bloomfield Avenue, Building B</w:t>
            </w:r>
          </w:p>
        </w:tc>
        <w:tc>
          <w:tcPr>
            <w:tcW w:w="2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Pine Brook, NJ 07058</w:t>
            </w:r>
          </w:p>
        </w:tc>
        <w:tc>
          <w:tcPr>
            <w:tcW w:w="216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American Gilsonite Company</w:t>
            </w:r>
          </w:p>
        </w:tc>
        <w:tc>
          <w:tcPr>
            <w:tcW w:w="2160" w:type="dxa"/>
            <w:vAlign w:val="bottom"/>
          </w:tcPr>
          <w:p>
            <w:pPr>
              <w:spacing w:after="0"/>
              <w:rPr>
                <w:sz w:val="18"/>
                <w:szCs w:val="18"/>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Metals and Mining</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1717 St. James Place</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Houston, TX 77056</w:t>
            </w:r>
          </w:p>
        </w:tc>
        <w:tc>
          <w:tcPr>
            <w:tcW w:w="2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Ancile Solutions, Inc.</w:t>
            </w:r>
          </w:p>
        </w:tc>
        <w:tc>
          <w:tcPr>
            <w:tcW w:w="21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6085 Marshalee Drive</w:t>
            </w:r>
          </w:p>
        </w:tc>
        <w:tc>
          <w:tcPr>
            <w:tcW w:w="2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Elkridge, MD 21075</w:t>
            </w:r>
          </w:p>
        </w:tc>
        <w:tc>
          <w:tcPr>
            <w:tcW w:w="216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AP Gaming I, LLC</w:t>
            </w:r>
          </w:p>
        </w:tc>
        <w:tc>
          <w:tcPr>
            <w:tcW w:w="2160" w:type="dxa"/>
            <w:vAlign w:val="bottom"/>
          </w:tcPr>
          <w:p>
            <w:pPr>
              <w:spacing w:after="0"/>
              <w:rPr>
                <w:sz w:val="18"/>
                <w:szCs w:val="18"/>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Hotel, Gaming and Leisure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6680 Amelia Earhart Court</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Las Vegas, NV 89119</w:t>
            </w:r>
          </w:p>
        </w:tc>
        <w:tc>
          <w:tcPr>
            <w:tcW w:w="2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Ascend Learning, LLC</w:t>
            </w:r>
          </w:p>
        </w:tc>
        <w:tc>
          <w:tcPr>
            <w:tcW w:w="21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Media: Broadcasting and</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5 Wall Street</w:t>
            </w:r>
          </w:p>
        </w:tc>
        <w:tc>
          <w:tcPr>
            <w:tcW w:w="21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Subscription</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Burlington, MA 01803</w:t>
            </w:r>
          </w:p>
        </w:tc>
        <w:tc>
          <w:tcPr>
            <w:tcW w:w="216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7"/>
              </w:rPr>
              <w:t>Aspen Dental Management, Inc.</w:t>
            </w:r>
          </w:p>
        </w:tc>
        <w:tc>
          <w:tcPr>
            <w:tcW w:w="2160" w:type="dxa"/>
            <w:vAlign w:val="bottom"/>
          </w:tcPr>
          <w:p>
            <w:pPr>
              <w:spacing w:after="0"/>
              <w:rPr>
                <w:sz w:val="18"/>
                <w:szCs w:val="18"/>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Consumer Services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281 Sanders Creek Parkway</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East Syracuse, NY 13057</w:t>
            </w:r>
          </w:p>
        </w:tc>
        <w:tc>
          <w:tcPr>
            <w:tcW w:w="2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12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ATI Holdings, Inc.</w:t>
            </w:r>
          </w:p>
        </w:tc>
        <w:tc>
          <w:tcPr>
            <w:tcW w:w="216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6"/>
              </w:rPr>
              <w:t>Healthcare and Pharmaceuticals</w:t>
            </w:r>
          </w:p>
        </w:tc>
        <w:tc>
          <w:tcPr>
            <w:tcW w:w="10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790 Remington Boulevard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Bolingbrook, IL 60440</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Azure Midstream Energy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Energy: Oil and Gas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1250 Wood Bridge Branch Park Dr., Ste. 100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Houston, TX 77079</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 Industries,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Automotive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5640 Commerce Blvd. East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Mobile, AL 36619</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Blue Bird Body Company</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Automotive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402 Blue Bird Boulevard</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Fort Valley, GA 31030</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Bowlmor AMF, Corp.</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Retail</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222 W. 44</w:t>
            </w:r>
            <w:r>
              <w:rPr>
                <w:rFonts w:ascii="Arial" w:cs="Arial" w:eastAsia="Arial" w:hAnsi="Arial"/>
                <w:sz w:val="11"/>
                <w:szCs w:val="11"/>
                <w:color w:val="auto"/>
              </w:rPr>
              <w:t>th</w:t>
            </w:r>
            <w:r>
              <w:rPr>
                <w:rFonts w:ascii="Arial" w:cs="Arial" w:eastAsia="Arial" w:hAnsi="Arial"/>
                <w:sz w:val="18"/>
                <w:szCs w:val="18"/>
                <w:color w:val="auto"/>
              </w:rPr>
              <w:t xml:space="preserve"> St.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10036</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Cannery Casino Resorts,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Hotel, Gaming and Leisure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2121 E Craig Road North</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Las Vegas, NV 89030</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Carolina Beverage Group,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Beverage, Food and Tobacco</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 Barley Park Lane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Mooresville, NC 28115</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CBAC Borrower,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Hotel, Gaming and Leisure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One Caesars Palace Drive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Las Vegas, NV 89109</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Charming Charlie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Retail</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5999 Savoy Drive,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77036</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Chicken Soup for the Soul Publishing,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Media: Advertising, Printing and</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21 Hedgerow Lane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Publishing</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Greenwich, CT 06831</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Creative Circle,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Media: Advertising, Printing and</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5900 Wilshire Boulevard</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Publishing</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 CA 90036</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Credit Infonet,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Subordinated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4540 Honeywell Court</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Dayton, OH 45424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Curo Health Services,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491 Williamson Road, Suite 204</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Mooresville, NC 28117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DCS Business Services,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333 North Canyon Parkway, Ste. 100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Livermore, CA 94551</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Edmentum,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Media: Broadcasting and</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5600 West 83rd Street, Ste. 300, 8200 Tower</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Subscription</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Bloomington, MN 55437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eResearchTechnology, Inc.</w:t>
            </w:r>
          </w:p>
        </w:tc>
        <w:tc>
          <w:tcPr>
            <w:tcW w:w="216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6"/>
              </w:rPr>
              <w:t>Healthcare and Pharmaceuticals</w:t>
            </w:r>
          </w:p>
        </w:tc>
        <w:tc>
          <w:tcPr>
            <w:tcW w:w="10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1818 Market Street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Philandelphia, PA 19103</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e-Rewards,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5800 Tennyson Parkway, Suite 600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Plano, TX 75024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FHC Health Systems,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240 Corporate Boulevard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Norfolk, VA 23502</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Fishnet Security,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6130 Sprint Parkway, Ste. 400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Overland Park, KS 66211</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GlobalLogic Holdings,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 Technology Drive, 4th Floor</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 95110</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Granite Broadcasting Corporation</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Media: Broadcasting and</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767 Third Avenue, 34th Floor</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Subscription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New York, NY 10017</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Greenway Health,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Greenway Blvd.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Carrollton, GA 30117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Help/Systems Holdings,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6455 City West Parkway</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Eden Prairie, MN 55344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Hollander Sleep Products,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Consumer Goods: Non-Durable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6501 Congress Avenue, Ste. 300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Boca Raton, FL 33487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Hostway Corporation</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100 N Riverside, Ste. 800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Chicago, IL 60606</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Hunter Defense Technologies,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Aerospace and Defense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30500 Aurora Road, Ste. 100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Solon, OH 44139</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IDQ Holdings,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Automotive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2901 West Kingsley Road</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Garland, TX 75041</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iEnergizer Limited and Aptara, Inc.</w:t>
            </w:r>
            <w:r>
              <w:rPr>
                <w:rFonts w:ascii="Arial" w:cs="Arial" w:eastAsia="Arial" w:hAnsi="Arial"/>
                <w:sz w:val="11"/>
                <w:szCs w:val="11"/>
                <w:color w:val="auto"/>
              </w:rPr>
              <w:t>(2)</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 Crevelt House, Bulwer Avenue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Sampson, Guernsey GY2 4LH</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InfuSystem Holdings,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31700 Reseach Park Drive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Madison Heights, MI 48071</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Instant Web,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Media: Advertising, Printing and</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7951 Powers Boulevard</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Publishing</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Chanhassen, MN 55317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Jackson Hewitt Tax Service Inc.</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Consumer Services</w:t>
            </w:r>
          </w:p>
        </w:tc>
        <w:tc>
          <w:tcPr>
            <w:tcW w:w="10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Sylvan Way</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Parsippany, NJ 07054</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J.A. Cosmetics Holdings,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Consumer Goods: Durable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345 California Street, Ste. 3300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Preferred Equity</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San Francisco, CA 94104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K2 Pure Solutions NoCal, L.P.</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Chemicals, Plastics and Rubber</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3515 Massillion Road Ste. 290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Uniontown, OH 44685</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Language Line,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Consumer Services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 Lower Ragsdale Drive, Building 2</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Monterey CA, 93940</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Lanyon Solutions,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10182 Telesis Court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Diego, CA 92121</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LifeCare Holdings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5340 Legacy Drive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Ste. 150, Building 4</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Plano, TX 75024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Meritas Schools Holdings,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Consumer Services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630 Dundee Road, Ste. 400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Northbrook, IL 60062</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National Surgical Hospitals,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250 South Wacker Drive, Ste. 500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Chicago, IL 60606</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Trident HoldCorp,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930 Ridgebrook Road, 3rd Floor</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Sparks, MD 21152</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Novitex Acquisition,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 Elmcroft Road</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Stamford, CT 06926</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Patriot National,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Banking, Finance, Insurance and</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401 E. Las Olas Blvd., Ste. 1650</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Real Estate</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Warrants</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Lauderdale, FL 33301</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Penton Media,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Media: Diversified and</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249 W. 17th Street, 4th Floor</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Production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New York, NY 10011</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Polyconcept Finance B.V.</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Consumer Goods: Non-Durable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 Hunt Valley Road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Kensington, PA 15068</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Premier Dental Services,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Consumer Services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530 S Main Street, 6th Floor</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Orange, CA 92868</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Quality Home Brands Holdings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Consumer Goods: Durable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7400 Linder Avenue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Skokie, IL 60077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RCS Capital Corporation</w:t>
            </w:r>
            <w:r>
              <w:rPr>
                <w:rFonts w:ascii="Arial" w:cs="Arial" w:eastAsia="Arial" w:hAnsi="Arial"/>
                <w:sz w:val="11"/>
                <w:szCs w:val="11"/>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Banking, Finance, Insurance and</w:t>
            </w:r>
          </w:p>
        </w:tc>
        <w:tc>
          <w:tcPr>
            <w:tcW w:w="10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405 Park Avenue</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Real Estate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Robertshaw US Holding Corp.</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Consumer Goods: Durable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191 East North Avenue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Carol Stream, IL 60188</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SCE Partners,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Hotel, Gaming and Leisure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WG-Iowa, LLC</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3883 Howard Hughes Parkway, Ste. 800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Vegas, NV 89169</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Securus Technologies Holdings,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Telecommunications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14651 Dallas Parkway, Ste. 600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Dallas, TX 75254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Sotera Defense Solutions,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Aerospace and Defense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2121 Cooperative Way, Ste. 400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Herndon, VA 20171</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St. George’s University Scholastic Services LLC</w:t>
            </w:r>
            <w:r>
              <w:rPr>
                <w:rFonts w:ascii="Arial" w:cs="Arial" w:eastAsia="Arial" w:hAnsi="Arial"/>
                <w:sz w:val="11"/>
                <w:szCs w:val="11"/>
                <w:color w:val="auto"/>
              </w:rPr>
              <w:t>(2)</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Consumer Services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3500 Sunrise Highway, Bldg. 300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Great River, NY 11739</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Sunshine Oilsands Ltd.</w:t>
            </w:r>
            <w:r>
              <w:rPr>
                <w:rFonts w:ascii="Arial" w:cs="Arial" w:eastAsia="Arial" w:hAnsi="Arial"/>
                <w:sz w:val="11"/>
                <w:szCs w:val="11"/>
                <w:color w:val="auto"/>
              </w:rPr>
              <w:t>(2)</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Energy: Oil and Gas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1020, 903 - 8 Avenue S.W.</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Calgary, Alberta, Canada T2P 0P7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Surgical Specialties Corporation (US),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355 Burrand Street, Ste. 1100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Vancouver, British Columbia, Canada V6C 2G8</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Sutherland Global Services,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1160 Pittsford Victor Road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Pittsford, NY 14534</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Systems Maintenance Services Holding,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10420 Harris Oaks Blvd, Ste. C</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Charlotte, NC 28269</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Tensar Corporation</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Construction and Buildings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 Northwinds Parkway, Ste. 500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Alpharetta, GA 30009</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Therakos,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1001 US Route 202</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Raritan, NJ 08869</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UniTek Global Services,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Telecommunications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1777 Sentry Parkway West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Warrants</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Gwynedd Hall, Ste. 202</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Bell, PA 19422</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Vestcom International,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Media: Advertising, Printing and</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7302 Kanis Road</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Publishing</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Little Rock, AR 72204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Virtual Radiologic Corporation</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11995 Singletree Lane, Ste. 500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Eden Prairie, MN 55344</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Wilton Brands, LLC</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Consumer Goods: Non-Durable</w:t>
            </w:r>
          </w:p>
        </w:tc>
        <w:tc>
          <w:tcPr>
            <w:tcW w:w="10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2240 W. 75th Street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Woodridge, IL 60517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YP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Media: Advertising, Printing and</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2247 Northlake Parkway</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Publishing</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Tucker, GA 30084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Zest Holdings,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2061 Wineridge Place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Escondido, CA 92029</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220" w:right="540" w:hanging="212"/>
        <w:spacing w:after="0" w:line="230" w:lineRule="auto"/>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1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4"/>
              </w:rPr>
              <w:t>September 30, 2014</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September 30, 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8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0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High Tech Industries</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14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Consumer Services</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Media: Advertising, Printing and Publishing</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Consumer Goods: Durable</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and Real Estate</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Aerospace and Defense</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Energy: Oil and Gas</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Media: Diversified and Production</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Containers, Packaging and Glass</w:t>
            </w:r>
          </w:p>
        </w:tc>
        <w:tc>
          <w:tcPr>
            <w:tcW w:w="2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Metals and Mining</w:t>
            </w: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All Other</w:t>
            </w:r>
          </w:p>
        </w:tc>
        <w:tc>
          <w:tcPr>
            <w:tcW w:w="2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760" w:type="dxa"/>
            <w:vAlign w:val="bottom"/>
            <w:gridSpan w:val="4"/>
            <w:shd w:val="clear" w:color="auto" w:fill="CCEEFF"/>
          </w:tcPr>
          <w:p>
            <w:pPr>
              <w:jc w:val="right"/>
              <w:ind w:right="800"/>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80" w:type="dxa"/>
            <w:vAlign w:val="bottom"/>
            <w:vMerge w:val="restart"/>
          </w:tcPr>
          <w:p>
            <w:pPr>
              <w:jc w:val="right"/>
              <w:ind w:right="1372"/>
              <w:spacing w:after="0"/>
              <w:rPr>
                <w:sz w:val="20"/>
                <w:szCs w:val="20"/>
                <w:color w:val="auto"/>
              </w:rPr>
            </w:pPr>
            <w:r>
              <w:rPr>
                <w:rFonts w:ascii="Arial" w:cs="Arial" w:eastAsia="Arial" w:hAnsi="Arial"/>
                <w:sz w:val="18"/>
                <w:szCs w:val="18"/>
                <w:color w:val="auto"/>
              </w:rPr>
              <w:t>69</w:t>
            </w:r>
          </w:p>
        </w:tc>
        <w:tc>
          <w:tcPr>
            <w:tcW w:w="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or directors,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Director</w:t>
            </w:r>
          </w:p>
        </w:tc>
        <w:tc>
          <w:tcPr>
            <w:tcW w:w="840" w:type="dxa"/>
            <w:vAlign w:val="bottom"/>
          </w:tcPr>
          <w:p>
            <w:pPr>
              <w:jc w:val="right"/>
              <w:ind w:right="118"/>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4"/>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Since</w:t>
            </w:r>
          </w:p>
        </w:tc>
        <w:tc>
          <w:tcPr>
            <w:tcW w:w="840" w:type="dxa"/>
            <w:vAlign w:val="bottom"/>
          </w:tcPr>
          <w:p>
            <w:pPr>
              <w:jc w:val="right"/>
              <w:ind w:right="218"/>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840" w:type="dxa"/>
            <w:vAlign w:val="bottom"/>
          </w:tcPr>
          <w:p>
            <w:pPr>
              <w:jc w:val="right"/>
              <w:ind w:right="158"/>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840" w:type="dxa"/>
            <w:vAlign w:val="bottom"/>
          </w:tcPr>
          <w:p>
            <w:pPr>
              <w:jc w:val="right"/>
              <w:ind w:right="158"/>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Chairman of the Board and Chief Executive Officer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r>
        <w:trPr>
          <w:trHeight w:val="156"/>
        </w:trPr>
        <w:tc>
          <w:tcPr>
            <w:tcW w:w="5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r>
        <w:trPr>
          <w:trHeight w:val="156"/>
        </w:trPr>
        <w:tc>
          <w:tcPr>
            <w:tcW w:w="5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r>
    </w:tbl>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59"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4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37"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controls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35"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the Compensation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6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Adam K. Bernstein (51), Director. Mr. Bernstein became a Director of PennantPark Floating Rate Capital Ltd. and PennantPark Investment Corporation in October 2010 and February 2007,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35"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Marshall Brozost (47), Director. Mr. Brozost became a Director of PennantPark Floating Rate Capital Ltd. and PennantPark Investment Corporation in October 2010 and February 2007, respectively. Since May 2012, Mr. Brozost has been a Partner at Schulte Roth &amp; Zabel, LLP, where he practices in the real estate and private equity groups. Prior to Schulte Roth &amp; Zabel, Mr. Brozost practiced law at O’Melveny &amp; Myers LLP from 2001 to 2004; Solomon &amp; Weinberg LLP from 2004 to 2005; Dewey &amp; LeBoeuf LLP from 2005 to 2012. Mr. Brozost also served as a Vice President of Nomura Asset Capital Corporation from 1997 through 2000.</w:t>
      </w:r>
    </w:p>
    <w:p>
      <w:pPr>
        <w:spacing w:after="0" w:line="62"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Jeffrey Flug (52), Director. Mr. Flug became a Director of PennantPark Floating Rate Capital Ltd. and PennantPark Investment Corporation in October 2010 and February 2007, respectively. Since 2009, Mr. Flug has held a variety of senior positions, including, currently, President of Union Square Hospitality Group, an exclusive chain of restaurants. Since October 2012, Mr. Flug has been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9" w:lineRule="exact"/>
        <w:rPr>
          <w:sz w:val="20"/>
          <w:szCs w:val="20"/>
          <w:color w:val="auto"/>
        </w:rPr>
      </w:pPr>
    </w:p>
    <w:p>
      <w:pPr>
        <w:ind w:right="140" w:firstLine="571"/>
        <w:spacing w:after="0" w:line="289" w:lineRule="auto"/>
        <w:rPr>
          <w:sz w:val="20"/>
          <w:szCs w:val="20"/>
          <w:color w:val="auto"/>
        </w:rPr>
      </w:pPr>
      <w:r>
        <w:rPr>
          <w:rFonts w:ascii="Arial" w:cs="Arial" w:eastAsia="Arial" w:hAnsi="Arial"/>
          <w:sz w:val="16"/>
          <w:szCs w:val="16"/>
          <w:color w:val="auto"/>
        </w:rPr>
        <w:t>Samuel L. Katz (49), Director. Mr. Katz became a Director of PennantPark Floating Rate Capital Ltd. and PennantPark Investment Corporation in October 2010 and February 2007, respectively.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Arthur H. Penn (51), Founder, Chief Executive Officer and Chairman of the board of directors. Mr. Penn became the Chief Executive Officer and a Director of PennantPark Floating Rate Capital Ltd. and PennantPark Investment Corporation at their inception in 2010 and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Aviv Efrat (50),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63"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Guy F. Talarico (59), Chief Compliance Officer. Mr. Talarico became the Chief Compliance Officer of PennantPark Floating Rate Capital Ltd. and PennantPark Investment Corporation in March 2011 and May 2008, respectively. Mr. Talarico has held the position of Chief Compliance Officer for a number of investment advisers, private funds and investment companies from 2004 when he founded Alaric Compliance Services,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For the fiscal year ended September 30, 2014, we held five board of directors’ meetings, five Audit Committee meetings and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2014, all of the directors attended the annual stockholders’ meeting.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47"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80" w:firstLine="571"/>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2014. No compensation is paid directly by us to any interested director or executive officer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2"/>
              </w:rPr>
              <w:t>PennantPark Floating Rate Capital Ltd.</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1"/>
              </w:rPr>
              <w:t>PennantPark Investment Corporation</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Pension or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Pension or</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Aggregate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retirement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benefits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benefits</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9"/>
              </w:rPr>
              <w:t>from the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500" w:type="dxa"/>
            <w:vAlign w:val="bottom"/>
          </w:tcPr>
          <w:p>
            <w:pPr>
              <w:spacing w:after="0"/>
              <w:rPr>
                <w:sz w:val="11"/>
                <w:szCs w:val="11"/>
                <w:color w:val="auto"/>
              </w:rPr>
            </w:pPr>
          </w:p>
        </w:tc>
        <w:tc>
          <w:tcPr>
            <w:tcW w:w="1140" w:type="dxa"/>
            <w:vAlign w:val="bottom"/>
            <w:gridSpan w:val="3"/>
          </w:tcPr>
          <w:p>
            <w:pPr>
              <w:jc w:val="right"/>
              <w:ind w:right="320"/>
              <w:spacing w:after="0" w:line="135" w:lineRule="exact"/>
              <w:rPr>
                <w:sz w:val="20"/>
                <w:szCs w:val="20"/>
                <w:color w:val="auto"/>
              </w:rPr>
            </w:pPr>
            <w:r>
              <w:rPr>
                <w:rFonts w:ascii="Arial" w:cs="Arial" w:eastAsia="Arial" w:hAnsi="Arial"/>
                <w:sz w:val="14"/>
                <w:szCs w:val="14"/>
                <w:b w:val="1"/>
                <w:bCs w:val="1"/>
                <w:color w:val="auto"/>
                <w:w w:val="96"/>
              </w:rPr>
              <w:t>Total paid to</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from the</w:t>
            </w:r>
          </w:p>
        </w:tc>
        <w:tc>
          <w:tcPr>
            <w:tcW w:w="15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30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Company</w:t>
            </w:r>
          </w:p>
        </w:tc>
        <w:tc>
          <w:tcPr>
            <w:tcW w:w="98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50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Company</w:t>
            </w:r>
          </w:p>
        </w:tc>
        <w:tc>
          <w:tcPr>
            <w:tcW w:w="1500" w:type="dxa"/>
            <w:vAlign w:val="bottom"/>
            <w:gridSpan w:val="2"/>
          </w:tcPr>
          <w:p>
            <w:pPr>
              <w:jc w:val="right"/>
              <w:ind w:right="520"/>
              <w:spacing w:after="0" w:line="176" w:lineRule="exact"/>
              <w:rPr>
                <w:sz w:val="20"/>
                <w:szCs w:val="20"/>
                <w:color w:val="auto"/>
              </w:rPr>
            </w:pPr>
            <w:r>
              <w:rPr>
                <w:rFonts w:ascii="Arial" w:cs="Arial" w:eastAsia="Arial" w:hAnsi="Arial"/>
                <w:sz w:val="13"/>
                <w:szCs w:val="13"/>
                <w:b w:val="1"/>
                <w:bCs w:val="1"/>
                <w:color w:val="auto"/>
                <w:w w:val="88"/>
              </w:rPr>
              <w:t>of our expense</w:t>
            </w:r>
            <w:r>
              <w:rPr>
                <w:rFonts w:ascii="Arial" w:cs="Arial" w:eastAsia="Arial" w:hAnsi="Arial"/>
                <w:sz w:val="20"/>
                <w:szCs w:val="20"/>
                <w:b w:val="1"/>
                <w:bCs w:val="1"/>
                <w:color w:val="auto"/>
                <w:w w:val="88"/>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Adam K. Bernstein</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58,750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58,750</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112,500</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112,500</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112,500</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112,500</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Jeffrey Flug</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61,250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61,250</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120,000</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120,000</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122,500</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122,500</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Interested director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Arthur H. Penn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None</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Executive officer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None</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220" w:hanging="212"/>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14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Each Independent Director receives an annual payment of $50,000 for services performed on behalf of us as a director. The Independent Directors also receive $2,500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 (as defined in the 1940 Act). Prior to May 7, 2014, each Independent Director received $1,250 for services performed on behalf of us as a director.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260" w:firstLine="571"/>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addition to managing our investments, as of September 30, 2014 our portfolio managers also managed investments on behalf of the following entities:</w:t>
      </w:r>
    </w:p>
    <w:p>
      <w:pPr>
        <w:sectPr>
          <w:pgSz w:w="11900" w:h="16838" w:orient="portrait"/>
          <w:cols w:equalWidth="0" w:num="1">
            <w:col w:w="11320"/>
          </w:cols>
          <w:pgMar w:left="240" w:top="459" w:right="339" w:bottom="1440" w:gutter="0" w:footer="0" w:header="0"/>
        </w:sect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5"/>
                <w:szCs w:val="15"/>
                <w:color w:val="auto"/>
              </w:rPr>
            </w:pPr>
          </w:p>
        </w:tc>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Investment Focus</w:t>
            </w:r>
          </w:p>
        </w:tc>
      </w:tr>
      <w:tr>
        <w:trPr>
          <w:trHeight w:val="28"/>
        </w:trPr>
        <w:tc>
          <w:tcPr>
            <w:tcW w:w="2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01"/>
        </w:trPr>
        <w:tc>
          <w:tcPr>
            <w:tcW w:w="2960" w:type="dxa"/>
            <w:vAlign w:val="bottom"/>
          </w:tcPr>
          <w:p>
            <w:pPr>
              <w:ind w:left="60"/>
              <w:spacing w:after="0" w:line="201" w:lineRule="exact"/>
              <w:rPr>
                <w:sz w:val="20"/>
                <w:szCs w:val="20"/>
                <w:color w:val="auto"/>
              </w:rPr>
            </w:pPr>
            <w:r>
              <w:rPr>
                <w:rFonts w:ascii="Arial" w:cs="Arial" w:eastAsia="Arial" w:hAnsi="Arial"/>
                <w:sz w:val="18"/>
                <w:szCs w:val="18"/>
                <w:color w:val="auto"/>
                <w:w w:val="97"/>
              </w:rPr>
              <w:t>PennantPark Investment Corporation</w:t>
            </w:r>
          </w:p>
        </w:tc>
        <w:tc>
          <w:tcPr>
            <w:tcW w:w="100" w:type="dxa"/>
            <w:vAlign w:val="bottom"/>
          </w:tcPr>
          <w:p>
            <w:pPr>
              <w:spacing w:after="0"/>
              <w:rPr>
                <w:sz w:val="17"/>
                <w:szCs w:val="17"/>
                <w:color w:val="auto"/>
              </w:rPr>
            </w:pPr>
          </w:p>
        </w:tc>
        <w:tc>
          <w:tcPr>
            <w:tcW w:w="1620" w:type="dxa"/>
            <w:vAlign w:val="bottom"/>
          </w:tcPr>
          <w:p>
            <w:pPr>
              <w:ind w:left="40"/>
              <w:spacing w:after="0" w:line="201" w:lineRule="exact"/>
              <w:rPr>
                <w:sz w:val="20"/>
                <w:szCs w:val="20"/>
                <w:color w:val="auto"/>
              </w:rPr>
            </w:pPr>
            <w:r>
              <w:rPr>
                <w:rFonts w:ascii="Arial" w:cs="Arial" w:eastAsia="Arial" w:hAnsi="Arial"/>
                <w:sz w:val="18"/>
                <w:szCs w:val="18"/>
                <w:color w:val="auto"/>
                <w:w w:val="86"/>
              </w:rPr>
              <w:t>Business development</w:t>
            </w:r>
          </w:p>
        </w:tc>
        <w:tc>
          <w:tcPr>
            <w:tcW w:w="100" w:type="dxa"/>
            <w:vAlign w:val="bottom"/>
          </w:tcPr>
          <w:p>
            <w:pPr>
              <w:spacing w:after="0"/>
              <w:rPr>
                <w:sz w:val="17"/>
                <w:szCs w:val="17"/>
                <w:color w:val="auto"/>
              </w:rPr>
            </w:pPr>
          </w:p>
        </w:tc>
        <w:tc>
          <w:tcPr>
            <w:tcW w:w="5600" w:type="dxa"/>
            <w:vAlign w:val="bottom"/>
          </w:tcPr>
          <w:p>
            <w:pPr>
              <w:ind w:left="60"/>
              <w:spacing w:after="0" w:line="201" w:lineRule="exact"/>
              <w:rPr>
                <w:sz w:val="20"/>
                <w:szCs w:val="20"/>
                <w:color w:val="auto"/>
              </w:rPr>
            </w:pPr>
            <w:r>
              <w:rPr>
                <w:rFonts w:ascii="Arial" w:cs="Arial" w:eastAsia="Arial" w:hAnsi="Arial"/>
                <w:sz w:val="18"/>
                <w:szCs w:val="18"/>
                <w:color w:val="auto"/>
                <w:w w:val="96"/>
              </w:rPr>
              <w:t>Primarily in U.S. middle-market companies in the form of senior secured</w:t>
            </w:r>
          </w:p>
        </w:tc>
      </w:t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rPr>
              <w:t>company</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loans, mezzanine debt and equity investments.</w:t>
            </w:r>
          </w:p>
        </w:tc>
      </w:tr>
      <w:tr>
        <w:trPr>
          <w:trHeight w:val="216"/>
        </w:trPr>
        <w:tc>
          <w:tcPr>
            <w:tcW w:w="3060" w:type="dxa"/>
            <w:vAlign w:val="bottom"/>
            <w:gridSpan w:val="2"/>
          </w:tcPr>
          <w:p>
            <w:pPr>
              <w:ind w:left="60"/>
              <w:spacing w:after="0"/>
              <w:rPr>
                <w:sz w:val="20"/>
                <w:szCs w:val="20"/>
                <w:color w:val="auto"/>
              </w:rPr>
            </w:pPr>
            <w:r>
              <w:rPr>
                <w:rFonts w:ascii="Arial" w:cs="Arial" w:eastAsia="Arial" w:hAnsi="Arial"/>
                <w:sz w:val="18"/>
                <w:szCs w:val="18"/>
                <w:color w:val="auto"/>
              </w:rPr>
              <w:t>Other Managed Fund</w:t>
            </w:r>
          </w:p>
        </w:tc>
        <w:tc>
          <w:tcPr>
            <w:tcW w:w="1620" w:type="dxa"/>
            <w:vAlign w:val="bottom"/>
          </w:tcPr>
          <w:p>
            <w:pPr>
              <w:ind w:left="40"/>
              <w:spacing w:after="0"/>
              <w:rPr>
                <w:sz w:val="20"/>
                <w:szCs w:val="20"/>
                <w:color w:val="auto"/>
              </w:rPr>
            </w:pPr>
            <w:r>
              <w:rPr>
                <w:rFonts w:ascii="Arial" w:cs="Arial" w:eastAsia="Arial" w:hAnsi="Arial"/>
                <w:sz w:val="18"/>
                <w:szCs w:val="18"/>
                <w:color w:val="auto"/>
              </w:rPr>
              <w:t>Private Investment</w:t>
            </w:r>
          </w:p>
        </w:tc>
        <w:tc>
          <w:tcPr>
            <w:tcW w:w="10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Arial" w:cs="Arial" w:eastAsia="Arial" w:hAnsi="Arial"/>
                <w:sz w:val="18"/>
                <w:szCs w:val="18"/>
                <w:color w:val="auto"/>
              </w:rPr>
              <w:t>Other credit opportunities</w:t>
            </w:r>
          </w:p>
        </w:tc>
      </w:tr>
      <w:tr>
        <w:trPr>
          <w:trHeight w:val="222"/>
        </w:trPr>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rPr>
              <w:t>Fund</w:t>
            </w: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283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both"/>
        <w:ind w:left="32" w:firstLine="37"/>
        <w:spacing w:after="0" w:line="372" w:lineRule="auto"/>
        <w:rPr>
          <w:sz w:val="20"/>
          <w:szCs w:val="20"/>
          <w:color w:val="auto"/>
        </w:rPr>
      </w:pPr>
      <w:r>
        <w:rPr>
          <w:rFonts w:ascii="Arial" w:cs="Arial" w:eastAsia="Arial" w:hAnsi="Arial"/>
          <w:sz w:val="11"/>
          <w:szCs w:val="11"/>
          <w:b w:val="1"/>
          <w:bCs w:val="1"/>
          <w:color w:val="auto"/>
        </w:rPr>
        <w:t>Gross Assets ($ in millions)</w:t>
      </w:r>
    </w:p>
    <w:p>
      <w:pPr>
        <w:spacing w:after="0" w:line="139" w:lineRule="exact"/>
        <w:rPr>
          <w:sz w:val="20"/>
          <w:szCs w:val="20"/>
          <w:color w:val="auto"/>
        </w:rPr>
      </w:pPr>
    </w:p>
    <w:p>
      <w:pPr>
        <w:ind w:left="452" w:hanging="452"/>
        <w:spacing w:after="0"/>
        <w:tabs>
          <w:tab w:leader="none" w:pos="452" w:val="left"/>
        </w:tabs>
        <w:numPr>
          <w:ilvl w:val="0"/>
          <w:numId w:val="39"/>
        </w:numPr>
        <w:rPr>
          <w:rFonts w:ascii="Arial" w:cs="Arial" w:eastAsia="Arial" w:hAnsi="Arial"/>
          <w:sz w:val="15"/>
          <w:szCs w:val="15"/>
          <w:color w:val="auto"/>
        </w:rPr>
      </w:pPr>
      <w:r>
        <w:rPr>
          <w:rFonts w:ascii="Arial" w:cs="Arial" w:eastAsia="Arial" w:hAnsi="Arial"/>
          <w:sz w:val="15"/>
          <w:szCs w:val="15"/>
          <w:color w:val="auto"/>
        </w:rPr>
        <w:t>1,411</w:t>
      </w:r>
    </w:p>
    <w:p>
      <w:pPr>
        <w:spacing w:after="0" w:line="49" w:lineRule="exact"/>
        <w:rPr>
          <w:rFonts w:ascii="Arial" w:cs="Arial" w:eastAsia="Arial" w:hAnsi="Arial"/>
          <w:sz w:val="15"/>
          <w:szCs w:val="15"/>
          <w:color w:val="auto"/>
        </w:rPr>
      </w:pPr>
    </w:p>
    <w:p>
      <w:pPr>
        <w:ind w:left="652" w:hanging="652"/>
        <w:spacing w:after="0"/>
        <w:tabs>
          <w:tab w:leader="none" w:pos="6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46</w:t>
      </w:r>
    </w:p>
    <w:p>
      <w:pPr>
        <w:spacing w:after="0" w:line="404" w:lineRule="exact"/>
        <w:rPr>
          <w:sz w:val="20"/>
          <w:szCs w:val="20"/>
          <w:color w:val="auto"/>
        </w:rPr>
      </w:pPr>
    </w:p>
    <w:p>
      <w:pPr>
        <w:sectPr>
          <w:pgSz w:w="11900" w:h="16838" w:orient="portrait"/>
          <w:cols w:equalWidth="0" w:num="2">
            <w:col w:w="10380" w:space="108"/>
            <w:col w:w="832"/>
          </w:cols>
          <w:pgMar w:left="240" w:top="459" w:right="339" w:bottom="1440" w:gutter="0" w:footer="0" w:header="0"/>
          <w:type w:val="continuous"/>
        </w:sectPr>
      </w:pPr>
    </w:p>
    <w:p>
      <w:pPr>
        <w:ind w:right="360" w:firstLine="571"/>
        <w:spacing w:after="0" w:line="268" w:lineRule="auto"/>
        <w:rPr>
          <w:sz w:val="20"/>
          <w:szCs w:val="20"/>
          <w:color w:val="auto"/>
        </w:rPr>
      </w:pPr>
      <w:r>
        <w:rPr>
          <w:rFonts w:ascii="Arial" w:cs="Arial" w:eastAsia="Arial" w:hAnsi="Arial"/>
          <w:sz w:val="18"/>
          <w:szCs w:val="18"/>
          <w:color w:val="auto"/>
        </w:rPr>
        <w:t>The management and incentive fees payable by PennantPark Investment Corporation are based on the gross assets and performance of PennantPark Investment Corporation, respectively.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20"/>
          </w:cols>
          <w:pgMar w:left="240" w:top="459" w:right="3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360" w:firstLine="571"/>
        <w:spacing w:after="0" w:line="268" w:lineRule="auto"/>
        <w:rPr>
          <w:sz w:val="20"/>
          <w:szCs w:val="20"/>
          <w:color w:val="auto"/>
        </w:rPr>
      </w:pPr>
      <w:r>
        <w:rPr>
          <w:rFonts w:ascii="Arial" w:cs="Arial" w:eastAsia="Arial" w:hAnsi="Arial"/>
          <w:sz w:val="18"/>
          <w:szCs w:val="18"/>
          <w:color w:val="auto"/>
        </w:rPr>
        <w:t>As of January 9, 2015, to our knowledge, no person would be deemed to “control” us, as such term is defined in the 1940 Act. Our board of directors consist of an interested director and Independent Directors.</w:t>
      </w:r>
    </w:p>
    <w:p>
      <w:pPr>
        <w:spacing w:after="0" w:line="132"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The following table sets forth, as of January 9, 2015,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Common</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ind w:right="812"/>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1"/>
                <w:szCs w:val="11"/>
                <w:b w:val="1"/>
                <w:bCs w:val="1"/>
                <w:color w:val="auto"/>
              </w:rPr>
              <w:t>(1)</w:t>
            </w:r>
          </w:p>
        </w:tc>
        <w:tc>
          <w:tcPr>
            <w:tcW w:w="2500" w:type="dxa"/>
            <w:vAlign w:val="bottom"/>
            <w:gridSpan w:val="2"/>
          </w:tcPr>
          <w:p>
            <w:pPr>
              <w:ind w:left="44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1"/>
                <w:szCs w:val="11"/>
                <w:b w:val="1"/>
                <w:bCs w:val="1"/>
                <w:color w:val="auto"/>
              </w:rPr>
              <w:t>(2)</w:t>
            </w:r>
          </w:p>
        </w:tc>
        <w:tc>
          <w:tcPr>
            <w:tcW w:w="2280" w:type="dxa"/>
            <w:vAlign w:val="bottom"/>
          </w:tcPr>
          <w:p>
            <w:pPr>
              <w:jc w:val="right"/>
              <w:ind w:right="792"/>
              <w:spacing w:after="0"/>
              <w:rPr>
                <w:sz w:val="20"/>
                <w:szCs w:val="20"/>
                <w:color w:val="auto"/>
              </w:rPr>
            </w:pPr>
            <w:r>
              <w:rPr>
                <w:rFonts w:ascii="Arial" w:cs="Arial" w:eastAsia="Arial" w:hAnsi="Arial"/>
                <w:sz w:val="18"/>
                <w:szCs w:val="18"/>
                <w:b w:val="1"/>
                <w:bCs w:val="1"/>
                <w:color w:val="auto"/>
              </w:rPr>
              <w:t>owned</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6"/>
              </w:rPr>
              <w:t>Outstanding</w:t>
            </w:r>
          </w:p>
        </w:tc>
      </w:tr>
      <w:tr>
        <w:trPr>
          <w:trHeight w:val="23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Greater than 5% shareholder</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r>
      <w:tr>
        <w:trPr>
          <w:trHeight w:val="228"/>
        </w:trPr>
        <w:tc>
          <w:tcPr>
            <w:tcW w:w="4240" w:type="dxa"/>
            <w:vAlign w:val="bottom"/>
            <w:gridSpan w:val="2"/>
          </w:tcPr>
          <w:p>
            <w:pPr>
              <w:ind w:left="440"/>
              <w:spacing w:after="0"/>
              <w:rPr>
                <w:sz w:val="20"/>
                <w:szCs w:val="20"/>
                <w:color w:val="auto"/>
              </w:rPr>
            </w:pPr>
            <w:r>
              <w:rPr>
                <w:rFonts w:ascii="Arial" w:cs="Arial" w:eastAsia="Arial" w:hAnsi="Arial"/>
                <w:sz w:val="18"/>
                <w:szCs w:val="18"/>
                <w:color w:val="auto"/>
              </w:rPr>
              <w:t>Jack Silver</w:t>
            </w:r>
            <w:r>
              <w:rPr>
                <w:rFonts w:ascii="Arial" w:cs="Arial" w:eastAsia="Arial" w:hAnsi="Arial"/>
                <w:sz w:val="11"/>
                <w:szCs w:val="11"/>
                <w:color w:val="auto"/>
              </w:rPr>
              <w:t>(3)</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746,891</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32"/>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29"/>
        </w:trPr>
        <w:tc>
          <w:tcPr>
            <w:tcW w:w="424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5,000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31"/>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(4)</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149,209</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20" w:type="dxa"/>
            <w:vAlign w:val="bottom"/>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240" w:type="dxa"/>
            <w:vAlign w:val="bottom"/>
            <w:gridSpan w:val="2"/>
          </w:tcPr>
          <w:p>
            <w:pPr>
              <w:spacing w:after="0"/>
              <w:rPr>
                <w:sz w:val="20"/>
                <w:szCs w:val="20"/>
                <w:color w:val="auto"/>
              </w:rPr>
            </w:pPr>
            <w:r>
              <w:rPr>
                <w:rFonts w:ascii="Arial" w:cs="Arial" w:eastAsia="Arial" w:hAnsi="Arial"/>
                <w:sz w:val="18"/>
                <w:szCs w:val="18"/>
                <w:color w:val="auto"/>
                <w:w w:val="93"/>
              </w:rPr>
              <w:t>All directors and executive officer as a group (6 persons)</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237,759</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5176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ind w:left="420" w:hanging="412"/>
        <w:spacing w:after="0" w:line="221" w:lineRule="auto"/>
        <w:tabs>
          <w:tab w:leader="none" w:pos="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Sole voting power.</w:t>
      </w:r>
    </w:p>
    <w:p>
      <w:pPr>
        <w:ind w:left="420" w:right="100" w:hanging="412"/>
        <w:spacing w:after="0" w:line="221" w:lineRule="auto"/>
        <w:tabs>
          <w:tab w:leader="none" w:pos="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information provided is derived from Schedule 13G filed February 12, 2014 by Mr. Jack Silver. Such securities are held by certain investment vehicles controlled and/or managed by Mr. Silver. The address for Mr. Silver is 80 Columbus Circle PH76A, New York, New York 10023.</w:t>
      </w:r>
    </w:p>
    <w:p>
      <w:pPr>
        <w:ind w:left="420" w:hanging="4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149,209 shares held by PennantPark Investment Advisers, LLC.</w:t>
      </w:r>
    </w:p>
    <w:p>
      <w:pPr>
        <w:spacing w:after="0" w:line="66"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January 9, 2015. Information as to the beneficial ownerships is based on information furnished to us by such persons. We are not part of a “family of investment companies,” as that term is defined in the 1940 Act.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56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Dollar Range of the Common Stock of the Companies</w:t>
            </w: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20" w:type="dxa"/>
            <w:vAlign w:val="bottom"/>
          </w:tcPr>
          <w:p>
            <w:pPr>
              <w:spacing w:after="0"/>
              <w:rPr>
                <w:sz w:val="17"/>
                <w:szCs w:val="17"/>
                <w:color w:val="auto"/>
              </w:rPr>
            </w:pPr>
          </w:p>
        </w:tc>
        <w:tc>
          <w:tcPr>
            <w:tcW w:w="192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940" w:type="dxa"/>
            <w:vAlign w:val="bottom"/>
            <w:tcBorders>
              <w:top w:val="single" w:sz="8" w:color="auto"/>
            </w:tcBorders>
            <w:gridSpan w:val="2"/>
          </w:tcPr>
          <w:p>
            <w:pPr>
              <w:jc w:val="center"/>
              <w:ind w:right="10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Floating Rate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Investment</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Capital Ltd.</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Corporation</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tcBorders>
              <w:top w:val="single" w:sz="8" w:color="CCEEFF"/>
            </w:tcBorders>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82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$ 50,001 - $100,000</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$500,001 - $1,000,000</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2"/>
              </w:rPr>
              <w:t>$500,001 -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None</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tcPr>
          <w:p>
            <w:pPr>
              <w:spacing w:after="0"/>
              <w:rPr>
                <w:sz w:val="18"/>
                <w:szCs w:val="18"/>
                <w:color w:val="auto"/>
              </w:rPr>
            </w:pPr>
          </w:p>
        </w:tc>
        <w:tc>
          <w:tcPr>
            <w:tcW w:w="1820" w:type="dxa"/>
            <w:vAlign w:val="bottom"/>
          </w:tcPr>
          <w:p>
            <w:pPr>
              <w:jc w:val="right"/>
              <w:ind w:right="92"/>
              <w:spacing w:after="0"/>
              <w:rPr>
                <w:sz w:val="20"/>
                <w:szCs w:val="20"/>
                <w:color w:val="auto"/>
              </w:rPr>
            </w:pPr>
            <w:r>
              <w:rPr>
                <w:rFonts w:ascii="Arial" w:cs="Arial" w:eastAsia="Arial" w:hAnsi="Arial"/>
                <w:sz w:val="18"/>
                <w:szCs w:val="18"/>
                <w:color w:val="auto"/>
                <w:w w:val="97"/>
              </w:rPr>
              <w:t>$100,001 -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None</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w w:val="92"/>
              </w:rPr>
              <w:t>$500,001 - $1,000,000</w:t>
            </w:r>
          </w:p>
        </w:tc>
        <w:tc>
          <w:tcPr>
            <w:tcW w:w="100" w:type="dxa"/>
            <w:vAlign w:val="bottom"/>
          </w:tcPr>
          <w:p>
            <w:pPr>
              <w:spacing w:after="0"/>
              <w:rPr>
                <w:sz w:val="19"/>
                <w:szCs w:val="19"/>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Jose A. Briones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Salvatore Giannetti III</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P. Whitridge Williams, Jr.</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3152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PennantPark Floating Rate Capital Ltd. has entered into the Investment Management Agreement with the Investment Adviser under which the Investment Adviser, subject to the overall supervision of the Company’s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The Company,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9"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99"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171" w:lineRule="exact"/>
        <w:rPr>
          <w:sz w:val="20"/>
          <w:szCs w:val="20"/>
          <w:color w:val="auto"/>
        </w:rPr>
      </w:pPr>
    </w:p>
    <w:p>
      <w:pPr>
        <w:ind w:right="360" w:firstLine="571"/>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120" w:firstLine="571"/>
        <w:spacing w:after="0" w:line="310" w:lineRule="auto"/>
        <w:rPr>
          <w:sz w:val="20"/>
          <w:szCs w:val="20"/>
          <w:color w:val="auto"/>
        </w:rPr>
      </w:pPr>
      <w:r>
        <w:rPr>
          <w:rFonts w:ascii="Arial" w:cs="Arial" w:eastAsia="Arial" w:hAnsi="Arial"/>
          <w:sz w:val="15"/>
          <w:szCs w:val="15"/>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2014, 2013 and 2012, the Investment Adviser earned a base management fee of $3.7 million, $2.2 million and $1.5 million, respectively, from us.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assets as of December 31, 20XX = $160 million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assets as of March 31, 20XX = $200 million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Adjusted gross assets as of March 31, 20XX = $180 million</w:t>
      </w:r>
    </w:p>
    <w:p>
      <w:pPr>
        <w:spacing w:after="0" w:line="165"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2014, 2013 and 2012, the Investment Adviser earned $2.6 million, $1.5 million and $0.3 million, respectively, in incentive fees on net investment income from us.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120015</wp:posOffset>
            </wp:positionV>
            <wp:extent cx="2272665" cy="4286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726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40"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2014, 2013 and 2012 the Investment Adviser earned an incentive fee on capital gains of approximately $0.8 million, zero and zero, respectively, as calculated under the Investment Management Agreement (as described above).</w:t>
      </w:r>
    </w:p>
    <w:p>
      <w:pPr>
        <w:spacing w:after="0" w:line="116"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2014, 2013 and 2012 was $0.1 million, $0.4 million and $0.3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right="3760"/>
        <w:spacing w:after="0" w:line="331" w:lineRule="auto"/>
        <w:rPr>
          <w:sz w:val="20"/>
          <w:szCs w:val="20"/>
          <w:color w:val="auto"/>
        </w:rPr>
      </w:pPr>
      <w:r>
        <w:rPr>
          <w:rFonts w:ascii="Arial" w:cs="Arial" w:eastAsia="Arial" w:hAnsi="Arial"/>
          <w:sz w:val="18"/>
          <w:szCs w:val="18"/>
          <w:color w:val="auto"/>
        </w:rPr>
        <w:t>(investment income—(base management fee + other expenses)) = 0.80% Pre-Incentive Fee Net Investment Income does not exceed hurdle; therefore there is no incentive fee.</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212" w:lineRule="exact"/>
        <w:rPr>
          <w:sz w:val="20"/>
          <w:szCs w:val="20"/>
          <w:color w:val="auto"/>
        </w:rPr>
      </w:pPr>
    </w:p>
    <w:p>
      <w:pPr>
        <w:jc w:val="right"/>
        <w:ind w:right="3480"/>
        <w:spacing w:after="0"/>
        <w:tabs>
          <w:tab w:leader="none" w:pos="5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36" w:lineRule="exact"/>
        <w:rPr>
          <w:sz w:val="20"/>
          <w:szCs w:val="20"/>
          <w:color w:val="auto"/>
        </w:rPr>
      </w:pPr>
    </w:p>
    <w:p>
      <w:pPr>
        <w:ind w:left="2880" w:hanging="151"/>
        <w:spacing w:after="0"/>
        <w:tabs>
          <w:tab w:leader="none" w:pos="2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49" w:lineRule="exact"/>
        <w:rPr>
          <w:rFonts w:ascii="Arial" w:cs="Arial" w:eastAsia="Arial" w:hAnsi="Arial"/>
          <w:sz w:val="18"/>
          <w:szCs w:val="18"/>
          <w:color w:val="auto"/>
        </w:rPr>
      </w:pPr>
    </w:p>
    <w:p>
      <w:pPr>
        <w:ind w:left="2880" w:hanging="151"/>
        <w:spacing w:after="0"/>
        <w:tabs>
          <w:tab w:leader="none" w:pos="2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4.00%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1049020</wp:posOffset>
            </wp:positionV>
            <wp:extent cx="2914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60" w:hanging="151"/>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r>
        <w:rPr>
          <w:rFonts w:ascii="Arial" w:cs="Arial" w:eastAsia="Arial" w:hAnsi="Arial"/>
          <w:sz w:val="11"/>
          <w:szCs w:val="11"/>
          <w:color w:val="auto"/>
        </w:rPr>
        <w:t>(4)</w:t>
      </w:r>
    </w:p>
    <w:p>
      <w:pPr>
        <w:spacing w:after="0" w:line="36" w:lineRule="exact"/>
        <w:rPr>
          <w:rFonts w:ascii="Arial" w:cs="Arial" w:eastAsia="Arial" w:hAnsi="Arial"/>
          <w:sz w:val="18"/>
          <w:szCs w:val="18"/>
          <w:color w:val="auto"/>
        </w:rPr>
      </w:pPr>
    </w:p>
    <w:p>
      <w:pPr>
        <w:ind w:right="2600" w:firstLine="9"/>
        <w:spacing w:after="0" w:line="328" w:lineRule="auto"/>
        <w:tabs>
          <w:tab w:leader="none" w:pos="1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50% x “catch-up” + (20% x (Pre-Incentive Fee Net Investment Income - 2.9167%)) =2.9167%-1.75% =1.1667%</w:t>
      </w:r>
    </w:p>
    <w:p>
      <w:pPr>
        <w:spacing w:after="0" w:line="204" w:lineRule="exact"/>
        <w:rPr>
          <w:rFonts w:ascii="Arial" w:cs="Arial" w:eastAsia="Arial" w:hAnsi="Arial"/>
          <w:sz w:val="18"/>
          <w:szCs w:val="18"/>
          <w:color w:val="auto"/>
        </w:rPr>
      </w:pPr>
    </w:p>
    <w:p>
      <w:pPr>
        <w:ind w:right="5180"/>
        <w:spacing w:after="0" w:line="297" w:lineRule="auto"/>
        <w:rPr>
          <w:rFonts w:ascii="Arial" w:cs="Arial" w:eastAsia="Arial" w:hAnsi="Arial"/>
          <w:sz w:val="18"/>
          <w:szCs w:val="18"/>
          <w:color w:val="auto"/>
        </w:rPr>
      </w:pPr>
      <w:r>
        <w:rPr>
          <w:rFonts w:ascii="Arial" w:cs="Arial" w:eastAsia="Arial" w:hAnsi="Arial"/>
          <w:sz w:val="18"/>
          <w:szCs w:val="18"/>
          <w:color w:val="auto"/>
        </w:rPr>
        <w:t>=(50% x 1.1667%) + (20% x (3.55% -2.9167%)) =0.5833% + (20% x 0.6333%)</w:t>
      </w:r>
    </w:p>
    <w:p>
      <w:pPr>
        <w:ind w:right="7080"/>
        <w:spacing w:after="0" w:line="315" w:lineRule="auto"/>
        <w:rPr>
          <w:rFonts w:ascii="Arial" w:cs="Arial" w:eastAsia="Arial" w:hAnsi="Arial"/>
          <w:sz w:val="18"/>
          <w:szCs w:val="18"/>
          <w:color w:val="auto"/>
        </w:rPr>
      </w:pPr>
      <w:r>
        <w:rPr>
          <w:rFonts w:ascii="Arial" w:cs="Arial" w:eastAsia="Arial" w:hAnsi="Arial"/>
          <w:sz w:val="18"/>
          <w:szCs w:val="18"/>
          <w:color w:val="auto"/>
        </w:rPr>
        <w:t>=0.5833% + 0.1267% =0.71%</w:t>
      </w:r>
    </w:p>
    <w:p>
      <w:pPr>
        <w:spacing w:after="0" w:line="200" w:lineRule="exact"/>
        <w:rPr>
          <w:sz w:val="20"/>
          <w:szCs w:val="20"/>
          <w:color w:val="auto"/>
        </w:rPr>
      </w:pPr>
    </w:p>
    <w:p>
      <w:pPr>
        <w:sectPr>
          <w:pgSz w:w="11900" w:h="16838" w:orient="portrait"/>
          <w:cols w:equalWidth="0" w:num="2">
            <w:col w:w="2000" w:space="720"/>
            <w:col w:w="8640"/>
          </w:cols>
          <w:pgMar w:left="240" w:top="459" w:right="299" w:bottom="1440" w:gutter="0" w:footer="0" w:header="0"/>
          <w:type w:val="continuous"/>
        </w:sectPr>
      </w:pPr>
    </w:p>
    <w:p>
      <w:pPr>
        <w:spacing w:after="0" w:line="92" w:lineRule="exact"/>
        <w:rPr>
          <w:sz w:val="20"/>
          <w:szCs w:val="20"/>
          <w:color w:val="auto"/>
        </w:rPr>
      </w:pPr>
    </w:p>
    <w:p>
      <w:pPr>
        <w:ind w:left="380" w:hanging="325"/>
        <w:spacing w:after="0"/>
        <w:tabs>
          <w:tab w:leader="none" w:pos="3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21"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ind w:left="380" w:hanging="372"/>
        <w:spacing w:after="0" w:line="230"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FMV of Investment B determined to be $25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Investment B sold for $31 million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$6 million capital gains incentive fee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$5 million cumulative fee (20% multiplied by $25 million ($30 million cumulative capital gains less $5 million cumulative capital depreciation)) less $6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(previous capital gains fee paid in Year 2)</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$6.2 million cumulative fee ($31 million cumulative realized capital gains multiplied by 20%) less $6 million (previous capital gains fee paid in Year 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Year 2: Investment A sold for $50 million, FMV of Investment B determined to be $25 million and FMV of Investment C determined to be $25 million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FMV of Investment B determined to be $35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Investment B sold for $20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$5 million capital gains incentive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 multiplied by $25 million ($30 million realized capital gains on sale of Investment A less $5 million unrealized capital depreciation on Investment B)</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$6.4 million cumulative fee (20% multiplied by $32 million ($35 million cumulative realized capital gains less $3 million unrealized capital depreciation))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 $5 million (previous capital gains fee paid in Year 2)</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$0.6 million capital gains incentive fee</w:t>
      </w:r>
    </w:p>
    <w:p>
      <w:pPr>
        <w:spacing w:after="0" w:line="90"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$7 million cumulative fee (20% multiplied by $35 million ($35 million cumulative realized capital gains without regard to $5 million of unrealized appreciation)) less $6.4 million (previous cumulative capital gains fee paid in Year 2 and Year 3)</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$7 million cumulative fee (20% multiplied by $35 million ($35 million cumulative realized capital gains without regard to $10 million realized capital losses in subsequent year)) less $7 million (previous cumulative capital gains fee paid in Year 2, 3 and Year 4)</w:t>
      </w:r>
    </w:p>
    <w:p>
      <w:pPr>
        <w:spacing w:after="0" w:line="197" w:lineRule="exact"/>
        <w:rPr>
          <w:sz w:val="20"/>
          <w:szCs w:val="20"/>
          <w:color w:val="auto"/>
        </w:rPr>
      </w:pPr>
    </w:p>
    <w:p>
      <w:pPr>
        <w:ind w:left="580" w:hanging="572"/>
        <w:spacing w:after="0" w:line="195" w:lineRule="auto"/>
        <w:tabs>
          <w:tab w:leader="none" w:pos="58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2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280" w:firstLine="571"/>
        <w:spacing w:after="0" w:line="332" w:lineRule="auto"/>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2014. Unless terminated earlier as described below, the Investment Management Agreement will continue in effect for a period of one year through February 2015.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27"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Pursuant to the Administration Agreement,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years ended September 30, 2014, 2013 and 2012, the Investment Adviser was reimbursed approximately $0.5 million, $0.3 million and $0.2 million, respectively, from us, including expenses the Investment Adviser incurred on behalf of the Administrator, for services described above.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90" w:lineRule="exact"/>
        <w:rPr>
          <w:sz w:val="20"/>
          <w:szCs w:val="20"/>
          <w:color w:val="auto"/>
        </w:rPr>
      </w:pPr>
    </w:p>
    <w:p>
      <w:pPr>
        <w:ind w:right="160" w:firstLine="571"/>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us, in February 2014. Unless terminated earlier as described below, our Administration Agreement will continue in effect for a period of one year through February 2015.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90"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27"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80" w:hanging="346"/>
        <w:spacing w:after="0" w:line="268"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800" w:right="140" w:hanging="346"/>
        <w:spacing w:after="0" w:line="306" w:lineRule="auto"/>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800" w:right="160" w:hanging="346"/>
        <w:spacing w:after="0" w:line="268"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 the extent we invest in derivative instruments in the future, such instruments would be valued at fair value in accordance with our valuation policy.</w:t>
      </w:r>
    </w:p>
    <w:p>
      <w:pPr>
        <w:spacing w:after="0" w:line="194"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62"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76"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12"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will only sell shares of our common stock at a price below net asset value per share if the following conditions are met:</w:t>
      </w:r>
    </w:p>
    <w:p>
      <w:pPr>
        <w:spacing w:after="0" w:line="90"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90"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43"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4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400" w:firstLine="571"/>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Generally, we intend to issue new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new shares will be issued has been determined and elections of our stockholders have been tabulated.</w:t>
      </w:r>
    </w:p>
    <w:p>
      <w:pPr>
        <w:spacing w:after="0" w:line="118"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380" w:firstLine="571"/>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0"/>
          <w:szCs w:val="10"/>
          <w:color w:val="auto"/>
        </w:rPr>
        <w:t>th</w:t>
      </w:r>
      <w:r>
        <w:rPr>
          <w:rFonts w:ascii="Arial" w:cs="Arial" w:eastAsia="Arial" w:hAnsi="Arial"/>
          <w:sz w:val="16"/>
          <w:szCs w:val="16"/>
          <w:color w:val="auto"/>
        </w:rPr>
        <w:t xml:space="preserve"> Avenue, 3</w:t>
      </w:r>
      <w:r>
        <w:rPr>
          <w:rFonts w:ascii="Arial" w:cs="Arial" w:eastAsia="Arial" w:hAnsi="Arial"/>
          <w:sz w:val="10"/>
          <w:szCs w:val="10"/>
          <w:color w:val="auto"/>
        </w:rPr>
        <w:t>rd</w:t>
      </w:r>
      <w:r>
        <w:rPr>
          <w:rFonts w:ascii="Arial" w:cs="Arial" w:eastAsia="Arial" w:hAnsi="Arial"/>
          <w:sz w:val="16"/>
          <w:szCs w:val="16"/>
          <w:color w:val="auto"/>
        </w:rPr>
        <w:t xml:space="preserve"> Floor, Brooklyn, New York 11219, or by the plan administrator’s Interactive Voice Response System at 1-800-278-4353.</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of September 30, 2014,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900" w:firstLine="571"/>
        <w:spacing w:after="0" w:line="268" w:lineRule="auto"/>
        <w:rPr>
          <w:sz w:val="20"/>
          <w:szCs w:val="20"/>
          <w:color w:val="auto"/>
        </w:rPr>
      </w:pPr>
      <w:r>
        <w:rPr>
          <w:rFonts w:ascii="Arial" w:cs="Arial" w:eastAsia="Arial" w:hAnsi="Arial"/>
          <w:sz w:val="18"/>
          <w:szCs w:val="18"/>
          <w:color w:val="auto"/>
        </w:rPr>
        <w:t>The last reported closing market price of our common stock on January 9, 2015 was $13.92 per share. As of September 30, 2014, we had five stockholders of record.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our outstanding classes of securities as of September 30,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6"/>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100,000,000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14,898,056</w:t>
            </w:r>
          </w:p>
        </w:tc>
      </w:tr>
      <w:tr>
        <w:trPr>
          <w:trHeight w:val="61"/>
        </w:trPr>
        <w:tc>
          <w:tcPr>
            <w:tcW w:w="5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120" w:firstLine="571"/>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w:t>
      </w:r>
    </w:p>
    <w:p>
      <w:pPr>
        <w:ind w:right="700" w:firstLine="8"/>
        <w:spacing w:after="0" w:line="323" w:lineRule="auto"/>
        <w:tabs>
          <w:tab w:leader="none" w:pos="2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63" w:lineRule="exact"/>
        <w:rPr>
          <w:sz w:val="20"/>
          <w:szCs w:val="20"/>
          <w:color w:val="auto"/>
        </w:rPr>
      </w:pPr>
    </w:p>
    <w:p>
      <w:pPr>
        <w:ind w:firstLine="571"/>
        <w:spacing w:after="0" w:line="309" w:lineRule="auto"/>
        <w:rPr>
          <w:sz w:val="20"/>
          <w:szCs w:val="20"/>
          <w:color w:val="auto"/>
        </w:rPr>
      </w:pPr>
      <w:r>
        <w:rPr>
          <w:rFonts w:ascii="Arial" w:cs="Arial" w:eastAsia="Arial" w:hAnsi="Arial"/>
          <w:sz w:val="15"/>
          <w:szCs w:val="15"/>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2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2015, 2016, and 2017,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unless our bylaws are amended, the number of directors may never be less than the minimum number required under the Maryland General Corporation Law nor more than fifteen.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occured and until a successor is elected and qualifies, subject to any applicable requirements of the 1940 Act.</w:t>
      </w:r>
    </w:p>
    <w:p>
      <w:pPr>
        <w:spacing w:after="0" w:line="3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360" w:firstLine="571"/>
        <w:spacing w:after="0" w:line="306"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40" w:firstLine="571"/>
        <w:spacing w:after="0" w:line="289"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37"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20" w:firstLine="571"/>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500" w:firstLine="571"/>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40" w:firstLine="571"/>
        <w:spacing w:after="0" w:line="254"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90"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59"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62"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37"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1"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 There can be no assurance that such provision will not be amended or eliminated at any time in the future to the extent permitted by the 1940 Act.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76"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1"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76"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4"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4"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76"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76"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76"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7"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5"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99"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76"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7"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00"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36" w:lineRule="exact"/>
        <w:rPr>
          <w:rFonts w:ascii="Arial" w:cs="Arial" w:eastAsia="Arial" w:hAnsi="Arial"/>
          <w:sz w:val="18"/>
          <w:szCs w:val="18"/>
          <w:color w:val="auto"/>
        </w:rPr>
      </w:pPr>
    </w:p>
    <w:p>
      <w:pPr>
        <w:ind w:left="900" w:right="160" w:hanging="325"/>
        <w:spacing w:after="0" w:line="26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36"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36"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99"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right="620" w:firstLine="571"/>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00"/>
          </w:cols>
          <w:pgMar w:left="240" w:top="459" w:right="3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13"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4"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9"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85"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571"/>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16"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76"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37"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7"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5"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7"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7"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12"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7" w:lineRule="exact"/>
        <w:rPr>
          <w:rFonts w:ascii="Arial" w:cs="Arial" w:eastAsia="Arial" w:hAnsi="Arial"/>
          <w:sz w:val="18"/>
          <w:szCs w:val="18"/>
          <w:color w:val="auto"/>
        </w:rPr>
      </w:pPr>
    </w:p>
    <w:p>
      <w:pPr>
        <w:ind w:left="900" w:right="38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5" w:lineRule="exact"/>
        <w:rPr>
          <w:rFonts w:ascii="Arial" w:cs="Arial" w:eastAsia="Arial" w:hAnsi="Arial"/>
          <w:sz w:val="18"/>
          <w:szCs w:val="18"/>
          <w:color w:val="auto"/>
        </w:rPr>
      </w:pPr>
    </w:p>
    <w:p>
      <w:pPr>
        <w:ind w:left="900" w:right="20" w:hanging="325"/>
        <w:spacing w:after="0" w:line="325"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7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13" w:lineRule="exact"/>
        <w:rPr>
          <w:sz w:val="20"/>
          <w:szCs w:val="20"/>
          <w:color w:val="auto"/>
        </w:rPr>
      </w:pPr>
    </w:p>
    <w:p>
      <w:pPr>
        <w:jc w:val="both"/>
        <w:ind w:firstLine="571"/>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jc w:val="center"/>
        <w:ind w:left="500" w:right="320"/>
        <w:spacing w:after="0" w:line="440"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 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76" w:lineRule="exact"/>
        <w:rPr>
          <w:rFonts w:ascii="Arial" w:cs="Arial" w:eastAsia="Arial" w:hAnsi="Arial"/>
          <w:sz w:val="18"/>
          <w:szCs w:val="18"/>
          <w:color w:val="auto"/>
        </w:rPr>
      </w:pPr>
    </w:p>
    <w:p>
      <w:pPr>
        <w:ind w:left="900" w:right="120" w:hanging="325"/>
        <w:spacing w:after="0" w:line="325"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1" w:lineRule="exact"/>
        <w:rPr>
          <w:rFonts w:ascii="Arial" w:cs="Arial" w:eastAsia="Arial" w:hAnsi="Arial"/>
          <w:sz w:val="16"/>
          <w:szCs w:val="16"/>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76" w:lineRule="exact"/>
        <w:rPr>
          <w:rFonts w:ascii="Arial" w:cs="Arial" w:eastAsia="Arial" w:hAnsi="Arial"/>
          <w:sz w:val="18"/>
          <w:szCs w:val="18"/>
          <w:color w:val="auto"/>
        </w:rPr>
      </w:pPr>
    </w:p>
    <w:p>
      <w:pPr>
        <w:ind w:left="900" w:right="240" w:hanging="325"/>
        <w:spacing w:after="0" w:line="347" w:lineRule="auto"/>
        <w:tabs>
          <w:tab w:leader="none" w:pos="9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76"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36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jc w:val="both"/>
        <w:ind w:right="140" w:firstLine="571"/>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4" w:lineRule="exact"/>
        <w:rPr>
          <w:sz w:val="20"/>
          <w:szCs w:val="20"/>
          <w:color w:val="auto"/>
        </w:rPr>
      </w:pPr>
    </w:p>
    <w:p>
      <w:pPr>
        <w:ind w:left="900" w:right="62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00"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7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3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77"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99" w:lineRule="exact"/>
        <w:rPr>
          <w:rFonts w:ascii="Arial" w:cs="Arial" w:eastAsia="Arial" w:hAnsi="Arial"/>
          <w:sz w:val="16"/>
          <w:szCs w:val="16"/>
          <w:color w:val="auto"/>
        </w:rPr>
      </w:pPr>
    </w:p>
    <w:p>
      <w:pPr>
        <w:ind w:left="900" w:right="400" w:hanging="325"/>
        <w:spacing w:after="0" w:line="33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8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37"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right="22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45"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400" w:firstLine="571"/>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right="260" w:firstLine="571"/>
        <w:spacing w:after="0" w:line="335" w:lineRule="auto"/>
        <w:rPr>
          <w:sz w:val="20"/>
          <w:szCs w:val="20"/>
          <w:color w:val="auto"/>
        </w:rPr>
      </w:pPr>
      <w:r>
        <w:rPr>
          <w:rFonts w:ascii="Arial" w:cs="Arial" w:eastAsia="Arial" w:hAnsi="Arial"/>
          <w:sz w:val="15"/>
          <w:szCs w:val="15"/>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40" w:hanging="325"/>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45"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5" w:lineRule="exact"/>
        <w:rPr>
          <w:rFonts w:ascii="Arial" w:cs="Arial" w:eastAsia="Arial" w:hAnsi="Arial"/>
          <w:sz w:val="15"/>
          <w:szCs w:val="15"/>
          <w:color w:val="auto"/>
        </w:rPr>
      </w:pPr>
    </w:p>
    <w:p>
      <w:pPr>
        <w:ind w:left="900" w:right="160" w:hanging="325"/>
        <w:spacing w:after="0" w:line="370" w:lineRule="auto"/>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62"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77"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20" w:firstLine="571"/>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jc w:val="both"/>
        <w:ind w:right="440" w:firstLine="571"/>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60" w:firstLine="571"/>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8"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1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540" w:firstLine="571"/>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800" w:right="40" w:hanging="346"/>
        <w:spacing w:after="0" w:line="256"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8" w:lineRule="exact"/>
        <w:rPr>
          <w:rFonts w:ascii="Arial" w:cs="Arial" w:eastAsia="Arial" w:hAnsi="Arial"/>
          <w:sz w:val="18"/>
          <w:szCs w:val="18"/>
          <w:color w:val="auto"/>
        </w:rPr>
      </w:pPr>
    </w:p>
    <w:p>
      <w:pPr>
        <w:ind w:left="1700" w:hanging="328"/>
        <w:spacing w:after="0"/>
        <w:tabs>
          <w:tab w:leader="none" w:pos="17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76" w:lineRule="exact"/>
        <w:rPr>
          <w:rFonts w:ascii="Arial" w:cs="Arial" w:eastAsia="Arial" w:hAnsi="Arial"/>
          <w:sz w:val="18"/>
          <w:szCs w:val="18"/>
          <w:color w:val="auto"/>
        </w:rPr>
      </w:pPr>
    </w:p>
    <w:p>
      <w:pPr>
        <w:ind w:left="1700" w:right="120" w:hanging="328"/>
        <w:spacing w:after="0" w:line="325" w:lineRule="auto"/>
        <w:tabs>
          <w:tab w:leader="none" w:pos="17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 w:lineRule="exact"/>
        <w:rPr>
          <w:rFonts w:ascii="Arial" w:cs="Arial" w:eastAsia="Arial" w:hAnsi="Arial"/>
          <w:sz w:val="16"/>
          <w:szCs w:val="16"/>
          <w:color w:val="auto"/>
        </w:rPr>
      </w:pPr>
    </w:p>
    <w:p>
      <w:pPr>
        <w:ind w:left="1700" w:hanging="328"/>
        <w:spacing w:after="0"/>
        <w:tabs>
          <w:tab w:leader="none" w:pos="17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76" w:lineRule="exact"/>
        <w:rPr>
          <w:rFonts w:ascii="Arial" w:cs="Arial" w:eastAsia="Arial" w:hAnsi="Arial"/>
          <w:sz w:val="18"/>
          <w:szCs w:val="18"/>
          <w:color w:val="auto"/>
        </w:rPr>
      </w:pPr>
    </w:p>
    <w:p>
      <w:pPr>
        <w:ind w:left="2620" w:hanging="559"/>
        <w:spacing w:after="0"/>
        <w:tabs>
          <w:tab w:leader="none" w:pos="26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76" w:lineRule="exact"/>
        <w:rPr>
          <w:rFonts w:ascii="Arial" w:cs="Arial" w:eastAsia="Arial" w:hAnsi="Arial"/>
          <w:sz w:val="18"/>
          <w:szCs w:val="18"/>
          <w:color w:val="auto"/>
        </w:rPr>
      </w:pPr>
    </w:p>
    <w:p>
      <w:pPr>
        <w:ind w:left="2620" w:right="360" w:hanging="559"/>
        <w:spacing w:after="0" w:line="268" w:lineRule="auto"/>
        <w:tabs>
          <w:tab w:leader="none" w:pos="26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37" w:lineRule="exact"/>
        <w:rPr>
          <w:rFonts w:ascii="Arial" w:cs="Arial" w:eastAsia="Arial" w:hAnsi="Arial"/>
          <w:sz w:val="18"/>
          <w:szCs w:val="18"/>
          <w:color w:val="auto"/>
        </w:rPr>
      </w:pPr>
    </w:p>
    <w:p>
      <w:pPr>
        <w:ind w:left="2620" w:right="500" w:hanging="559"/>
        <w:spacing w:after="0" w:line="306" w:lineRule="auto"/>
        <w:tabs>
          <w:tab w:leader="none" w:pos="2620" w:val="left"/>
        </w:tabs>
        <w:numPr>
          <w:ilvl w:val="2"/>
          <w:numId w:val="74"/>
        </w:numPr>
        <w:rPr>
          <w:rFonts w:ascii="Arial" w:cs="Arial" w:eastAsia="Arial" w:hAnsi="Arial"/>
          <w:sz w:val="16"/>
          <w:szCs w:val="16"/>
          <w:color w:val="auto"/>
        </w:rPr>
      </w:pPr>
      <w:r>
        <w:rPr>
          <w:rFonts w:ascii="Arial" w:cs="Arial" w:eastAsia="Arial" w:hAnsi="Arial"/>
          <w:sz w:val="16"/>
          <w:szCs w:val="16"/>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2" w:lineRule="exact"/>
        <w:rPr>
          <w:rFonts w:ascii="Arial" w:cs="Arial" w:eastAsia="Arial" w:hAnsi="Arial"/>
          <w:sz w:val="16"/>
          <w:szCs w:val="16"/>
          <w:color w:val="auto"/>
        </w:rPr>
      </w:pPr>
    </w:p>
    <w:p>
      <w:pPr>
        <w:ind w:left="800" w:hanging="346"/>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76" w:lineRule="exact"/>
        <w:rPr>
          <w:rFonts w:ascii="Arial" w:cs="Arial" w:eastAsia="Arial" w:hAnsi="Arial"/>
          <w:sz w:val="18"/>
          <w:szCs w:val="18"/>
          <w:color w:val="auto"/>
        </w:rPr>
      </w:pPr>
    </w:p>
    <w:p>
      <w:pPr>
        <w:ind w:left="800" w:right="260" w:hanging="346"/>
        <w:spacing w:after="0" w:line="306" w:lineRule="auto"/>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2" w:lineRule="exact"/>
        <w:rPr>
          <w:rFonts w:ascii="Arial" w:cs="Arial" w:eastAsia="Arial" w:hAnsi="Arial"/>
          <w:sz w:val="16"/>
          <w:szCs w:val="16"/>
          <w:color w:val="auto"/>
        </w:rPr>
      </w:pPr>
    </w:p>
    <w:p>
      <w:pPr>
        <w:ind w:left="800" w:right="260" w:hanging="346"/>
        <w:spacing w:after="0" w:line="268"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40" w:firstLine="571"/>
        <w:spacing w:after="0" w:line="318" w:lineRule="auto"/>
        <w:rPr>
          <w:sz w:val="20"/>
          <w:szCs w:val="20"/>
          <w:color w:val="auto"/>
        </w:rPr>
      </w:pPr>
      <w:r>
        <w:rPr>
          <w:rFonts w:ascii="Arial" w:cs="Arial" w:eastAsia="Arial" w:hAnsi="Arial"/>
          <w:sz w:val="15"/>
          <w:szCs w:val="15"/>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You may also obtain a copy of our joint code of ethics,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proxy voting decisions are made by the senior investment professionals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6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37"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8"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20"/>
          </w:cols>
          <w:pgMar w:left="240" w:top="459"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77"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900" w:right="20" w:hanging="325"/>
        <w:spacing w:after="0" w:line="347" w:lineRule="auto"/>
        <w:tabs>
          <w:tab w:leader="none" w:pos="9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71"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election we must, among other requirements, meet certain source-of-income and quarterly asset diversification requirements (as described below). We also must annually distribute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may retain and be subject to excise tax on such net capital gains or ordinary income to provide us with additional liquidity.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77"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76"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76" w:lineRule="exact"/>
        <w:rPr>
          <w:rFonts w:ascii="Arial" w:cs="Arial" w:eastAsia="Arial" w:hAnsi="Arial"/>
          <w:sz w:val="18"/>
          <w:szCs w:val="18"/>
          <w:color w:val="auto"/>
        </w:rPr>
      </w:pPr>
    </w:p>
    <w:p>
      <w:pPr>
        <w:ind w:left="1700" w:right="120" w:hanging="328"/>
        <w:spacing w:after="0" w:line="259" w:lineRule="auto"/>
        <w:tabs>
          <w:tab w:leader="none" w:pos="17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45" w:lineRule="exact"/>
        <w:rPr>
          <w:rFonts w:ascii="Arial" w:cs="Arial" w:eastAsia="Arial" w:hAnsi="Arial"/>
          <w:sz w:val="18"/>
          <w:szCs w:val="18"/>
          <w:color w:val="auto"/>
        </w:rPr>
      </w:pPr>
    </w:p>
    <w:p>
      <w:pPr>
        <w:ind w:left="1700" w:right="160" w:hanging="328"/>
        <w:spacing w:after="0" w:line="306" w:lineRule="auto"/>
        <w:tabs>
          <w:tab w:leader="none" w:pos="17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In addition, upon satisfying these requirements,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taxable year a portion of the OID that accrues over the life of the obligation,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44"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We will address these and other issues to the extent necessary in order to continue to qualify as a RIC.</w:t>
      </w:r>
    </w:p>
    <w:p>
      <w:pPr>
        <w:spacing w:after="0" w:line="143"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ratio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to the extent of our current and accumulated earnings</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00"/>
          </w:cols>
          <w:pgMar w:left="240" w:top="459" w:right="25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and profits. Subject to certain limitations under the Code, distributions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subject to tax as a RIC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taxable years.</w:t>
      </w:r>
    </w:p>
    <w:p>
      <w:pPr>
        <w:spacing w:after="0" w:line="118" w:lineRule="exact"/>
        <w:rPr>
          <w:sz w:val="20"/>
          <w:szCs w:val="20"/>
          <w:color w:val="auto"/>
        </w:rPr>
      </w:pPr>
    </w:p>
    <w:p>
      <w:pPr>
        <w:ind w:right="2160" w:firstLine="571"/>
        <w:spacing w:after="0" w:line="391" w:lineRule="auto"/>
        <w:rPr>
          <w:sz w:val="20"/>
          <w:szCs w:val="20"/>
          <w:color w:val="auto"/>
        </w:rPr>
      </w:pPr>
      <w:r>
        <w:rPr>
          <w:rFonts w:ascii="Arial" w:cs="Arial" w:eastAsia="Arial" w:hAnsi="Arial"/>
          <w:sz w:val="18"/>
          <w:szCs w:val="18"/>
          <w:color w:val="auto"/>
        </w:rPr>
        <w:t xml:space="preserve">The remainder of this discussion assumes that we qualify as a RIC and have satisfied the Annual Distribution Requirement. </w:t>
      </w:r>
      <w:r>
        <w:rPr>
          <w:rFonts w:ascii="Arial" w:cs="Arial" w:eastAsia="Arial" w:hAnsi="Arial"/>
          <w:sz w:val="18"/>
          <w:szCs w:val="18"/>
          <w:b w:val="1"/>
          <w:bCs w:val="1"/>
          <w:color w:val="auto"/>
        </w:rPr>
        <w:t>Taxation of U.S. Stockholders</w:t>
      </w:r>
    </w:p>
    <w:p>
      <w:pPr>
        <w:spacing w:after="0" w:line="1"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4"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20"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120" w:firstLine="571"/>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571"/>
        <w:spacing w:after="0" w:line="289"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either 15% or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18"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43"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20"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40" w:lineRule="exact"/>
        <w:rPr>
          <w:sz w:val="20"/>
          <w:szCs w:val="20"/>
          <w:color w:val="auto"/>
        </w:rPr>
      </w:pPr>
    </w:p>
    <w:p>
      <w:pPr>
        <w:ind w:right="200" w:firstLine="571"/>
        <w:spacing w:after="0" w:line="286"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a rate of 28% from all taxable distributions to any U.S. stockholder</w:t>
      </w:r>
    </w:p>
    <w:p>
      <w:pPr>
        <w:ind w:right="20" w:firstLine="8"/>
        <w:spacing w:after="0" w:line="253" w:lineRule="auto"/>
        <w:tabs>
          <w:tab w:leader="none" w:pos="2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In addition, under prior law applicable to taxable years of RICs beginning before January 1, 2014 with respect to certain distributions made by RICs to Non-U.S. Stockholders, no withholding was required and the distributions generally were not subject to U.S. federal income tax if (i) the distributions were properly designated in a notice timely delivered to our stockholders as “interest-related dividends” or “short-term capital gain dividends,” (ii) the distributions were derived from sources specified in the Code for such dividends and (iii) certain other requirements were satisfied. No assurance can be given as to whether legislation will be enacted to extend the application of this provision to taxable years of RICs beginning on or after January 1, 2014.</w:t>
      </w:r>
    </w:p>
    <w:p>
      <w:pPr>
        <w:spacing w:after="0" w:line="116"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44"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Effective July 1, 2014, withholding agents will be required to withhold U.S. tax (at a 30% rate) on payments of taxable dividends and (effective January 1, 2017) redemption proceeds and certain capital gain dividends made to certain non-U.S. entities that fail to comply (or be deemed compliant) with extensive new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w:t>
      </w:r>
    </w:p>
    <w:p>
      <w:pPr>
        <w:spacing w:after="0" w:line="113"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171"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11" w:lineRule="exact"/>
        <w:rPr>
          <w:rFonts w:ascii="Arial" w:cs="Arial" w:eastAsia="Arial" w:hAnsi="Arial"/>
          <w:sz w:val="15"/>
          <w:szCs w:val="15"/>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40"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1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1"/>
          <w:szCs w:val="11"/>
          <w:color w:val="auto"/>
        </w:rPr>
        <w:t>th</w:t>
      </w:r>
      <w:r>
        <w:rPr>
          <w:rFonts w:ascii="Arial" w:cs="Arial" w:eastAsia="Arial" w:hAnsi="Arial"/>
          <w:sz w:val="18"/>
          <w:szCs w:val="18"/>
          <w:color w:val="auto"/>
        </w:rPr>
        <w:t xml:space="preserve"> Avenue, 3</w:t>
      </w:r>
      <w:r>
        <w:rPr>
          <w:rFonts w:ascii="Arial" w:cs="Arial" w:eastAsia="Arial" w:hAnsi="Arial"/>
          <w:sz w:val="11"/>
          <w:szCs w:val="11"/>
          <w:color w:val="auto"/>
        </w:rPr>
        <w:t>rd</w:t>
      </w:r>
      <w:r>
        <w:rPr>
          <w:rFonts w:ascii="Arial" w:cs="Arial" w:eastAsia="Arial" w:hAnsi="Arial"/>
          <w:sz w:val="18"/>
          <w:szCs w:val="18"/>
          <w:color w:val="auto"/>
        </w:rPr>
        <w:t xml:space="preserve"> floor, Brooklyn, NY 11219, telephone number: (800) 937-5449. American Stock Transfer &amp; Trust Company, LLC may also serve as trustee for offerings of our debt securities.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12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current independent registered public accounting firm, McGladrey LLP, is located at 1185 Avenue of the Americas, New York, NY 10036.</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independent registered public accounting firm until November 21, 2013, KPMG LLP, is located at 345 Park Avenue, New York, New York 10154.</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20" w:type="dxa"/>
            <w:vAlign w:val="bottom"/>
            <w:gridSpan w:val="8"/>
          </w:tcPr>
          <w:p>
            <w:pPr>
              <w:jc w:val="center"/>
              <w:ind w:right="1400"/>
              <w:spacing w:after="0"/>
              <w:rPr>
                <w:sz w:val="20"/>
                <w:szCs w:val="20"/>
                <w:color w:val="auto"/>
              </w:rPr>
            </w:pPr>
            <w:r>
              <w:rPr>
                <w:rFonts w:ascii="Arial" w:cs="Arial" w:eastAsia="Arial" w:hAnsi="Arial"/>
                <w:sz w:val="14"/>
                <w:szCs w:val="14"/>
                <w:b w:val="1"/>
                <w:bCs w:val="1"/>
                <w:color w:val="auto"/>
              </w:rPr>
              <w:t>INDEX TO CONSOLIDATED FINANCIAL STATEMENTS</w:t>
            </w:r>
          </w:p>
        </w:tc>
        <w:tc>
          <w:tcPr>
            <w:tcW w:w="2040" w:type="dxa"/>
            <w:vAlign w:val="bottom"/>
          </w:tcPr>
          <w:p>
            <w:pPr>
              <w:spacing w:after="0"/>
              <w:rPr>
                <w:sz w:val="16"/>
                <w:szCs w:val="16"/>
                <w:color w:val="auto"/>
              </w:rPr>
            </w:pPr>
          </w:p>
        </w:tc>
      </w:tr>
      <w:tr>
        <w:trPr>
          <w:trHeight w:val="581"/>
        </w:trPr>
        <w:tc>
          <w:tcPr>
            <w:tcW w:w="9320" w:type="dxa"/>
            <w:vAlign w:val="bottom"/>
            <w:gridSpan w:val="10"/>
          </w:tcPr>
          <w:p>
            <w:pPr>
              <w:spacing w:after="0"/>
              <w:rPr>
                <w:sz w:val="20"/>
                <w:szCs w:val="20"/>
                <w:color w:val="auto"/>
              </w:rPr>
            </w:pPr>
            <w:r>
              <w:rPr>
                <w:rFonts w:ascii="Arial" w:cs="Arial" w:eastAsia="Arial" w:hAnsi="Arial"/>
                <w:sz w:val="14"/>
                <w:szCs w:val="14"/>
                <w:b w:val="1"/>
                <w:bCs w:val="1"/>
                <w:color w:val="auto"/>
              </w:rPr>
              <w:t>PennantPark Floating Rate Capital Ltd. and subsidiary</w:t>
            </w:r>
          </w:p>
        </w:tc>
        <w:tc>
          <w:tcPr>
            <w:tcW w:w="2040" w:type="dxa"/>
            <w:vAlign w:val="bottom"/>
          </w:tcPr>
          <w:p>
            <w:pPr>
              <w:spacing w:after="0"/>
              <w:rPr>
                <w:sz w:val="24"/>
                <w:szCs w:val="24"/>
                <w:color w:val="auto"/>
              </w:rPr>
            </w:pPr>
          </w:p>
        </w:tc>
      </w:tr>
      <w:tr>
        <w:trPr>
          <w:trHeight w:val="365"/>
        </w:trPr>
        <w:tc>
          <w:tcPr>
            <w:tcW w:w="9320" w:type="dxa"/>
            <w:vAlign w:val="bottom"/>
            <w:gridSpan w:val="10"/>
          </w:tcPr>
          <w:p>
            <w:pPr>
              <w:spacing w:after="0"/>
              <w:rPr>
                <w:sz w:val="20"/>
                <w:szCs w:val="20"/>
                <w:color w:val="auto"/>
              </w:rPr>
            </w:pPr>
            <w:r>
              <w:rPr>
                <w:rFonts w:ascii="Arial" w:cs="Arial" w:eastAsia="Arial" w:hAnsi="Arial"/>
                <w:sz w:val="14"/>
                <w:szCs w:val="14"/>
                <w:b w:val="1"/>
                <w:bCs w:val="1"/>
                <w:color w:val="auto"/>
              </w:rPr>
              <w:t>Annual Financial Statements</w:t>
            </w:r>
          </w:p>
        </w:tc>
        <w:tc>
          <w:tcPr>
            <w:tcW w:w="2040" w:type="dxa"/>
            <w:vAlign w:val="bottom"/>
          </w:tcPr>
          <w:p>
            <w:pPr>
              <w:spacing w:after="0"/>
              <w:rPr>
                <w:sz w:val="24"/>
                <w:szCs w:val="24"/>
                <w:color w:val="auto"/>
              </w:rPr>
            </w:pPr>
          </w:p>
        </w:tc>
      </w:tr>
      <w:tr>
        <w:trPr>
          <w:trHeight w:val="392"/>
        </w:trPr>
        <w:tc>
          <w:tcPr>
            <w:tcW w:w="2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55"/>
        </w:trPr>
        <w:tc>
          <w:tcPr>
            <w:tcW w:w="9320" w:type="dxa"/>
            <w:vAlign w:val="bottom"/>
            <w:gridSpan w:val="10"/>
          </w:tcPr>
          <w:p>
            <w:pPr>
              <w:spacing w:after="0"/>
              <w:rPr>
                <w:rFonts w:ascii="Arial" w:cs="Arial" w:eastAsia="Arial" w:hAnsi="Arial"/>
                <w:sz w:val="14"/>
                <w:szCs w:val="14"/>
                <w:color w:val="0000EE"/>
              </w:rPr>
            </w:pPr>
            <w:hyperlink w:anchor="page122">
              <w:r>
                <w:rPr>
                  <w:rFonts w:ascii="Arial" w:cs="Arial" w:eastAsia="Arial" w:hAnsi="Arial"/>
                  <w:sz w:val="14"/>
                  <w:szCs w:val="14"/>
                  <w:color w:val="0000EE"/>
                </w:rPr>
                <w:t>Management’s Report on Internal Control Over Financial Reporting</w:t>
              </w:r>
            </w:hyperlink>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F-2</w:t>
            </w:r>
          </w:p>
        </w:tc>
      </w:tr>
      <w:tr>
        <w:trPr>
          <w:trHeight w:val="196"/>
        </w:trPr>
        <w:tc>
          <w:tcPr>
            <w:tcW w:w="350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3"/>
              </w:rPr>
            </w:pPr>
            <w:hyperlink w:anchor="page123">
              <w:r>
                <w:rPr>
                  <w:rFonts w:ascii="Arial" w:cs="Arial" w:eastAsia="Arial" w:hAnsi="Arial"/>
                  <w:sz w:val="14"/>
                  <w:szCs w:val="14"/>
                  <w:color w:val="0000EE"/>
                  <w:w w:val="93"/>
                </w:rPr>
                <w:t>Reports of Independent Registered Public Accounting Firms</w:t>
              </w:r>
            </w:hyperlink>
          </w:p>
        </w:tc>
        <w:tc>
          <w:tcPr>
            <w:tcW w:w="420" w:type="dxa"/>
            <w:vAlign w:val="bottom"/>
            <w:tcBorders>
              <w:top w:val="single" w:sz="8" w:color="0000EE"/>
            </w:tcBorders>
          </w:tcPr>
          <w:p>
            <w:pPr>
              <w:spacing w:after="0"/>
              <w:rPr>
                <w:sz w:val="17"/>
                <w:szCs w:val="17"/>
                <w:color w:val="auto"/>
              </w:rPr>
            </w:pPr>
          </w:p>
        </w:tc>
        <w:tc>
          <w:tcPr>
            <w:tcW w:w="5400" w:type="dxa"/>
            <w:vAlign w:val="bottom"/>
            <w:gridSpan w:val="7"/>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F-3</w:t>
            </w:r>
          </w:p>
        </w:tc>
      </w:tr>
      <w:tr>
        <w:trPr>
          <w:trHeight w:val="196"/>
        </w:trPr>
        <w:tc>
          <w:tcPr>
            <w:tcW w:w="9320" w:type="dxa"/>
            <w:vAlign w:val="bottom"/>
            <w:gridSpan w:val="10"/>
          </w:tcPr>
          <w:p>
            <w:pPr>
              <w:spacing w:after="0"/>
              <w:rPr>
                <w:rFonts w:ascii="Arial" w:cs="Arial" w:eastAsia="Arial" w:hAnsi="Arial"/>
                <w:sz w:val="14"/>
                <w:szCs w:val="14"/>
                <w:color w:val="0000EE"/>
              </w:rPr>
            </w:pPr>
            <w:hyperlink w:anchor="page125">
              <w:r>
                <w:rPr>
                  <w:rFonts w:ascii="Arial" w:cs="Arial" w:eastAsia="Arial" w:hAnsi="Arial"/>
                  <w:sz w:val="14"/>
                  <w:szCs w:val="14"/>
                  <w:color w:val="0000EE"/>
                </w:rPr>
                <w:t>Report of Independent Registered Public Accounting Firm On Internal Control Over Financial Reportincg</w:t>
              </w:r>
            </w:hyperlink>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F-5</w:t>
            </w:r>
          </w:p>
        </w:tc>
      </w:tr>
      <w:tr>
        <w:trPr>
          <w:trHeight w:val="196"/>
        </w:trPr>
        <w:tc>
          <w:tcPr>
            <w:tcW w:w="4940" w:type="dxa"/>
            <w:vAlign w:val="bottom"/>
            <w:tcBorders>
              <w:top w:val="single" w:sz="8" w:color="0000EE"/>
              <w:bottom w:val="single" w:sz="8" w:color="0000EE"/>
            </w:tcBorders>
            <w:gridSpan w:val="5"/>
          </w:tcPr>
          <w:p>
            <w:pPr>
              <w:spacing w:after="0"/>
              <w:rPr>
                <w:rFonts w:ascii="Arial" w:cs="Arial" w:eastAsia="Arial" w:hAnsi="Arial"/>
                <w:sz w:val="14"/>
                <w:szCs w:val="14"/>
                <w:color w:val="0000EE"/>
                <w:w w:val="92"/>
              </w:rPr>
            </w:pPr>
            <w:hyperlink w:anchor="page126">
              <w:r>
                <w:rPr>
                  <w:rFonts w:ascii="Arial" w:cs="Arial" w:eastAsia="Arial" w:hAnsi="Arial"/>
                  <w:sz w:val="14"/>
                  <w:szCs w:val="14"/>
                  <w:color w:val="0000EE"/>
                  <w:w w:val="92"/>
                </w:rPr>
                <w:t>Consolidated Statements of Assets and Liabilities as of September 30, 2014 and 2013</w:t>
              </w:r>
            </w:hyperlink>
          </w:p>
        </w:tc>
        <w:tc>
          <w:tcPr>
            <w:tcW w:w="1180" w:type="dxa"/>
            <w:vAlign w:val="bottom"/>
            <w:tcBorders>
              <w:top w:val="single" w:sz="8" w:color="0000EE"/>
            </w:tcBorders>
            <w:gridSpan w:val="3"/>
          </w:tcPr>
          <w:p>
            <w:pPr>
              <w:spacing w:after="0"/>
              <w:rPr>
                <w:sz w:val="17"/>
                <w:szCs w:val="17"/>
                <w:color w:val="auto"/>
              </w:rPr>
            </w:pPr>
          </w:p>
        </w:tc>
        <w:tc>
          <w:tcPr>
            <w:tcW w:w="3200" w:type="dxa"/>
            <w:vAlign w:val="bottom"/>
            <w:gridSpan w:val="2"/>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F-6</w:t>
            </w:r>
          </w:p>
        </w:tc>
      </w:tr>
      <w:tr>
        <w:trPr>
          <w:trHeight w:val="196"/>
        </w:trPr>
        <w:tc>
          <w:tcPr>
            <w:tcW w:w="5520" w:type="dxa"/>
            <w:vAlign w:val="bottom"/>
            <w:tcBorders>
              <w:bottom w:val="single" w:sz="8" w:color="0000EE"/>
            </w:tcBorders>
            <w:gridSpan w:val="6"/>
          </w:tcPr>
          <w:p>
            <w:pPr>
              <w:spacing w:after="0"/>
              <w:rPr>
                <w:rFonts w:ascii="Arial" w:cs="Arial" w:eastAsia="Arial" w:hAnsi="Arial"/>
                <w:sz w:val="14"/>
                <w:szCs w:val="14"/>
                <w:color w:val="0000EE"/>
                <w:w w:val="91"/>
              </w:rPr>
            </w:pPr>
            <w:hyperlink w:anchor="page127">
              <w:r>
                <w:rPr>
                  <w:rFonts w:ascii="Arial" w:cs="Arial" w:eastAsia="Arial" w:hAnsi="Arial"/>
                  <w:sz w:val="14"/>
                  <w:szCs w:val="14"/>
                  <w:color w:val="0000EE"/>
                  <w:w w:val="91"/>
                </w:rPr>
                <w:t>Consolidated Statements of Operations for the years ended September 30, 2014, 2013 and 2012</w:t>
              </w:r>
            </w:hyperlink>
          </w:p>
        </w:tc>
        <w:tc>
          <w:tcPr>
            <w:tcW w:w="3800" w:type="dxa"/>
            <w:vAlign w:val="bottom"/>
            <w:gridSpan w:val="4"/>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F-7</w:t>
            </w:r>
          </w:p>
        </w:tc>
      </w:tr>
      <w:tr>
        <w:trPr>
          <w:trHeight w:val="196"/>
        </w:trPr>
        <w:tc>
          <w:tcPr>
            <w:tcW w:w="6180" w:type="dxa"/>
            <w:vAlign w:val="bottom"/>
            <w:tcBorders>
              <w:bottom w:val="single" w:sz="8" w:color="0000EE"/>
            </w:tcBorders>
            <w:gridSpan w:val="9"/>
          </w:tcPr>
          <w:p>
            <w:pPr>
              <w:spacing w:after="0"/>
              <w:rPr>
                <w:rFonts w:ascii="Arial" w:cs="Arial" w:eastAsia="Arial" w:hAnsi="Arial"/>
                <w:sz w:val="14"/>
                <w:szCs w:val="14"/>
                <w:color w:val="0000EE"/>
                <w:w w:val="91"/>
              </w:rPr>
            </w:pPr>
            <w:hyperlink w:anchor="page128">
              <w:r>
                <w:rPr>
                  <w:rFonts w:ascii="Arial" w:cs="Arial" w:eastAsia="Arial" w:hAnsi="Arial"/>
                  <w:sz w:val="14"/>
                  <w:szCs w:val="14"/>
                  <w:color w:val="0000EE"/>
                  <w:w w:val="91"/>
                </w:rPr>
                <w:t>Consolidated Statements of Changes in Net Assets for the years ended September 30, 2014, 2013 and 2012</w:t>
              </w:r>
            </w:hyperlink>
          </w:p>
        </w:tc>
        <w:tc>
          <w:tcPr>
            <w:tcW w:w="31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F-8</w:t>
            </w:r>
          </w:p>
        </w:tc>
      </w:tr>
      <w:tr>
        <w:trPr>
          <w:trHeight w:val="196"/>
        </w:trPr>
        <w:tc>
          <w:tcPr>
            <w:tcW w:w="5560" w:type="dxa"/>
            <w:vAlign w:val="bottom"/>
            <w:tcBorders>
              <w:bottom w:val="single" w:sz="8" w:color="0000EE"/>
            </w:tcBorders>
            <w:gridSpan w:val="7"/>
          </w:tcPr>
          <w:p>
            <w:pPr>
              <w:spacing w:after="0"/>
              <w:rPr>
                <w:rFonts w:ascii="Arial" w:cs="Arial" w:eastAsia="Arial" w:hAnsi="Arial"/>
                <w:sz w:val="14"/>
                <w:szCs w:val="14"/>
                <w:color w:val="0000EE"/>
                <w:w w:val="91"/>
              </w:rPr>
            </w:pPr>
            <w:hyperlink w:anchor="page129">
              <w:r>
                <w:rPr>
                  <w:rFonts w:ascii="Arial" w:cs="Arial" w:eastAsia="Arial" w:hAnsi="Arial"/>
                  <w:sz w:val="14"/>
                  <w:szCs w:val="14"/>
                  <w:color w:val="0000EE"/>
                  <w:w w:val="91"/>
                </w:rPr>
                <w:t>Consolidated Statements of Cash Flows for the years ended September 30, 2014, 2013 and 2012</w:t>
              </w:r>
            </w:hyperlink>
          </w:p>
        </w:tc>
        <w:tc>
          <w:tcPr>
            <w:tcW w:w="3760" w:type="dxa"/>
            <w:vAlign w:val="bottom"/>
            <w:gridSpan w:val="3"/>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F-9</w:t>
            </w:r>
          </w:p>
        </w:tc>
      </w:tr>
      <w:tr>
        <w:trPr>
          <w:trHeight w:val="196"/>
        </w:trPr>
        <w:tc>
          <w:tcPr>
            <w:tcW w:w="9320" w:type="dxa"/>
            <w:vAlign w:val="bottom"/>
            <w:gridSpan w:val="10"/>
          </w:tcPr>
          <w:p>
            <w:pPr>
              <w:spacing w:after="0"/>
              <w:rPr>
                <w:rFonts w:ascii="Arial" w:cs="Arial" w:eastAsia="Arial" w:hAnsi="Arial"/>
                <w:sz w:val="14"/>
                <w:szCs w:val="14"/>
                <w:color w:val="0000EE"/>
              </w:rPr>
            </w:pPr>
            <w:hyperlink w:anchor="page130">
              <w:r>
                <w:rPr>
                  <w:rFonts w:ascii="Arial" w:cs="Arial" w:eastAsia="Arial" w:hAnsi="Arial"/>
                  <w:sz w:val="14"/>
                  <w:szCs w:val="14"/>
                  <w:color w:val="0000EE"/>
                </w:rPr>
                <w:t>Consolidated Schedules of Investments as of September 30, 2014 and 2013</w:t>
              </w:r>
            </w:hyperlink>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F-10</w:t>
            </w:r>
          </w:p>
        </w:tc>
      </w:tr>
      <w:tr>
        <w:trPr>
          <w:trHeight w:val="196"/>
        </w:trPr>
        <w:tc>
          <w:tcPr>
            <w:tcW w:w="4340" w:type="dxa"/>
            <w:vAlign w:val="bottom"/>
            <w:tcBorders>
              <w:top w:val="single" w:sz="8" w:color="0000EE"/>
            </w:tcBorders>
            <w:gridSpan w:val="4"/>
          </w:tcPr>
          <w:p>
            <w:pPr>
              <w:spacing w:after="0"/>
              <w:rPr>
                <w:rFonts w:ascii="Arial" w:cs="Arial" w:eastAsia="Arial" w:hAnsi="Arial"/>
                <w:sz w:val="14"/>
                <w:szCs w:val="14"/>
                <w:color w:val="0000EE"/>
              </w:rPr>
            </w:pPr>
            <w:hyperlink w:anchor="page134">
              <w:r>
                <w:rPr>
                  <w:rFonts w:ascii="Arial" w:cs="Arial" w:eastAsia="Arial" w:hAnsi="Arial"/>
                  <w:sz w:val="14"/>
                  <w:szCs w:val="14"/>
                  <w:color w:val="0000EE"/>
                </w:rPr>
                <w:t>Notes to the Consolidated Financial Statements</w:t>
              </w:r>
            </w:hyperlink>
          </w:p>
        </w:tc>
        <w:tc>
          <w:tcPr>
            <w:tcW w:w="4980" w:type="dxa"/>
            <w:vAlign w:val="bottom"/>
            <w:gridSpan w:val="6"/>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F-14</w:t>
            </w:r>
          </w:p>
        </w:tc>
      </w:tr>
      <w:tr>
        <w:trPr>
          <w:trHeight w:val="306"/>
        </w:trPr>
        <w:tc>
          <w:tcPr>
            <w:tcW w:w="27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gridSpan w:val="3"/>
          </w:tcPr>
          <w:p>
            <w:pPr>
              <w:jc w:val="center"/>
              <w:ind w:right="3440"/>
              <w:spacing w:after="0"/>
              <w:rPr>
                <w:sz w:val="20"/>
                <w:szCs w:val="20"/>
                <w:color w:val="auto"/>
              </w:rPr>
            </w:pPr>
            <w:r>
              <w:rPr>
                <w:rFonts w:ascii="Arial" w:cs="Arial" w:eastAsia="Arial" w:hAnsi="Arial"/>
                <w:sz w:val="14"/>
                <w:szCs w:val="14"/>
                <w:color w:val="auto"/>
                <w:w w:val="95"/>
              </w:rPr>
              <w:t>F-1</w:t>
            </w:r>
          </w:p>
        </w:tc>
        <w:tc>
          <w:tcPr>
            <w:tcW w:w="20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89" w:lineRule="exact"/>
        <w:rPr>
          <w:sz w:val="20"/>
          <w:szCs w:val="20"/>
          <w:color w:val="auto"/>
        </w:rPr>
      </w:pPr>
    </w:p>
    <w:p>
      <w:pPr>
        <w:ind w:right="260" w:firstLine="685"/>
        <w:spacing w:after="0" w:line="234" w:lineRule="auto"/>
        <w:rPr>
          <w:sz w:val="20"/>
          <w:szCs w:val="20"/>
          <w:color w:val="auto"/>
        </w:rPr>
      </w:pPr>
      <w:r>
        <w:rPr>
          <w:rFonts w:ascii="Arial" w:cs="Arial" w:eastAsia="Arial" w:hAnsi="Arial"/>
          <w:sz w:val="14"/>
          <w:szCs w:val="14"/>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2014. Our internal control system is a process designed to provide reasonable assurance to our management and board of directors regarding the preparation and fair presentation of published financial statements.</w:t>
      </w:r>
    </w:p>
    <w:p>
      <w:pPr>
        <w:spacing w:after="0" w:line="142" w:lineRule="exact"/>
        <w:rPr>
          <w:sz w:val="20"/>
          <w:szCs w:val="20"/>
          <w:color w:val="auto"/>
        </w:rPr>
      </w:pPr>
    </w:p>
    <w:p>
      <w:pPr>
        <w:ind w:right="40" w:firstLine="685"/>
        <w:spacing w:after="0" w:line="256" w:lineRule="auto"/>
        <w:rPr>
          <w:sz w:val="20"/>
          <w:szCs w:val="20"/>
          <w:color w:val="auto"/>
        </w:rPr>
      </w:pPr>
      <w:r>
        <w:rPr>
          <w:rFonts w:ascii="Arial" w:cs="Arial" w:eastAsia="Arial" w:hAnsi="Arial"/>
          <w:sz w:val="13"/>
          <w:szCs w:val="13"/>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32" w:lineRule="exact"/>
        <w:rPr>
          <w:sz w:val="20"/>
          <w:szCs w:val="20"/>
          <w:color w:val="auto"/>
        </w:rPr>
      </w:pPr>
    </w:p>
    <w:p>
      <w:pPr>
        <w:ind w:firstLine="685"/>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ind w:right="20" w:firstLine="685"/>
        <w:spacing w:after="0" w:line="238" w:lineRule="auto"/>
        <w:rPr>
          <w:sz w:val="20"/>
          <w:szCs w:val="20"/>
          <w:color w:val="auto"/>
        </w:rPr>
      </w:pPr>
      <w:r>
        <w:rPr>
          <w:rFonts w:ascii="Arial" w:cs="Arial" w:eastAsia="Arial" w:hAnsi="Arial"/>
          <w:sz w:val="14"/>
          <w:szCs w:val="14"/>
          <w:color w:val="auto"/>
        </w:rPr>
        <w:t xml:space="preserve">Management assessed the effectiveness of the Company’s internal control over financial reporting as of September 30, 2014. In making this assessment, we used the criteria set forth by the Committee of Sponsoring Organizations of the Treadway Commission in 1992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2014, our internal control over financial reporting is effective based on those criteria.</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Company’s independent registered public accounting firm has issued an audit report on the effectiveness of our internal control over financial reporting as of September 30, 2014.</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This report appears on page F-5.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259" w:lineRule="exact"/>
        <w:rPr>
          <w:sz w:val="20"/>
          <w:szCs w:val="20"/>
          <w:color w:val="auto"/>
        </w:rPr>
      </w:pPr>
    </w:p>
    <w:p>
      <w:pPr>
        <w:ind w:right="100" w:firstLine="685"/>
        <w:spacing w:after="0" w:line="234" w:lineRule="auto"/>
        <w:rPr>
          <w:sz w:val="20"/>
          <w:szCs w:val="20"/>
          <w:color w:val="auto"/>
        </w:rPr>
      </w:pPr>
      <w:r>
        <w:rPr>
          <w:rFonts w:ascii="Arial" w:cs="Arial" w:eastAsia="Arial" w:hAnsi="Arial"/>
          <w:sz w:val="14"/>
          <w:szCs w:val="14"/>
          <w:color w:val="auto"/>
        </w:rPr>
        <w:t>We have audited the accompanying consolidated statement of assets and liabilities of PennantPark Floating Rate Capital Ltd. and its Subsidiary (collectively referred to as the “Company”), including the consolidated schedule of investments as of September 30, 2014, and the related consolidated statements of operations, changes in net assets, and cash flows for the year ended September 30, 2014. These consolidated financial statements are the responsibility of the Company’s management. Our responsibility is to express an opinion on these consolidated financial statements based on our audit.</w:t>
      </w:r>
    </w:p>
    <w:p>
      <w:pPr>
        <w:spacing w:after="0" w:line="142"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2014 by correspondence with the custodians.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57" w:lineRule="exact"/>
        <w:rPr>
          <w:sz w:val="20"/>
          <w:szCs w:val="20"/>
          <w:color w:val="auto"/>
        </w:rPr>
      </w:pPr>
    </w:p>
    <w:p>
      <w:pPr>
        <w:ind w:right="280" w:firstLine="685"/>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Subsidiary as of September 30, 2014, and the results of their operations, changes in net assets and their cash flows for the year then ended in conformity with U.S. generally accepted accounting principles.</w:t>
      </w:r>
    </w:p>
    <w:p>
      <w:pPr>
        <w:spacing w:after="0" w:line="142"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PennantPark Floating Rate Capital, Ltd. and its Subsidiary’s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issued by the Committee of Sponsoring Organizations of the Treadway Commission (COSO) in 1992, and our report dated November 13, 2014 expressed an unqualified opinion on the effectiveness of the Company’s internal control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13, 2014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259" w:lineRule="exact"/>
        <w:rPr>
          <w:sz w:val="20"/>
          <w:szCs w:val="20"/>
          <w:color w:val="auto"/>
        </w:rPr>
      </w:pPr>
    </w:p>
    <w:p>
      <w:pPr>
        <w:ind w:right="60" w:firstLine="685"/>
        <w:spacing w:after="0" w:line="234" w:lineRule="auto"/>
        <w:rPr>
          <w:sz w:val="20"/>
          <w:szCs w:val="20"/>
          <w:color w:val="auto"/>
        </w:rPr>
      </w:pPr>
      <w:r>
        <w:rPr>
          <w:rFonts w:ascii="Arial" w:cs="Arial" w:eastAsia="Arial" w:hAnsi="Arial"/>
          <w:sz w:val="14"/>
          <w:szCs w:val="14"/>
          <w:color w:val="auto"/>
        </w:rPr>
        <w:t>We have audited the accompanying consolidated statements of assets and liabilities of PennantPark Floating Rate Capital Ltd. and its Subsidiary (collectively referred to as the “Company”), including the consolidated schedule of investments as of September 30, 2013, the related consolidated statements of operations, changes in net assets and cash flows for the years ended September 30, 2013 and 2012. These consolidated financial statements are the responsibility of the Company’s management. Our responsibility is to express an opinion on these consolidated financial statements based on our audits.</w:t>
      </w:r>
    </w:p>
    <w:p>
      <w:pPr>
        <w:spacing w:after="0" w:line="142" w:lineRule="exact"/>
        <w:rPr>
          <w:sz w:val="20"/>
          <w:szCs w:val="20"/>
          <w:color w:val="auto"/>
        </w:rPr>
      </w:pPr>
    </w:p>
    <w:p>
      <w:pPr>
        <w:ind w:right="100" w:firstLine="685"/>
        <w:spacing w:after="0" w:line="231"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2013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7" w:lineRule="exact"/>
        <w:rPr>
          <w:sz w:val="20"/>
          <w:szCs w:val="20"/>
          <w:color w:val="auto"/>
        </w:rPr>
      </w:pPr>
    </w:p>
    <w:p>
      <w:pPr>
        <w:ind w:firstLine="685"/>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Subsidiary as of September 30, 2013 and the results of their operations and their cash flows for the years ended September 30, 2013 and 2012, in conformity with U.S. generally accepted accounting principles.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2013</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24" w:lineRule="exact"/>
        <w:rPr>
          <w:sz w:val="20"/>
          <w:szCs w:val="20"/>
          <w:color w:val="auto"/>
        </w:rPr>
      </w:pPr>
    </w:p>
    <w:p>
      <w:pPr>
        <w:ind w:right="120" w:firstLine="685"/>
        <w:spacing w:after="0" w:line="231" w:lineRule="auto"/>
        <w:rPr>
          <w:sz w:val="20"/>
          <w:szCs w:val="20"/>
          <w:color w:val="auto"/>
        </w:rPr>
      </w:pPr>
      <w:r>
        <w:rPr>
          <w:rFonts w:ascii="Arial" w:cs="Arial" w:eastAsia="Arial" w:hAnsi="Arial"/>
          <w:sz w:val="14"/>
          <w:szCs w:val="14"/>
          <w:color w:val="auto"/>
        </w:rPr>
        <w:t xml:space="preserve">We have audited PennantPark Floating Rate Capital Ltd. and its Subsidiary’s (the “Company”)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issued by the Committee of Sponsoring Organizations of the Treadway Commission (COSO) in 1992.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on page 53. Our responsibility is to express an opinion on the Company’s internal control over financial reporting based on our audit.</w:t>
      </w:r>
    </w:p>
    <w:p>
      <w:pPr>
        <w:spacing w:after="0" w:line="144"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2" w:lineRule="exact"/>
        <w:rPr>
          <w:sz w:val="20"/>
          <w:szCs w:val="20"/>
          <w:color w:val="auto"/>
        </w:rPr>
      </w:pPr>
    </w:p>
    <w:p>
      <w:pPr>
        <w:ind w:right="20" w:firstLine="685"/>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right="100" w:firstLine="8"/>
        <w:spacing w:after="0" w:line="229" w:lineRule="auto"/>
        <w:tabs>
          <w:tab w:leader="none" w:pos="196" w:val="left"/>
        </w:tabs>
        <w:numPr>
          <w:ilvl w:val="0"/>
          <w:numId w:val="80"/>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ind w:right="20" w:firstLine="685"/>
        <w:spacing w:after="0" w:line="29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0" w:lineRule="exact"/>
        <w:rPr>
          <w:sz w:val="20"/>
          <w:szCs w:val="20"/>
          <w:color w:val="auto"/>
        </w:rPr>
      </w:pPr>
    </w:p>
    <w:p>
      <w:pPr>
        <w:ind w:right="340" w:firstLine="685"/>
        <w:spacing w:after="0" w:line="253" w:lineRule="auto"/>
        <w:rPr>
          <w:sz w:val="20"/>
          <w:szCs w:val="20"/>
          <w:color w:val="auto"/>
        </w:rPr>
      </w:pPr>
      <w:r>
        <w:rPr>
          <w:rFonts w:ascii="Arial" w:cs="Arial" w:eastAsia="Arial" w:hAnsi="Arial"/>
          <w:sz w:val="14"/>
          <w:szCs w:val="14"/>
          <w:color w:val="auto"/>
        </w:rPr>
        <w:t xml:space="preserve">In our opinion, PennantPark Floating Rate Capital, Ltd. and its Subsidiary maintained, in all material respects, effective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 in 1992.</w:t>
      </w:r>
    </w:p>
    <w:p>
      <w:pPr>
        <w:spacing w:after="0" w:line="133" w:lineRule="exact"/>
        <w:rPr>
          <w:sz w:val="20"/>
          <w:szCs w:val="20"/>
          <w:color w:val="auto"/>
        </w:rPr>
      </w:pPr>
    </w:p>
    <w:p>
      <w:pPr>
        <w:ind w:right="300" w:firstLine="685"/>
        <w:spacing w:after="0" w:line="238"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statement of assets and liabilities of PennantPark Floating Rate Capital Ltd. and its Subsidiary, including the schedule of investments as of September 30, 2014, and the related consolidated statements of operations, changes in net assets, and cash flows for the year then ended and our report dated November 13, 2014 expressed an unqualified opinion.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13, 2014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September 30, 2014</w:t>
            </w:r>
          </w:p>
        </w:tc>
        <w:tc>
          <w:tcPr>
            <w:tcW w:w="10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September 30, 2013</w:t>
            </w:r>
          </w:p>
        </w:tc>
      </w:tr>
      <w:tr>
        <w:trPr>
          <w:trHeight w:val="129"/>
        </w:trPr>
        <w:tc>
          <w:tcPr>
            <w:tcW w:w="20" w:type="dxa"/>
            <w:vAlign w:val="bottom"/>
          </w:tcPr>
          <w:p>
            <w:pPr>
              <w:spacing w:after="0"/>
              <w:rPr>
                <w:sz w:val="11"/>
                <w:szCs w:val="11"/>
                <w:color w:val="auto"/>
              </w:rPr>
            </w:pPr>
          </w:p>
        </w:tc>
        <w:tc>
          <w:tcPr>
            <w:tcW w:w="81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Non-controlled, non-affiliated investments (cost—$348,354,295 and $319,283,468, respectively)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348,428,492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317,803,894</w:t>
            </w: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Cash equivalents (See Note 8)</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13,113,817</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4,578,249</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1,773,870</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2,140,802</w:t>
            </w: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9,001,938</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3,659,185</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556,359</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619,737</w:t>
            </w:r>
          </w:p>
        </w:tc>
      </w:tr>
      <w:tr>
        <w:trPr>
          <w:trHeight w:val="163"/>
        </w:trPr>
        <w:tc>
          <w:tcPr>
            <w:tcW w:w="20" w:type="dxa"/>
            <w:vAlign w:val="bottom"/>
          </w:tcPr>
          <w:p>
            <w:pPr>
              <w:spacing w:after="0"/>
              <w:rPr>
                <w:sz w:val="14"/>
                <w:szCs w:val="14"/>
                <w:color w:val="auto"/>
              </w:rPr>
            </w:pPr>
          </w:p>
        </w:tc>
        <w:tc>
          <w:tcPr>
            <w:tcW w:w="8180" w:type="dxa"/>
            <w:vAlign w:val="bottom"/>
          </w:tcPr>
          <w:p>
            <w:pPr>
              <w:ind w:left="640"/>
              <w:spacing w:after="0" w:line="155" w:lineRule="exact"/>
              <w:rPr>
                <w:sz w:val="20"/>
                <w:szCs w:val="20"/>
                <w:color w:val="auto"/>
              </w:rPr>
            </w:pPr>
            <w:r>
              <w:rPr>
                <w:rFonts w:ascii="Arial" w:cs="Arial" w:eastAsia="Arial" w:hAnsi="Arial"/>
                <w:sz w:val="14"/>
                <w:szCs w:val="14"/>
                <w:b w:val="1"/>
                <w:bCs w:val="1"/>
                <w:color w:val="auto"/>
              </w:rPr>
              <w:t>Total assets</w:t>
            </w:r>
          </w:p>
        </w:tc>
        <w:tc>
          <w:tcPr>
            <w:tcW w:w="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372,874,476</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328,801,867</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1,340,825</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1,303,580</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3,162,000</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14,021,588</w:t>
            </w: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2,705,882</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934,555</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(cost—$146,400,000 and $99,600,000, respectively) (See Notes 5 and 10)</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146,949,000</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99,600,000</w:t>
            </w: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284,906</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189,934</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914,978</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731,635</w:t>
            </w: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2,180,604</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1,164,090</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808,571</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790,091</w:t>
            </w:r>
          </w:p>
        </w:tc>
      </w:tr>
      <w:tr>
        <w:trPr>
          <w:trHeight w:val="163"/>
        </w:trPr>
        <w:tc>
          <w:tcPr>
            <w:tcW w:w="20" w:type="dxa"/>
            <w:vAlign w:val="bottom"/>
          </w:tcPr>
          <w:p>
            <w:pPr>
              <w:spacing w:after="0"/>
              <w:rPr>
                <w:sz w:val="14"/>
                <w:szCs w:val="14"/>
                <w:color w:val="auto"/>
              </w:rPr>
            </w:pPr>
          </w:p>
        </w:tc>
        <w:tc>
          <w:tcPr>
            <w:tcW w:w="8180" w:type="dxa"/>
            <w:vAlign w:val="bottom"/>
          </w:tcPr>
          <w:p>
            <w:pPr>
              <w:ind w:left="640"/>
              <w:spacing w:after="0" w:line="155" w:lineRule="exact"/>
              <w:rPr>
                <w:sz w:val="20"/>
                <w:szCs w:val="20"/>
                <w:color w:val="auto"/>
              </w:rPr>
            </w:pPr>
            <w:r>
              <w:rPr>
                <w:rFonts w:ascii="Arial" w:cs="Arial" w:eastAsia="Arial" w:hAnsi="Arial"/>
                <w:sz w:val="14"/>
                <w:szCs w:val="14"/>
                <w:b w:val="1"/>
                <w:bCs w:val="1"/>
                <w:color w:val="auto"/>
              </w:rPr>
              <w:t>Total liabilities</w:t>
            </w:r>
          </w:p>
        </w:tc>
        <w:tc>
          <w:tcPr>
            <w:tcW w:w="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158,346,766</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118,735,473</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11)</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8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14,898,056 shares issued and outstanding.</w:t>
            </w: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Par value $0.001 per share and 100,000,000 shares authorized.</w:t>
            </w:r>
          </w:p>
        </w:tc>
        <w:tc>
          <w:tcPr>
            <w:tcW w:w="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14,898</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14,898</w:t>
            </w: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207,226,615</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207,481,368</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Undistributed net investment income</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4,878,091</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474,766</w:t>
            </w: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Accumulated net realized gain on investments</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2,882,909</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3,574,936</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on investments</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74,197</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(1,479,574)</w:t>
            </w:r>
          </w:p>
        </w:tc>
      </w:tr>
      <w:tr>
        <w:trPr>
          <w:trHeight w:val="156"/>
        </w:trPr>
        <w:tc>
          <w:tcPr>
            <w:tcW w:w="20" w:type="dxa"/>
            <w:vAlign w:val="bottom"/>
          </w:tcPr>
          <w:p>
            <w:pPr>
              <w:spacing w:after="0"/>
              <w:rPr>
                <w:sz w:val="13"/>
                <w:szCs w:val="13"/>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Net unrealized appreciation on Credit Facility</w:t>
            </w:r>
          </w:p>
        </w:tc>
        <w:tc>
          <w:tcPr>
            <w:tcW w:w="80" w:type="dxa"/>
            <w:vAlign w:val="bottom"/>
          </w:tcPr>
          <w:p>
            <w:pPr>
              <w:spacing w:after="0"/>
              <w:rPr>
                <w:sz w:val="13"/>
                <w:szCs w:val="13"/>
                <w:color w:val="auto"/>
              </w:rPr>
            </w:pPr>
          </w:p>
        </w:tc>
        <w:tc>
          <w:tcPr>
            <w:tcW w:w="1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(549,000)</w:t>
            </w:r>
          </w:p>
        </w:tc>
        <w:tc>
          <w:tcPr>
            <w:tcW w:w="100" w:type="dxa"/>
            <w:vAlign w:val="bottom"/>
          </w:tcPr>
          <w:p>
            <w:pPr>
              <w:spacing w:after="0"/>
              <w:rPr>
                <w:sz w:val="13"/>
                <w:szCs w:val="13"/>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b w:val="1"/>
                <w:bCs w:val="1"/>
                <w:color w:val="auto"/>
              </w:rPr>
              <w:t>Total net assets</w:t>
            </w: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214,527,710</w:t>
            </w: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210,066,394</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180" w:type="dxa"/>
            <w:vAlign w:val="bottom"/>
          </w:tcPr>
          <w:p>
            <w:pPr>
              <w:ind w:left="6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372,874,476</w:t>
            </w:r>
          </w:p>
        </w:tc>
        <w:tc>
          <w:tcPr>
            <w:tcW w:w="3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328,801,867</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 value per share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14.40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14.10</w:t>
            </w: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0" w:type="dxa"/>
            <w:vAlign w:val="bottom"/>
            <w:tcBorders>
              <w:bottom w:val="single" w:sz="8" w:color="auto"/>
            </w:tcBorders>
            <w:gridSpan w:val="12"/>
          </w:tcPr>
          <w:p>
            <w:pPr>
              <w:ind w:left="780"/>
              <w:spacing w:after="0"/>
              <w:rPr>
                <w:sz w:val="20"/>
                <w:szCs w:val="20"/>
                <w:color w:val="auto"/>
              </w:rPr>
            </w:pPr>
            <w:r>
              <w:rPr>
                <w:rFonts w:ascii="Arial" w:cs="Arial" w:eastAsia="Arial" w:hAnsi="Arial"/>
                <w:sz w:val="14"/>
                <w:szCs w:val="14"/>
                <w:b w:val="1"/>
                <w:bCs w:val="1"/>
                <w:color w:val="auto"/>
                <w:w w:val="97"/>
              </w:rPr>
              <w:t>Years Ended September 30,</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78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7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Interest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29,256,441</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17,635,914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11,856,483</w:t>
            </w:r>
          </w:p>
        </w:tc>
      </w:tr>
      <w:tr>
        <w:trPr>
          <w:trHeight w:val="156"/>
        </w:trPr>
        <w:tc>
          <w:tcPr>
            <w:tcW w:w="20" w:type="dxa"/>
            <w:vAlign w:val="bottom"/>
          </w:tcPr>
          <w:p>
            <w:pPr>
              <w:spacing w:after="0"/>
              <w:rPr>
                <w:sz w:val="13"/>
                <w:szCs w:val="13"/>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1,100,391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1,231,654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242,065</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30,356,832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18,867,568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12,098,548</w:t>
            </w: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Base management fee (See Note 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3,702,826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2,196,038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1,494,616</w:t>
            </w:r>
          </w:p>
        </w:tc>
      </w:tr>
      <w:tr>
        <w:trPr>
          <w:trHeight w:val="149"/>
        </w:trPr>
        <w:tc>
          <w:tcPr>
            <w:tcW w:w="20" w:type="dxa"/>
            <w:vAlign w:val="bottom"/>
          </w:tcPr>
          <w:p>
            <w:pPr>
              <w:spacing w:after="0"/>
              <w:rPr>
                <w:sz w:val="12"/>
                <w:szCs w:val="12"/>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3,464,344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1,891,302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564,540</w:t>
            </w: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Interest and expenses on the Credit Facility (See Note 10)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3,471,347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1,853,958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1,482,339</w:t>
            </w:r>
          </w:p>
        </w:tc>
      </w:tr>
      <w:tr>
        <w:trPr>
          <w:trHeight w:val="149"/>
        </w:trPr>
        <w:tc>
          <w:tcPr>
            <w:tcW w:w="20" w:type="dxa"/>
            <w:vAlign w:val="bottom"/>
          </w:tcPr>
          <w:p>
            <w:pPr>
              <w:spacing w:after="0"/>
              <w:rPr>
                <w:sz w:val="12"/>
                <w:szCs w:val="12"/>
                <w:color w:val="auto"/>
              </w:rPr>
            </w:pPr>
          </w:p>
        </w:tc>
        <w:tc>
          <w:tcPr>
            <w:tcW w:w="784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879,000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864,561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583,613</w:t>
            </w: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1,011,285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988,541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1,310,084</w:t>
            </w:r>
          </w:p>
        </w:tc>
      </w:tr>
      <w:tr>
        <w:trPr>
          <w:trHeight w:val="156"/>
        </w:trPr>
        <w:tc>
          <w:tcPr>
            <w:tcW w:w="20" w:type="dxa"/>
            <w:vAlign w:val="bottom"/>
          </w:tcPr>
          <w:p>
            <w:pPr>
              <w:spacing w:after="0"/>
              <w:rPr>
                <w:sz w:val="13"/>
                <w:szCs w:val="13"/>
                <w:color w:val="auto"/>
              </w:rPr>
            </w:pPr>
          </w:p>
        </w:tc>
        <w:tc>
          <w:tcPr>
            <w:tcW w:w="7840" w:type="dxa"/>
            <w:vAlign w:val="bottom"/>
          </w:tcPr>
          <w:p>
            <w:pPr>
              <w:ind w:left="320"/>
              <w:spacing w:after="0" w:line="155" w:lineRule="exact"/>
              <w:rPr>
                <w:sz w:val="20"/>
                <w:szCs w:val="20"/>
                <w:color w:val="auto"/>
              </w:rPr>
            </w:pPr>
            <w:r>
              <w:rPr>
                <w:rFonts w:ascii="Arial" w:cs="Arial" w:eastAsia="Arial" w:hAnsi="Arial"/>
                <w:sz w:val="14"/>
                <w:szCs w:val="14"/>
                <w:b w:val="1"/>
                <w:bCs w:val="1"/>
                <w:color w:val="auto"/>
              </w:rPr>
              <w:t>Expenses before excise tax and amendment costs</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12,528,802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7,794,400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5,435,192</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Excise tax</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479,425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122,897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42,027</w:t>
            </w:r>
          </w:p>
        </w:tc>
      </w:tr>
      <w:tr>
        <w:trPr>
          <w:trHeight w:val="156"/>
        </w:trPr>
        <w:tc>
          <w:tcPr>
            <w:tcW w:w="20" w:type="dxa"/>
            <w:vAlign w:val="bottom"/>
          </w:tcPr>
          <w:p>
            <w:pPr>
              <w:spacing w:after="0"/>
              <w:rPr>
                <w:sz w:val="13"/>
                <w:szCs w:val="13"/>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Credit Facility issuance and amendment costs (See Notes 5 and 10)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712,930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426,924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311,648</w:t>
            </w: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expenses</w:t>
            </w:r>
          </w:p>
        </w:tc>
        <w:tc>
          <w:tcPr>
            <w:tcW w:w="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13,721,157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8,344,221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5,788,867</w:t>
            </w:r>
          </w:p>
        </w:tc>
        <w:tc>
          <w:tcPr>
            <w:tcW w:w="8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7840" w:type="dxa"/>
            <w:vAlign w:val="bottom"/>
          </w:tcPr>
          <w:p>
            <w:pPr>
              <w:ind w:left="320"/>
              <w:spacing w:after="0" w:line="155" w:lineRule="exact"/>
              <w:rPr>
                <w:sz w:val="20"/>
                <w:szCs w:val="20"/>
                <w:color w:val="auto"/>
              </w:rPr>
            </w:pPr>
            <w:r>
              <w:rPr>
                <w:rFonts w:ascii="Arial" w:cs="Arial" w:eastAsia="Arial" w:hAnsi="Arial"/>
                <w:sz w:val="14"/>
                <w:szCs w:val="14"/>
                <w:color w:val="auto"/>
              </w:rPr>
              <w:t>Net investment income</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16,635,675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10,523,347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6,309,681</w:t>
            </w: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Net realized gain on non-controlled, non-affiliated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2,873,525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3,574,936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911,925</w:t>
            </w: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Non-controlled, non-affiliated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1,553,771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(1,735,965)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4,361,772</w:t>
            </w: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Credit Facility (appreciation) depreciation (See Note 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(549,000)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(377,500)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377,500</w:t>
            </w:r>
          </w:p>
        </w:tc>
      </w:tr>
      <w:tr>
        <w:trPr>
          <w:trHeight w:val="163"/>
        </w:trPr>
        <w:tc>
          <w:tcPr>
            <w:tcW w:w="20" w:type="dxa"/>
            <w:vAlign w:val="bottom"/>
          </w:tcPr>
          <w:p>
            <w:pPr>
              <w:spacing w:after="0"/>
              <w:rPr>
                <w:sz w:val="14"/>
                <w:szCs w:val="14"/>
                <w:color w:val="auto"/>
              </w:rPr>
            </w:pPr>
          </w:p>
        </w:tc>
        <w:tc>
          <w:tcPr>
            <w:tcW w:w="7840" w:type="dxa"/>
            <w:vAlign w:val="bottom"/>
          </w:tcPr>
          <w:p>
            <w:pPr>
              <w:ind w:left="32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Credit Facility</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1,004,771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(2,113,465)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4,739,272</w:t>
            </w: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from investments and Credit Facility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3,878,296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1,461,471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5,651,197</w:t>
            </w: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20,513,971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11,984,818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11,960,878</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6)</w:t>
            </w:r>
          </w:p>
        </w:tc>
        <w:tc>
          <w:tcPr>
            <w:tcW w:w="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gridSpan w:val="4"/>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1.25</w:t>
            </w: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1.75</w:t>
            </w: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color w:val="auto"/>
              </w:rPr>
              <w:t>Net investment income per common share</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1.12</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0.92</w:t>
            </w:r>
          </w:p>
        </w:tc>
        <w:tc>
          <w:tcPr>
            <w:tcW w:w="80" w:type="dxa"/>
            <w:vAlign w:val="bottom"/>
          </w:tcPr>
          <w:p>
            <w:pPr>
              <w:spacing w:after="0"/>
              <w:rPr>
                <w:sz w:val="13"/>
                <w:szCs w:val="13"/>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Years Ended September 30,</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4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(decrease) in net assets from operations:</w:t>
            </w: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16,635,675</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10,523,347</w:t>
            </w:r>
          </w:p>
        </w:tc>
        <w:tc>
          <w:tcPr>
            <w:tcW w:w="3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6,309,681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realized gain on investments</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2,873,525</w:t>
            </w:r>
          </w:p>
        </w:tc>
        <w:tc>
          <w:tcPr>
            <w:tcW w:w="2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3,574,936</w:t>
            </w: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911,925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2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1,553,771</w:t>
            </w:r>
          </w:p>
        </w:tc>
        <w:tc>
          <w:tcPr>
            <w:tcW w:w="2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(1,735,965)</w:t>
            </w: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4,361,772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(549,000)</w:t>
            </w:r>
          </w:p>
        </w:tc>
        <w:tc>
          <w:tcPr>
            <w:tcW w:w="2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(377,500)</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377,500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20,513,971</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11,984,818</w:t>
            </w:r>
          </w:p>
        </w:tc>
        <w:tc>
          <w:tcPr>
            <w:tcW w:w="2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11,960,878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Distribution of net investment income</w:t>
            </w:r>
          </w:p>
        </w:tc>
        <w:tc>
          <w:tcPr>
            <w:tcW w:w="2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(12,477,719)</w:t>
            </w:r>
          </w:p>
        </w:tc>
        <w:tc>
          <w:tcPr>
            <w:tcW w:w="2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(9,129,072)</w:t>
            </w:r>
          </w:p>
        </w:tc>
        <w:tc>
          <w:tcPr>
            <w:tcW w:w="30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(5,922,118)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 of realized gains</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(3,574,936)</w:t>
            </w:r>
          </w:p>
        </w:tc>
        <w:tc>
          <w:tcPr>
            <w:tcW w:w="2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(911,925)</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(311,988)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(16,052,655)</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(10,040,997)</w:t>
            </w:r>
          </w:p>
        </w:tc>
        <w:tc>
          <w:tcPr>
            <w:tcW w:w="2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(6,234,106)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Public offerings and distributions reinvested</w:t>
            </w:r>
          </w:p>
        </w:tc>
        <w:tc>
          <w:tcPr>
            <w:tcW w:w="2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113,567,268</w:t>
            </w:r>
          </w:p>
        </w:tc>
        <w:tc>
          <w:tcPr>
            <w:tcW w:w="3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Offering costs</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(1,188,572)</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Accrued sales load charges</w:t>
            </w:r>
          </w:p>
        </w:tc>
        <w:tc>
          <w:tcPr>
            <w:tcW w:w="2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(2,055,000)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increase (decrease) from capital transactions</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112,378,696</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(2,055,000)</w:t>
            </w:r>
          </w:p>
        </w:tc>
        <w:tc>
          <w:tcPr>
            <w:tcW w:w="0" w:type="dxa"/>
            <w:vAlign w:val="bottom"/>
          </w:tcPr>
          <w:p>
            <w:pPr>
              <w:spacing w:after="0"/>
              <w:rPr>
                <w:sz w:val="1"/>
                <w:szCs w:val="1"/>
                <w:color w:val="auto"/>
              </w:rPr>
            </w:pPr>
          </w:p>
        </w:tc>
      </w:tr>
      <w:tr>
        <w:trPr>
          <w:trHeight w:val="176"/>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Net increase in net assets</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4,461,316</w:t>
            </w: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114,322,517</w:t>
            </w:r>
          </w:p>
        </w:tc>
        <w:tc>
          <w:tcPr>
            <w:tcW w:w="2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3,671,772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Beginning of year</w:t>
            </w:r>
          </w:p>
        </w:tc>
        <w:tc>
          <w:tcPr>
            <w:tcW w:w="2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210,066,394</w:t>
            </w:r>
          </w:p>
        </w:tc>
        <w:tc>
          <w:tcPr>
            <w:tcW w:w="28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95,743,877</w:t>
            </w: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92,072,105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End of year</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214,527,710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210,066,394</w:t>
            </w: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95,743,877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tcPr>
          <w:p>
            <w:pPr>
              <w:ind w:left="200"/>
              <w:spacing w:after="0"/>
              <w:rPr>
                <w:sz w:val="20"/>
                <w:szCs w:val="20"/>
                <w:color w:val="auto"/>
              </w:rPr>
            </w:pPr>
            <w:r>
              <w:rPr>
                <w:rFonts w:ascii="Arial" w:cs="Arial" w:eastAsia="Arial" w:hAnsi="Arial"/>
                <w:sz w:val="14"/>
                <w:szCs w:val="14"/>
                <w:color w:val="auto"/>
              </w:rPr>
              <w:t>Undistributed (Distributions in excess of) net investment income, end of year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040" w:type="dxa"/>
            <w:vAlign w:val="bottom"/>
            <w:vMerge w:val="continue"/>
          </w:tcPr>
          <w:p>
            <w:pPr>
              <w:spacing w:after="0"/>
              <w:rPr>
                <w:sz w:val="12"/>
                <w:szCs w:val="12"/>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4,878,091</w:t>
            </w:r>
          </w:p>
        </w:tc>
        <w:tc>
          <w:tcPr>
            <w:tcW w:w="220" w:type="dxa"/>
            <w:vAlign w:val="bottom"/>
          </w:tcPr>
          <w:p>
            <w:pPr>
              <w:spacing w:after="0"/>
              <w:rPr>
                <w:sz w:val="12"/>
                <w:szCs w:val="12"/>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474,766</w:t>
            </w:r>
          </w:p>
        </w:tc>
        <w:tc>
          <w:tcPr>
            <w:tcW w:w="200" w:type="dxa"/>
            <w:vAlign w:val="bottom"/>
          </w:tcPr>
          <w:p>
            <w:pPr>
              <w:spacing w:after="0"/>
              <w:rPr>
                <w:sz w:val="12"/>
                <w:szCs w:val="12"/>
                <w:color w:val="auto"/>
              </w:rPr>
            </w:pPr>
          </w:p>
        </w:tc>
        <w:tc>
          <w:tcPr>
            <w:tcW w:w="300" w:type="dxa"/>
            <w:vAlign w:val="bottom"/>
            <w:tcBorders>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(1,313,000)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share activity:</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Shares issued from public offerings</w:t>
            </w:r>
          </w:p>
        </w:tc>
        <w:tc>
          <w:tcPr>
            <w:tcW w:w="2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8,038,700</w:t>
            </w:r>
          </w:p>
        </w:tc>
        <w:tc>
          <w:tcPr>
            <w:tcW w:w="3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issued from reinvestment of dividends</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8,689</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Years Ended September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24"/>
        </w:trPr>
        <w:tc>
          <w:tcPr>
            <w:tcW w:w="20" w:type="dxa"/>
            <w:vAlign w:val="bottom"/>
          </w:tcPr>
          <w:p>
            <w:pPr>
              <w:spacing w:after="0"/>
              <w:rPr>
                <w:sz w:val="10"/>
                <w:szCs w:val="10"/>
                <w:color w:val="auto"/>
              </w:rPr>
            </w:pPr>
          </w:p>
        </w:tc>
        <w:tc>
          <w:tcPr>
            <w:tcW w:w="610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61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20,513,971</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11,984,818</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11,960,878</w:t>
            </w:r>
          </w:p>
        </w:tc>
      </w:tr>
      <w:tr>
        <w:trPr>
          <w:trHeight w:val="130"/>
        </w:trPr>
        <w:tc>
          <w:tcPr>
            <w:tcW w:w="20" w:type="dxa"/>
            <w:vAlign w:val="bottom"/>
          </w:tcPr>
          <w:p>
            <w:pPr>
              <w:spacing w:after="0"/>
              <w:rPr>
                <w:sz w:val="11"/>
                <w:szCs w:val="11"/>
                <w:color w:val="auto"/>
              </w:rPr>
            </w:pPr>
          </w:p>
        </w:tc>
        <w:tc>
          <w:tcPr>
            <w:tcW w:w="61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8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6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used for operating activities:</w:t>
            </w:r>
          </w:p>
        </w:tc>
        <w:tc>
          <w:tcPr>
            <w:tcW w:w="88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(1,553,771)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1,735,965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(4,361,772)</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549,000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377,500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(377,500)</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Net realized gain on investments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(2,873,525)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(3,574,936)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(911,925)</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(1,253,776)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(1,178,778)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(704,452)</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Purchases of investments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(248,124,673)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(316,463,651)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(128,673,695)</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Payment-in-kind interest</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(662,226)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(471,675)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(119,552)</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225,614,700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174,918,136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71,337,986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Decrease (increase) in interest receivable</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366,932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(751,935)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(656,172)</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(Increase) decrease in receivable for investments sold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(5,342,753)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(2,672,907)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1,481,222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Decrease (increase) in prepaid expenses and other assets</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63,378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(308,424)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(147,939)</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(Decrease) increase in payable for investments purchased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(10,859,588)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10,664,088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2,367,500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Increase in interest payable on Credit Facility</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94,972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28,384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11,304</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Increase in management fee payable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183,343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306,888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158,315</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Increase in performance-based incentive fee payable</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1,016,514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657,776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506,314</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Increase in accrued other expenses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18,480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342,971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303,440</w:t>
            </w: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for operating activities</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(22,249,022)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(124,405,780)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(47,826,048)</w:t>
            </w: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Public offerings</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113,443,028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Offering costs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(1,188,572)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Deferred sales load paid</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(2,055,000)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Distributions paid to stockholders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(16,015,410)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(9,161,230)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(6,165,599)</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Borrowings under Credit Facility (See Notes 5 and 10)</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148,200,000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235,350,000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97,650,000</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Repayments under Credit Facility (See Notes 5 and 10)</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(101,400,000)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(211,250,000)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(46,800,000)</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880" w:type="dxa"/>
            <w:vAlign w:val="bottom"/>
            <w:shd w:val="clear" w:color="auto" w:fill="CCEEFF"/>
          </w:tcPr>
          <w:p>
            <w:pPr>
              <w:spacing w:after="0"/>
              <w:rPr>
                <w:sz w:val="12"/>
                <w:szCs w:val="12"/>
                <w:color w:val="auto"/>
              </w:rPr>
            </w:pPr>
          </w:p>
        </w:tc>
        <w:tc>
          <w:tcPr>
            <w:tcW w:w="80" w:type="dxa"/>
            <w:vAlign w:val="bottom"/>
            <w:tcBorders>
              <w:top w:val="single" w:sz="8" w:color="auto"/>
              <w:left w:val="single" w:sz="8" w:color="CCEEFF"/>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30,784,590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125,138,226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44,684,401</w:t>
            </w:r>
          </w:p>
        </w:tc>
        <w:tc>
          <w:tcPr>
            <w:tcW w:w="100" w:type="dxa"/>
            <w:vAlign w:val="bottom"/>
            <w:shd w:val="clear" w:color="auto" w:fill="CCEEFF"/>
          </w:tcPr>
          <w:p>
            <w:pPr>
              <w:spacing w:after="0"/>
              <w:rPr>
                <w:sz w:val="12"/>
                <w:szCs w:val="12"/>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(decrease) in cash equivalents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8,535,568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732,446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(3,141,647)</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 beginning of year</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4,578,249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100" w:type="dxa"/>
            <w:vAlign w:val="bottom"/>
            <w:shd w:val="clear" w:color="auto" w:fill="CCEEFF"/>
          </w:tcPr>
          <w:p>
            <w:pPr>
              <w:spacing w:after="0"/>
              <w:rPr>
                <w:sz w:val="12"/>
                <w:szCs w:val="12"/>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equivalents, end of year</w:t>
            </w:r>
          </w:p>
        </w:tc>
        <w:tc>
          <w:tcPr>
            <w:tcW w:w="8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13,113,817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4,578,249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3,845,803</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1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line="149" w:lineRule="exact"/>
              <w:rPr>
                <w:sz w:val="20"/>
                <w:szCs w:val="20"/>
                <w:color w:val="auto"/>
              </w:rPr>
            </w:pPr>
            <w:r>
              <w:rPr>
                <w:rFonts w:ascii="Arial" w:cs="Arial" w:eastAsia="Arial" w:hAnsi="Arial"/>
                <w:sz w:val="14"/>
                <w:szCs w:val="14"/>
                <w:color w:val="auto"/>
              </w:rPr>
              <w:t>Interest paid</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3,341,375</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1,825,574</w:t>
            </w:r>
          </w:p>
        </w:tc>
        <w:tc>
          <w:tcPr>
            <w:tcW w:w="18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1,471,035</w:t>
            </w:r>
          </w:p>
        </w:tc>
        <w:tc>
          <w:tcPr>
            <w:tcW w:w="10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Taxes paid</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254,753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82,378</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3,952</w:t>
            </w:r>
          </w:p>
        </w:tc>
      </w:tr>
      <w:tr>
        <w:trPr>
          <w:trHeight w:val="163"/>
        </w:trPr>
        <w:tc>
          <w:tcPr>
            <w:tcW w:w="20" w:type="dxa"/>
            <w:vAlign w:val="bottom"/>
          </w:tcPr>
          <w:p>
            <w:pPr>
              <w:spacing w:after="0"/>
              <w:rPr>
                <w:sz w:val="14"/>
                <w:szCs w:val="14"/>
                <w:color w:val="auto"/>
              </w:rPr>
            </w:pPr>
          </w:p>
        </w:tc>
        <w:tc>
          <w:tcPr>
            <w:tcW w:w="6100" w:type="dxa"/>
            <w:vAlign w:val="bottom"/>
          </w:tcPr>
          <w:p>
            <w:pPr>
              <w:ind w:left="200"/>
              <w:spacing w:after="0" w:line="155" w:lineRule="exact"/>
              <w:rPr>
                <w:sz w:val="20"/>
                <w:szCs w:val="20"/>
                <w:color w:val="auto"/>
              </w:rPr>
            </w:pPr>
            <w:r>
              <w:rPr>
                <w:rFonts w:ascii="Arial" w:cs="Arial" w:eastAsia="Arial" w:hAnsi="Arial"/>
                <w:sz w:val="14"/>
                <w:szCs w:val="14"/>
                <w:color w:val="auto"/>
              </w:rPr>
              <w:t>Distributions reinvested</w:t>
            </w:r>
          </w:p>
        </w:tc>
        <w:tc>
          <w:tcPr>
            <w:tcW w:w="8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124,240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Conversions and non-cash exchanges</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6,902,784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b w:val="1"/>
                <w:bCs w:val="1"/>
                <w:color w:val="auto"/>
                <w:w w:val="85"/>
              </w:rPr>
              <w:t>Basis Point</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8"/>
              </w:rPr>
              <w:t>Spread</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8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80" w:type="dxa"/>
            <w:vAlign w:val="bottom"/>
          </w:tcPr>
          <w:p>
            <w:pPr>
              <w:spacing w:after="0"/>
              <w:rPr>
                <w:sz w:val="11"/>
                <w:szCs w:val="11"/>
                <w:color w:val="auto"/>
              </w:rPr>
            </w:pPr>
          </w:p>
        </w:tc>
        <w:tc>
          <w:tcPr>
            <w:tcW w:w="20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7"/>
              </w:rPr>
              <w:t>Above</w:t>
            </w:r>
          </w:p>
        </w:tc>
        <w:tc>
          <w:tcPr>
            <w:tcW w:w="70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480" w:type="dxa"/>
            <w:vAlign w:val="bottom"/>
            <w:vMerge w:val="continue"/>
          </w:tcPr>
          <w:p>
            <w:pPr>
              <w:spacing w:after="0"/>
              <w:rPr>
                <w:sz w:val="12"/>
                <w:szCs w:val="12"/>
                <w:color w:val="auto"/>
              </w:rPr>
            </w:pPr>
          </w:p>
        </w:tc>
        <w:tc>
          <w:tcPr>
            <w:tcW w:w="980" w:type="dxa"/>
            <w:vAlign w:val="bottom"/>
          </w:tcPr>
          <w:p>
            <w:pPr>
              <w:jc w:val="center"/>
              <w:ind w:left="102"/>
              <w:spacing w:after="0"/>
              <w:rPr>
                <w:sz w:val="20"/>
                <w:szCs w:val="20"/>
                <w:color w:val="auto"/>
              </w:rPr>
            </w:pPr>
            <w:r>
              <w:rPr>
                <w:rFonts w:ascii="Arial" w:cs="Arial" w:eastAsia="Arial" w:hAnsi="Arial"/>
                <w:sz w:val="12"/>
                <w:szCs w:val="12"/>
                <w:b w:val="1"/>
                <w:bCs w:val="1"/>
                <w:color w:val="auto"/>
                <w:w w:val="98"/>
              </w:rPr>
              <w:t>Maturity</w:t>
            </w:r>
          </w:p>
        </w:tc>
        <w:tc>
          <w:tcPr>
            <w:tcW w:w="2040" w:type="dxa"/>
            <w:vAlign w:val="bottom"/>
            <w:vMerge w:val="continue"/>
          </w:tcPr>
          <w:p>
            <w:pPr>
              <w:spacing w:after="0"/>
              <w:rPr>
                <w:sz w:val="12"/>
                <w:szCs w:val="12"/>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ind w:right="8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0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34"/>
        </w:trPr>
        <w:tc>
          <w:tcPr>
            <w:tcW w:w="448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96"/>
              </w:rPr>
              <w:t xml:space="preserve">Investments in Non-Controlled, Non-Affiliated Portfolio Companies—162.4% </w:t>
            </w:r>
            <w:r>
              <w:rPr>
                <w:rFonts w:ascii="Arial" w:cs="Arial" w:eastAsia="Arial" w:hAnsi="Arial"/>
                <w:sz w:val="9"/>
                <w:szCs w:val="9"/>
                <w:b w:val="1"/>
                <w:bCs w:val="1"/>
                <w:color w:val="auto"/>
                <w:w w:val="96"/>
              </w:rPr>
              <w:t>(3), (4)</w:t>
            </w:r>
          </w:p>
        </w:tc>
        <w:tc>
          <w:tcPr>
            <w:tcW w:w="980" w:type="dxa"/>
            <w:vAlign w:val="bottom"/>
            <w:tcBorders>
              <w:top w:val="single" w:sz="8" w:color="auto"/>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Debt—141.0%</w:t>
            </w:r>
          </w:p>
        </w:tc>
        <w:tc>
          <w:tcPr>
            <w:tcW w:w="9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AKA Diversified Holdings,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04/02/2018</w:t>
            </w:r>
          </w:p>
        </w:tc>
        <w:tc>
          <w:tcPr>
            <w:tcW w:w="2040" w:type="dxa"/>
            <w:vAlign w:val="bottom"/>
          </w:tcPr>
          <w:p>
            <w:pPr>
              <w:jc w:val="center"/>
              <w:spacing w:after="0"/>
              <w:rPr>
                <w:sz w:val="20"/>
                <w:szCs w:val="20"/>
                <w:color w:val="auto"/>
              </w:rPr>
            </w:pPr>
            <w:r>
              <w:rPr>
                <w:rFonts w:ascii="Arial" w:cs="Arial" w:eastAsia="Arial" w:hAnsi="Arial"/>
                <w:sz w:val="12"/>
                <w:szCs w:val="12"/>
                <w:color w:val="auto"/>
                <w:w w:val="91"/>
              </w:rPr>
              <w:t>Retail</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11.92%</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(9)</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9,060,104</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$ 8,865,835</w:t>
            </w:r>
          </w:p>
        </w:tc>
        <w:tc>
          <w:tcPr>
            <w:tcW w:w="740" w:type="dxa"/>
            <w:vAlign w:val="bottom"/>
          </w:tcPr>
          <w:p>
            <w:pPr>
              <w:jc w:val="right"/>
              <w:spacing w:after="0"/>
              <w:rPr>
                <w:sz w:val="20"/>
                <w:szCs w:val="20"/>
                <w:color w:val="auto"/>
              </w:rPr>
            </w:pPr>
            <w:r>
              <w:rPr>
                <w:rFonts w:ascii="Arial" w:cs="Arial" w:eastAsia="Arial" w:hAnsi="Arial"/>
                <w:sz w:val="12"/>
                <w:szCs w:val="12"/>
                <w:color w:val="auto"/>
              </w:rPr>
              <w:t>$  9,167,028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AKA Diversified Holdings, Inc. </w:t>
            </w:r>
            <w:r>
              <w:rPr>
                <w:rFonts w:ascii="Arial" w:cs="Arial" w:eastAsia="Arial" w:hAnsi="Arial"/>
                <w:sz w:val="9"/>
                <w:szCs w:val="9"/>
                <w:color w:val="auto"/>
              </w:rPr>
              <w:t>(10)</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04/02/2018</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Retail</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2,000,000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2,000,000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2,023,603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2"/>
                <w:szCs w:val="12"/>
                <w:color w:val="auto"/>
              </w:rPr>
              <w:t>ALG USA Holdings, LLC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02/28/2019</w:t>
            </w:r>
          </w:p>
        </w:tc>
        <w:tc>
          <w:tcPr>
            <w:tcW w:w="2040" w:type="dxa"/>
            <w:vAlign w:val="bottom"/>
          </w:tcPr>
          <w:p>
            <w:pPr>
              <w:jc w:val="center"/>
              <w:spacing w:after="0"/>
              <w:rPr>
                <w:sz w:val="20"/>
                <w:szCs w:val="20"/>
                <w:color w:val="auto"/>
              </w:rPr>
            </w:pPr>
            <w:r>
              <w:rPr>
                <w:rFonts w:ascii="Arial" w:cs="Arial" w:eastAsia="Arial" w:hAnsi="Arial"/>
                <w:sz w:val="12"/>
                <w:szCs w:val="12"/>
                <w:color w:val="auto"/>
                <w:w w:val="88"/>
              </w:rPr>
              <w:t>Hotel, Gaming and Leisure</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7.00%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7,334,751</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7,289,756</w:t>
            </w:r>
          </w:p>
        </w:tc>
        <w:tc>
          <w:tcPr>
            <w:tcW w:w="740" w:type="dxa"/>
            <w:vAlign w:val="bottom"/>
          </w:tcPr>
          <w:p>
            <w:pPr>
              <w:jc w:val="right"/>
              <w:spacing w:after="0"/>
              <w:rPr>
                <w:sz w:val="20"/>
                <w:szCs w:val="20"/>
                <w:color w:val="auto"/>
              </w:rPr>
            </w:pPr>
            <w:r>
              <w:rPr>
                <w:rFonts w:ascii="Arial" w:cs="Arial" w:eastAsia="Arial" w:hAnsi="Arial"/>
                <w:sz w:val="12"/>
                <w:szCs w:val="12"/>
                <w:color w:val="auto"/>
              </w:rPr>
              <w:t>7,261,403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Alvogen Pharma US, Inc.</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05/23/2018</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2,764,276</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2,738,582</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2,781,553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2"/>
                <w:szCs w:val="12"/>
                <w:color w:val="auto"/>
              </w:rPr>
              <w:t>Ancile Solutions,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07/16/2018</w:t>
            </w:r>
          </w:p>
        </w:tc>
        <w:tc>
          <w:tcPr>
            <w:tcW w:w="2040" w:type="dxa"/>
            <w:vAlign w:val="bottom"/>
          </w:tcPr>
          <w:p>
            <w:pPr>
              <w:jc w:val="center"/>
              <w:spacing w:after="0"/>
              <w:rPr>
                <w:sz w:val="20"/>
                <w:szCs w:val="20"/>
                <w:color w:val="auto"/>
              </w:rPr>
            </w:pPr>
            <w:r>
              <w:rPr>
                <w:rFonts w:ascii="Arial" w:cs="Arial" w:eastAsia="Arial" w:hAnsi="Arial"/>
                <w:sz w:val="12"/>
                <w:szCs w:val="12"/>
                <w:color w:val="auto"/>
                <w:w w:val="89"/>
              </w:rPr>
              <w:t>High Tech Industries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6.25%</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4,333,333</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4,299,220</w:t>
            </w:r>
          </w:p>
        </w:tc>
        <w:tc>
          <w:tcPr>
            <w:tcW w:w="740" w:type="dxa"/>
            <w:vAlign w:val="bottom"/>
          </w:tcPr>
          <w:p>
            <w:pPr>
              <w:jc w:val="right"/>
              <w:spacing w:after="0"/>
              <w:rPr>
                <w:sz w:val="20"/>
                <w:szCs w:val="20"/>
                <w:color w:val="auto"/>
              </w:rPr>
            </w:pPr>
            <w:r>
              <w:rPr>
                <w:rFonts w:ascii="Arial" w:cs="Arial" w:eastAsia="Arial" w:hAnsi="Arial"/>
                <w:sz w:val="12"/>
                <w:szCs w:val="12"/>
                <w:color w:val="auto"/>
              </w:rPr>
              <w:t>4,327,917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AP Gaming I, LLC</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12/21/2020</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Hotel, Gaming and Leisure</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9.25%</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L+825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1,389,500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1,351,463</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1,396,447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line="129" w:lineRule="exact"/>
              <w:rPr>
                <w:sz w:val="20"/>
                <w:szCs w:val="20"/>
                <w:color w:val="auto"/>
              </w:rPr>
            </w:pPr>
            <w:r>
              <w:rPr>
                <w:rFonts w:ascii="Arial" w:cs="Arial" w:eastAsia="Arial" w:hAnsi="Arial"/>
                <w:sz w:val="12"/>
                <w:szCs w:val="12"/>
                <w:color w:val="auto"/>
              </w:rPr>
              <w:t>Ascend Learning, LLC</w:t>
            </w:r>
          </w:p>
        </w:tc>
        <w:tc>
          <w:tcPr>
            <w:tcW w:w="980" w:type="dxa"/>
            <w:vAlign w:val="bottom"/>
          </w:tcPr>
          <w:p>
            <w:pPr>
              <w:jc w:val="center"/>
              <w:ind w:left="102"/>
              <w:spacing w:after="0" w:line="129" w:lineRule="exact"/>
              <w:rPr>
                <w:sz w:val="20"/>
                <w:szCs w:val="20"/>
                <w:color w:val="auto"/>
              </w:rPr>
            </w:pPr>
            <w:r>
              <w:rPr>
                <w:rFonts w:ascii="Arial" w:cs="Arial" w:eastAsia="Arial" w:hAnsi="Arial"/>
                <w:sz w:val="12"/>
                <w:szCs w:val="12"/>
                <w:color w:val="auto"/>
                <w:w w:val="89"/>
              </w:rPr>
              <w:t>07/31/2019</w:t>
            </w:r>
          </w:p>
        </w:tc>
        <w:tc>
          <w:tcPr>
            <w:tcW w:w="2040" w:type="dxa"/>
            <w:vAlign w:val="bottom"/>
          </w:tcPr>
          <w:p>
            <w:pPr>
              <w:jc w:val="center"/>
              <w:spacing w:after="0" w:line="129" w:lineRule="exact"/>
              <w:rPr>
                <w:sz w:val="20"/>
                <w:szCs w:val="20"/>
                <w:color w:val="auto"/>
              </w:rPr>
            </w:pPr>
            <w:r>
              <w:rPr>
                <w:rFonts w:ascii="Arial" w:cs="Arial" w:eastAsia="Arial" w:hAnsi="Arial"/>
                <w:sz w:val="12"/>
                <w:szCs w:val="12"/>
                <w:color w:val="auto"/>
                <w:w w:val="88"/>
              </w:rPr>
              <w:t>Media: Broadcasting and</w:t>
            </w:r>
          </w:p>
        </w:tc>
        <w:tc>
          <w:tcPr>
            <w:tcW w:w="800" w:type="dxa"/>
            <w:vAlign w:val="bottom"/>
          </w:tcPr>
          <w:p>
            <w:pPr>
              <w:jc w:val="right"/>
              <w:ind w:right="42"/>
              <w:spacing w:after="0" w:line="129" w:lineRule="exact"/>
              <w:rPr>
                <w:sz w:val="20"/>
                <w:szCs w:val="20"/>
                <w:color w:val="auto"/>
              </w:rPr>
            </w:pPr>
            <w:r>
              <w:rPr>
                <w:rFonts w:ascii="Arial" w:cs="Arial" w:eastAsia="Arial" w:hAnsi="Arial"/>
                <w:sz w:val="12"/>
                <w:szCs w:val="12"/>
                <w:color w:val="auto"/>
              </w:rPr>
              <w:t>6.00%</w:t>
            </w:r>
          </w:p>
        </w:tc>
        <w:tc>
          <w:tcPr>
            <w:tcW w:w="80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3,476,244</w:t>
            </w:r>
          </w:p>
        </w:tc>
        <w:tc>
          <w:tcPr>
            <w:tcW w:w="760" w:type="dxa"/>
            <w:vAlign w:val="bottom"/>
          </w:tcPr>
          <w:p>
            <w:pPr>
              <w:jc w:val="right"/>
              <w:ind w:right="22"/>
              <w:spacing w:after="0" w:line="129" w:lineRule="exact"/>
              <w:rPr>
                <w:sz w:val="20"/>
                <w:szCs w:val="20"/>
                <w:color w:val="auto"/>
              </w:rPr>
            </w:pPr>
            <w:r>
              <w:rPr>
                <w:rFonts w:ascii="Arial" w:cs="Arial" w:eastAsia="Arial" w:hAnsi="Arial"/>
                <w:sz w:val="12"/>
                <w:szCs w:val="12"/>
                <w:color w:val="auto"/>
              </w:rPr>
              <w:t>3,463,094</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3,479,720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Arial" w:cs="Arial" w:eastAsia="Arial" w:hAnsi="Arial"/>
                <w:sz w:val="12"/>
                <w:szCs w:val="12"/>
                <w:color w:val="auto"/>
                <w:w w:val="87"/>
              </w:rPr>
              <w:t>Subscription</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Aspen Dental Management, Inc.</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10/06/2016</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Consumer Services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2,917,500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2,900,680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2,902,912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2"/>
                <w:szCs w:val="12"/>
                <w:color w:val="auto"/>
              </w:rPr>
              <w:t>ATI Holdings,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12/20/2019</w:t>
            </w:r>
          </w:p>
        </w:tc>
        <w:tc>
          <w:tcPr>
            <w:tcW w:w="20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5.00%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L+400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2,947,500</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2,924,974</w:t>
            </w:r>
          </w:p>
        </w:tc>
        <w:tc>
          <w:tcPr>
            <w:tcW w:w="740" w:type="dxa"/>
            <w:vAlign w:val="bottom"/>
          </w:tcPr>
          <w:p>
            <w:pPr>
              <w:jc w:val="right"/>
              <w:spacing w:after="0"/>
              <w:rPr>
                <w:sz w:val="20"/>
                <w:szCs w:val="20"/>
                <w:color w:val="auto"/>
              </w:rPr>
            </w:pPr>
            <w:r>
              <w:rPr>
                <w:rFonts w:ascii="Arial" w:cs="Arial" w:eastAsia="Arial" w:hAnsi="Arial"/>
                <w:sz w:val="12"/>
                <w:szCs w:val="12"/>
                <w:color w:val="auto"/>
              </w:rPr>
              <w:t>2,956,107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Azure Midstream Energy LLC</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11/15/2018</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Energy: Oil and Gas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5,293,750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5,228,951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5,240,812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2"/>
                <w:szCs w:val="12"/>
                <w:color w:val="auto"/>
              </w:rPr>
              <w:t>BBB Industries, LLC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03/27/2019</w:t>
            </w:r>
          </w:p>
        </w:tc>
        <w:tc>
          <w:tcPr>
            <w:tcW w:w="2040" w:type="dxa"/>
            <w:vAlign w:val="bottom"/>
          </w:tcPr>
          <w:p>
            <w:pPr>
              <w:jc w:val="center"/>
              <w:spacing w:after="0"/>
              <w:rPr>
                <w:sz w:val="20"/>
                <w:szCs w:val="20"/>
                <w:color w:val="auto"/>
              </w:rPr>
            </w:pPr>
            <w:r>
              <w:rPr>
                <w:rFonts w:ascii="Arial" w:cs="Arial" w:eastAsia="Arial" w:hAnsi="Arial"/>
                <w:sz w:val="12"/>
                <w:szCs w:val="12"/>
                <w:color w:val="auto"/>
                <w:w w:val="93"/>
              </w:rPr>
              <w:t>Automotive</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5.50%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L+425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3,023,140</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3,004,531</w:t>
            </w:r>
          </w:p>
        </w:tc>
        <w:tc>
          <w:tcPr>
            <w:tcW w:w="740" w:type="dxa"/>
            <w:vAlign w:val="bottom"/>
          </w:tcPr>
          <w:p>
            <w:pPr>
              <w:jc w:val="right"/>
              <w:spacing w:after="0"/>
              <w:rPr>
                <w:sz w:val="20"/>
                <w:szCs w:val="20"/>
                <w:color w:val="auto"/>
              </w:rPr>
            </w:pPr>
            <w:r>
              <w:rPr>
                <w:rFonts w:ascii="Arial" w:cs="Arial" w:eastAsia="Arial" w:hAnsi="Arial"/>
                <w:sz w:val="12"/>
                <w:szCs w:val="12"/>
                <w:color w:val="auto"/>
              </w:rPr>
              <w:t>3,005,515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Blue Bird Body Company</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06/29/2020</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Automotive</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5,000,000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4,927,548</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Bowlmor AMF, Corp.</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09/17/2021</w:t>
            </w:r>
          </w:p>
        </w:tc>
        <w:tc>
          <w:tcPr>
            <w:tcW w:w="2040" w:type="dxa"/>
            <w:vAlign w:val="bottom"/>
          </w:tcPr>
          <w:p>
            <w:pPr>
              <w:jc w:val="center"/>
              <w:spacing w:after="0"/>
              <w:rPr>
                <w:sz w:val="20"/>
                <w:szCs w:val="20"/>
                <w:color w:val="auto"/>
              </w:rPr>
            </w:pPr>
            <w:r>
              <w:rPr>
                <w:rFonts w:ascii="Arial" w:cs="Arial" w:eastAsia="Arial" w:hAnsi="Arial"/>
                <w:sz w:val="12"/>
                <w:szCs w:val="12"/>
                <w:color w:val="auto"/>
                <w:w w:val="91"/>
              </w:rPr>
              <w:t>Retail</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7.25%</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L+625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8,000,000</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7,880,197</w:t>
            </w:r>
          </w:p>
        </w:tc>
        <w:tc>
          <w:tcPr>
            <w:tcW w:w="740" w:type="dxa"/>
            <w:vAlign w:val="bottom"/>
          </w:tcPr>
          <w:p>
            <w:pPr>
              <w:jc w:val="right"/>
              <w:spacing w:after="0"/>
              <w:rPr>
                <w:sz w:val="20"/>
                <w:szCs w:val="20"/>
                <w:color w:val="auto"/>
              </w:rPr>
            </w:pPr>
            <w:r>
              <w:rPr>
                <w:rFonts w:ascii="Arial" w:cs="Arial" w:eastAsia="Arial" w:hAnsi="Arial"/>
                <w:sz w:val="12"/>
                <w:szCs w:val="12"/>
                <w:color w:val="auto"/>
              </w:rPr>
              <w:t>7,970,000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07/02/2020</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Hotel, Gaming and Leisure</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8.25%</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5,000,000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4,957,132</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5,087,500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Charming Charlie LLC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12/24/2019</w:t>
            </w:r>
          </w:p>
        </w:tc>
        <w:tc>
          <w:tcPr>
            <w:tcW w:w="2040" w:type="dxa"/>
            <w:vAlign w:val="bottom"/>
          </w:tcPr>
          <w:p>
            <w:pPr>
              <w:jc w:val="center"/>
              <w:spacing w:after="0"/>
              <w:rPr>
                <w:sz w:val="20"/>
                <w:szCs w:val="20"/>
                <w:color w:val="auto"/>
              </w:rPr>
            </w:pPr>
            <w:r>
              <w:rPr>
                <w:rFonts w:ascii="Arial" w:cs="Arial" w:eastAsia="Arial" w:hAnsi="Arial"/>
                <w:sz w:val="12"/>
                <w:szCs w:val="12"/>
                <w:color w:val="auto"/>
                <w:w w:val="91"/>
              </w:rPr>
              <w:t>Retail</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9.00%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L+800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4,477,500</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4,416,233</w:t>
            </w:r>
          </w:p>
        </w:tc>
        <w:tc>
          <w:tcPr>
            <w:tcW w:w="740" w:type="dxa"/>
            <w:vAlign w:val="bottom"/>
          </w:tcPr>
          <w:p>
            <w:pPr>
              <w:jc w:val="right"/>
              <w:spacing w:after="0"/>
              <w:rPr>
                <w:sz w:val="20"/>
                <w:szCs w:val="20"/>
                <w:color w:val="auto"/>
              </w:rPr>
            </w:pPr>
            <w:r>
              <w:rPr>
                <w:rFonts w:ascii="Arial" w:cs="Arial" w:eastAsia="Arial" w:hAnsi="Arial"/>
                <w:sz w:val="12"/>
                <w:szCs w:val="12"/>
                <w:color w:val="auto"/>
              </w:rPr>
              <w:t>4,477,500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Chicken Soup for the Soul Publishing, LLC</w:t>
            </w:r>
          </w:p>
        </w:tc>
        <w:tc>
          <w:tcPr>
            <w:tcW w:w="980" w:type="dxa"/>
            <w:vAlign w:val="bottom"/>
            <w:shd w:val="clear" w:color="auto" w:fill="CCEEFF"/>
          </w:tcPr>
          <w:p>
            <w:pPr>
              <w:jc w:val="center"/>
              <w:ind w:left="102"/>
              <w:spacing w:after="0" w:line="129" w:lineRule="exact"/>
              <w:rPr>
                <w:sz w:val="20"/>
                <w:szCs w:val="20"/>
                <w:color w:val="auto"/>
              </w:rPr>
            </w:pPr>
            <w:r>
              <w:rPr>
                <w:rFonts w:ascii="Arial" w:cs="Arial" w:eastAsia="Arial" w:hAnsi="Arial"/>
                <w:sz w:val="12"/>
                <w:szCs w:val="12"/>
                <w:color w:val="auto"/>
                <w:w w:val="89"/>
              </w:rPr>
              <w:t>01/08/2019</w:t>
            </w:r>
          </w:p>
        </w:tc>
        <w:tc>
          <w:tcPr>
            <w:tcW w:w="20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80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7.25%</w:t>
            </w:r>
          </w:p>
        </w:tc>
        <w:tc>
          <w:tcPr>
            <w:tcW w:w="80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4,975,000</w:t>
            </w:r>
          </w:p>
        </w:tc>
        <w:tc>
          <w:tcPr>
            <w:tcW w:w="76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4,928,906</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4,975,000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line="129" w:lineRule="exact"/>
              <w:rPr>
                <w:sz w:val="20"/>
                <w:szCs w:val="20"/>
                <w:color w:val="auto"/>
              </w:rPr>
            </w:pPr>
            <w:r>
              <w:rPr>
                <w:rFonts w:ascii="Arial" w:cs="Arial" w:eastAsia="Arial" w:hAnsi="Arial"/>
                <w:sz w:val="12"/>
                <w:szCs w:val="12"/>
                <w:color w:val="auto"/>
              </w:rPr>
              <w:t>Creative Circle, LLC</w:t>
            </w:r>
          </w:p>
        </w:tc>
        <w:tc>
          <w:tcPr>
            <w:tcW w:w="980" w:type="dxa"/>
            <w:vAlign w:val="bottom"/>
          </w:tcPr>
          <w:p>
            <w:pPr>
              <w:jc w:val="center"/>
              <w:ind w:left="102"/>
              <w:spacing w:after="0" w:line="129" w:lineRule="exact"/>
              <w:rPr>
                <w:sz w:val="20"/>
                <w:szCs w:val="20"/>
                <w:color w:val="auto"/>
              </w:rPr>
            </w:pPr>
            <w:r>
              <w:rPr>
                <w:rFonts w:ascii="Arial" w:cs="Arial" w:eastAsia="Arial" w:hAnsi="Arial"/>
                <w:sz w:val="12"/>
                <w:szCs w:val="12"/>
                <w:color w:val="auto"/>
                <w:w w:val="89"/>
              </w:rPr>
              <w:t>06/25/2020</w:t>
            </w:r>
          </w:p>
        </w:tc>
        <w:tc>
          <w:tcPr>
            <w:tcW w:w="204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800" w:type="dxa"/>
            <w:vAlign w:val="bottom"/>
          </w:tcPr>
          <w:p>
            <w:pPr>
              <w:jc w:val="right"/>
              <w:ind w:right="42"/>
              <w:spacing w:after="0" w:line="129" w:lineRule="exact"/>
              <w:rPr>
                <w:sz w:val="20"/>
                <w:szCs w:val="20"/>
                <w:color w:val="auto"/>
              </w:rPr>
            </w:pPr>
            <w:r>
              <w:rPr>
                <w:rFonts w:ascii="Arial" w:cs="Arial" w:eastAsia="Arial" w:hAnsi="Arial"/>
                <w:sz w:val="12"/>
                <w:szCs w:val="12"/>
                <w:color w:val="auto"/>
              </w:rPr>
              <w:t>5.50%</w:t>
            </w:r>
          </w:p>
        </w:tc>
        <w:tc>
          <w:tcPr>
            <w:tcW w:w="80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5,900,000</w:t>
            </w:r>
          </w:p>
        </w:tc>
        <w:tc>
          <w:tcPr>
            <w:tcW w:w="76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5,843,227</w:t>
            </w:r>
          </w:p>
        </w:tc>
        <w:tc>
          <w:tcPr>
            <w:tcW w:w="86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5,811,500</w:t>
            </w:r>
          </w:p>
        </w:tc>
        <w:tc>
          <w:tcPr>
            <w:tcW w:w="0" w:type="dxa"/>
            <w:vAlign w:val="bottom"/>
          </w:tcPr>
          <w:p>
            <w:pPr>
              <w:spacing w:after="0"/>
              <w:rPr>
                <w:sz w:val="1"/>
                <w:szCs w:val="1"/>
                <w:color w:val="auto"/>
              </w:rPr>
            </w:pPr>
          </w:p>
        </w:tc>
      </w:tr>
      <w:tr>
        <w:trPr>
          <w:trHeight w:val="141"/>
        </w:trPr>
        <w:tc>
          <w:tcPr>
            <w:tcW w:w="4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Curo Health Services, LLC</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06/08/2020</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5.75%</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1,995,000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1,947,166</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1,963,419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DCS Business Services,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03/19/2018</w:t>
            </w:r>
          </w:p>
        </w:tc>
        <w:tc>
          <w:tcPr>
            <w:tcW w:w="204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7.25%</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3,253,740</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3,218,698</w:t>
            </w:r>
          </w:p>
        </w:tc>
        <w:tc>
          <w:tcPr>
            <w:tcW w:w="740" w:type="dxa"/>
            <w:vAlign w:val="bottom"/>
          </w:tcPr>
          <w:p>
            <w:pPr>
              <w:jc w:val="right"/>
              <w:spacing w:after="0"/>
              <w:rPr>
                <w:sz w:val="20"/>
                <w:szCs w:val="20"/>
                <w:color w:val="auto"/>
              </w:rPr>
            </w:pPr>
            <w:r>
              <w:rPr>
                <w:rFonts w:ascii="Arial" w:cs="Arial" w:eastAsia="Arial" w:hAnsi="Arial"/>
                <w:sz w:val="12"/>
                <w:szCs w:val="12"/>
                <w:color w:val="auto"/>
              </w:rPr>
              <w:t>3,172,396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Edmentum, Inc.</w:t>
            </w:r>
          </w:p>
        </w:tc>
        <w:tc>
          <w:tcPr>
            <w:tcW w:w="980" w:type="dxa"/>
            <w:vAlign w:val="bottom"/>
            <w:shd w:val="clear" w:color="auto" w:fill="CCEEFF"/>
          </w:tcPr>
          <w:p>
            <w:pPr>
              <w:jc w:val="center"/>
              <w:ind w:left="102"/>
              <w:spacing w:after="0" w:line="129" w:lineRule="exact"/>
              <w:rPr>
                <w:sz w:val="20"/>
                <w:szCs w:val="20"/>
                <w:color w:val="auto"/>
              </w:rPr>
            </w:pPr>
            <w:r>
              <w:rPr>
                <w:rFonts w:ascii="Arial" w:cs="Arial" w:eastAsia="Arial" w:hAnsi="Arial"/>
                <w:sz w:val="12"/>
                <w:szCs w:val="12"/>
                <w:color w:val="auto"/>
                <w:w w:val="89"/>
              </w:rPr>
              <w:t>05/17/2018</w:t>
            </w:r>
          </w:p>
        </w:tc>
        <w:tc>
          <w:tcPr>
            <w:tcW w:w="20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Media: Broadcasting and</w:t>
            </w:r>
          </w:p>
        </w:tc>
        <w:tc>
          <w:tcPr>
            <w:tcW w:w="80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5.50%</w:t>
            </w:r>
          </w:p>
        </w:tc>
        <w:tc>
          <w:tcPr>
            <w:tcW w:w="80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924,982</w:t>
            </w:r>
          </w:p>
        </w:tc>
        <w:tc>
          <w:tcPr>
            <w:tcW w:w="76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924,982</w:t>
            </w:r>
          </w:p>
        </w:tc>
        <w:tc>
          <w:tcPr>
            <w:tcW w:w="8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915,732</w:t>
            </w:r>
          </w:p>
        </w:tc>
        <w:tc>
          <w:tcPr>
            <w:tcW w:w="0" w:type="dxa"/>
            <w:vAlign w:val="bottom"/>
          </w:tcPr>
          <w:p>
            <w:pPr>
              <w:spacing w:after="0"/>
              <w:rPr>
                <w:sz w:val="1"/>
                <w:szCs w:val="1"/>
                <w:color w:val="auto"/>
              </w:rPr>
            </w:pPr>
          </w:p>
        </w:tc>
      </w:tr>
      <w:tr>
        <w:trPr>
          <w:trHeight w:val="141"/>
        </w:trPr>
        <w:tc>
          <w:tcPr>
            <w:tcW w:w="4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Subscription</w:t>
            </w: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eResearchTechnology,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05/02/2018</w:t>
            </w:r>
          </w:p>
        </w:tc>
        <w:tc>
          <w:tcPr>
            <w:tcW w:w="20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6.00%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2,858,864</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2,847,367</w:t>
            </w:r>
          </w:p>
        </w:tc>
        <w:tc>
          <w:tcPr>
            <w:tcW w:w="740" w:type="dxa"/>
            <w:vAlign w:val="bottom"/>
          </w:tcPr>
          <w:p>
            <w:pPr>
              <w:jc w:val="right"/>
              <w:spacing w:after="0"/>
              <w:rPr>
                <w:sz w:val="20"/>
                <w:szCs w:val="20"/>
                <w:color w:val="auto"/>
              </w:rPr>
            </w:pPr>
            <w:r>
              <w:rPr>
                <w:rFonts w:ascii="Arial" w:cs="Arial" w:eastAsia="Arial" w:hAnsi="Arial"/>
                <w:sz w:val="12"/>
                <w:szCs w:val="12"/>
                <w:color w:val="auto"/>
              </w:rPr>
              <w:t>2,855,291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e-Rewards, Inc.</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10/29/2018</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High Tech Industries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9,812,500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9,652,736</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9,665,312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FHC Health Systems,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01/09/2018</w:t>
            </w:r>
          </w:p>
        </w:tc>
        <w:tc>
          <w:tcPr>
            <w:tcW w:w="20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5.75%</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4,258,929</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4,226,747</w:t>
            </w:r>
          </w:p>
        </w:tc>
        <w:tc>
          <w:tcPr>
            <w:tcW w:w="740" w:type="dxa"/>
            <w:vAlign w:val="bottom"/>
          </w:tcPr>
          <w:p>
            <w:pPr>
              <w:jc w:val="right"/>
              <w:spacing w:after="0"/>
              <w:rPr>
                <w:sz w:val="20"/>
                <w:szCs w:val="20"/>
                <w:color w:val="auto"/>
              </w:rPr>
            </w:pPr>
            <w:r>
              <w:rPr>
                <w:rFonts w:ascii="Arial" w:cs="Arial" w:eastAsia="Arial" w:hAnsi="Arial"/>
                <w:sz w:val="12"/>
                <w:szCs w:val="12"/>
                <w:color w:val="auto"/>
              </w:rPr>
              <w:t>4,258,929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Fishnet Security, Inc.</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11/30/2017</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High Tech Industries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6.25%</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3,610,688</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3,591,818</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3,592,634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GlobalLogic Holdings,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05/31/2019</w:t>
            </w:r>
          </w:p>
        </w:tc>
        <w:tc>
          <w:tcPr>
            <w:tcW w:w="2040" w:type="dxa"/>
            <w:vAlign w:val="bottom"/>
          </w:tcPr>
          <w:p>
            <w:pPr>
              <w:jc w:val="center"/>
              <w:spacing w:after="0"/>
              <w:rPr>
                <w:sz w:val="20"/>
                <w:szCs w:val="20"/>
                <w:color w:val="auto"/>
              </w:rPr>
            </w:pPr>
            <w:r>
              <w:rPr>
                <w:rFonts w:ascii="Arial" w:cs="Arial" w:eastAsia="Arial" w:hAnsi="Arial"/>
                <w:sz w:val="12"/>
                <w:szCs w:val="12"/>
                <w:color w:val="auto"/>
                <w:w w:val="89"/>
              </w:rPr>
              <w:t>High Tech Industries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6.25%</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L+525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3,970,000</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3,934,577</w:t>
            </w:r>
          </w:p>
        </w:tc>
        <w:tc>
          <w:tcPr>
            <w:tcW w:w="740" w:type="dxa"/>
            <w:vAlign w:val="bottom"/>
          </w:tcPr>
          <w:p>
            <w:pPr>
              <w:jc w:val="right"/>
              <w:spacing w:after="0"/>
              <w:rPr>
                <w:sz w:val="20"/>
                <w:szCs w:val="20"/>
                <w:color w:val="auto"/>
              </w:rPr>
            </w:pPr>
            <w:r>
              <w:rPr>
                <w:rFonts w:ascii="Arial" w:cs="Arial" w:eastAsia="Arial" w:hAnsi="Arial"/>
                <w:sz w:val="12"/>
                <w:szCs w:val="12"/>
                <w:color w:val="auto"/>
              </w:rPr>
              <w:t>3,840,975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Granite Broadcasting Corporation</w:t>
            </w:r>
          </w:p>
        </w:tc>
        <w:tc>
          <w:tcPr>
            <w:tcW w:w="980" w:type="dxa"/>
            <w:vAlign w:val="bottom"/>
            <w:shd w:val="clear" w:color="auto" w:fill="CCEEFF"/>
          </w:tcPr>
          <w:p>
            <w:pPr>
              <w:jc w:val="center"/>
              <w:ind w:left="102"/>
              <w:spacing w:after="0" w:line="129" w:lineRule="exact"/>
              <w:rPr>
                <w:sz w:val="20"/>
                <w:szCs w:val="20"/>
                <w:color w:val="auto"/>
              </w:rPr>
            </w:pPr>
            <w:r>
              <w:rPr>
                <w:rFonts w:ascii="Arial" w:cs="Arial" w:eastAsia="Arial" w:hAnsi="Arial"/>
                <w:sz w:val="12"/>
                <w:szCs w:val="12"/>
                <w:color w:val="auto"/>
                <w:w w:val="89"/>
              </w:rPr>
              <w:t>05/23/2018</w:t>
            </w:r>
          </w:p>
        </w:tc>
        <w:tc>
          <w:tcPr>
            <w:tcW w:w="20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Media: Broadcasting and</w:t>
            </w:r>
          </w:p>
        </w:tc>
        <w:tc>
          <w:tcPr>
            <w:tcW w:w="80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6.75%</w:t>
            </w:r>
          </w:p>
        </w:tc>
        <w:tc>
          <w:tcPr>
            <w:tcW w:w="80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1,096,930</w:t>
            </w:r>
          </w:p>
        </w:tc>
        <w:tc>
          <w:tcPr>
            <w:tcW w:w="76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1,094,839</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1,094,188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Subscription</w:t>
            </w:r>
          </w:p>
        </w:tc>
        <w:tc>
          <w:tcPr>
            <w:tcW w:w="8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Greenway Health, LLC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11/04/2020</w:t>
            </w:r>
          </w:p>
        </w:tc>
        <w:tc>
          <w:tcPr>
            <w:tcW w:w="2040" w:type="dxa"/>
            <w:vAlign w:val="bottom"/>
          </w:tcPr>
          <w:p>
            <w:pPr>
              <w:jc w:val="center"/>
              <w:spacing w:after="0"/>
              <w:rPr>
                <w:sz w:val="20"/>
                <w:szCs w:val="20"/>
                <w:color w:val="auto"/>
              </w:rPr>
            </w:pPr>
            <w:r>
              <w:rPr>
                <w:rFonts w:ascii="Arial" w:cs="Arial" w:eastAsia="Arial" w:hAnsi="Arial"/>
                <w:sz w:val="12"/>
                <w:szCs w:val="12"/>
                <w:color w:val="auto"/>
                <w:w w:val="89"/>
              </w:rPr>
              <w:t>High Tech Industries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6.00%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6,947,500</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6,888,768</w:t>
            </w:r>
          </w:p>
        </w:tc>
        <w:tc>
          <w:tcPr>
            <w:tcW w:w="740" w:type="dxa"/>
            <w:vAlign w:val="bottom"/>
          </w:tcPr>
          <w:p>
            <w:pPr>
              <w:jc w:val="right"/>
              <w:spacing w:after="0"/>
              <w:rPr>
                <w:sz w:val="20"/>
                <w:szCs w:val="20"/>
                <w:color w:val="auto"/>
              </w:rPr>
            </w:pPr>
            <w:r>
              <w:rPr>
                <w:rFonts w:ascii="Arial" w:cs="Arial" w:eastAsia="Arial" w:hAnsi="Arial"/>
                <w:sz w:val="12"/>
                <w:szCs w:val="12"/>
                <w:color w:val="auto"/>
              </w:rPr>
              <w:t>6,912,762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Help/Systems Holdings, Inc.</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06/28/2019</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High Tech Industries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5.50%</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4,950,000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4,909,380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4,894,312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10/20/2020</w:t>
            </w:r>
          </w:p>
        </w:tc>
        <w:tc>
          <w:tcPr>
            <w:tcW w:w="2040" w:type="dxa"/>
            <w:vAlign w:val="bottom"/>
          </w:tcPr>
          <w:p>
            <w:pPr>
              <w:jc w:val="center"/>
              <w:spacing w:after="0"/>
              <w:rPr>
                <w:sz w:val="20"/>
                <w:szCs w:val="20"/>
                <w:color w:val="auto"/>
              </w:rPr>
            </w:pPr>
            <w:r>
              <w:rPr>
                <w:rFonts w:ascii="Arial" w:cs="Arial" w:eastAsia="Arial" w:hAnsi="Arial"/>
                <w:sz w:val="12"/>
                <w:szCs w:val="12"/>
                <w:color w:val="auto"/>
                <w:w w:val="88"/>
              </w:rPr>
              <w:t>Consumer Goods: Non-Durable</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9.00%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L+800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1,200,000</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1,182,000</w:t>
            </w:r>
          </w:p>
        </w:tc>
        <w:tc>
          <w:tcPr>
            <w:tcW w:w="740" w:type="dxa"/>
            <w:vAlign w:val="bottom"/>
          </w:tcPr>
          <w:p>
            <w:pPr>
              <w:jc w:val="right"/>
              <w:spacing w:after="0"/>
              <w:rPr>
                <w:sz w:val="20"/>
                <w:szCs w:val="20"/>
                <w:color w:val="auto"/>
              </w:rPr>
            </w:pPr>
            <w:r>
              <w:rPr>
                <w:rFonts w:ascii="Arial" w:cs="Arial" w:eastAsia="Arial" w:hAnsi="Arial"/>
                <w:sz w:val="12"/>
                <w:szCs w:val="12"/>
                <w:color w:val="auto"/>
              </w:rPr>
              <w:t>1,182,000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Hostway Corporation</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12/13/2019</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High Tech Industries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4,906,250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4,864,869</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4,881,719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Hunter Defense Technologies,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08/05/2019</w:t>
            </w:r>
          </w:p>
        </w:tc>
        <w:tc>
          <w:tcPr>
            <w:tcW w:w="2040" w:type="dxa"/>
            <w:vAlign w:val="bottom"/>
          </w:tcPr>
          <w:p>
            <w:pPr>
              <w:jc w:val="center"/>
              <w:spacing w:after="0"/>
              <w:rPr>
                <w:sz w:val="20"/>
                <w:szCs w:val="20"/>
                <w:color w:val="auto"/>
              </w:rPr>
            </w:pPr>
            <w:r>
              <w:rPr>
                <w:rFonts w:ascii="Arial" w:cs="Arial" w:eastAsia="Arial" w:hAnsi="Arial"/>
                <w:sz w:val="12"/>
                <w:szCs w:val="12"/>
                <w:color w:val="auto"/>
                <w:w w:val="85"/>
              </w:rPr>
              <w:t>Aerospace and Defense</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6.50%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7,000,000</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6,931,037</w:t>
            </w:r>
          </w:p>
        </w:tc>
        <w:tc>
          <w:tcPr>
            <w:tcW w:w="740" w:type="dxa"/>
            <w:vAlign w:val="bottom"/>
          </w:tcPr>
          <w:p>
            <w:pPr>
              <w:jc w:val="right"/>
              <w:spacing w:after="0"/>
              <w:rPr>
                <w:sz w:val="20"/>
                <w:szCs w:val="20"/>
                <w:color w:val="auto"/>
              </w:rPr>
            </w:pPr>
            <w:r>
              <w:rPr>
                <w:rFonts w:ascii="Arial" w:cs="Arial" w:eastAsia="Arial" w:hAnsi="Arial"/>
                <w:sz w:val="12"/>
                <w:szCs w:val="12"/>
                <w:color w:val="auto"/>
              </w:rPr>
              <w:t>6,912,500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 (8)</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03/30/2017</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Automotive</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11.50%</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2,000,000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1,977,245</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2,167,500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05/01/2019</w:t>
            </w:r>
          </w:p>
        </w:tc>
        <w:tc>
          <w:tcPr>
            <w:tcW w:w="204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7.25%</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w w:val="99"/>
              </w:rPr>
              <w:t>12,409,413</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12,270,960</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11,788,942</w:t>
            </w: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InfuSystem Holdings, Inc.</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11/30/2016</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13.16%</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P+992</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1,500,000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1,500,000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1,535,715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line="129" w:lineRule="exact"/>
              <w:rPr>
                <w:sz w:val="20"/>
                <w:szCs w:val="20"/>
                <w:color w:val="auto"/>
              </w:rPr>
            </w:pPr>
            <w:r>
              <w:rPr>
                <w:rFonts w:ascii="Arial" w:cs="Arial" w:eastAsia="Arial" w:hAnsi="Arial"/>
                <w:sz w:val="12"/>
                <w:szCs w:val="12"/>
                <w:color w:val="auto"/>
              </w:rPr>
              <w:t>Instant Web, LLC, Term Loan A</w:t>
            </w:r>
          </w:p>
        </w:tc>
        <w:tc>
          <w:tcPr>
            <w:tcW w:w="980" w:type="dxa"/>
            <w:vAlign w:val="bottom"/>
          </w:tcPr>
          <w:p>
            <w:pPr>
              <w:jc w:val="center"/>
              <w:ind w:left="102"/>
              <w:spacing w:after="0" w:line="129" w:lineRule="exact"/>
              <w:rPr>
                <w:sz w:val="20"/>
                <w:szCs w:val="20"/>
                <w:color w:val="auto"/>
              </w:rPr>
            </w:pPr>
            <w:r>
              <w:rPr>
                <w:rFonts w:ascii="Arial" w:cs="Arial" w:eastAsia="Arial" w:hAnsi="Arial"/>
                <w:sz w:val="12"/>
                <w:szCs w:val="12"/>
                <w:color w:val="auto"/>
                <w:w w:val="89"/>
              </w:rPr>
              <w:t>03/28/2019</w:t>
            </w:r>
          </w:p>
        </w:tc>
        <w:tc>
          <w:tcPr>
            <w:tcW w:w="204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800" w:type="dxa"/>
            <w:vAlign w:val="bottom"/>
          </w:tcPr>
          <w:p>
            <w:pPr>
              <w:jc w:val="right"/>
              <w:ind w:right="42"/>
              <w:spacing w:after="0" w:line="129" w:lineRule="exact"/>
              <w:rPr>
                <w:sz w:val="20"/>
                <w:szCs w:val="20"/>
                <w:color w:val="auto"/>
              </w:rPr>
            </w:pPr>
            <w:r>
              <w:rPr>
                <w:rFonts w:ascii="Arial" w:cs="Arial" w:eastAsia="Arial" w:hAnsi="Arial"/>
                <w:sz w:val="12"/>
                <w:szCs w:val="12"/>
                <w:color w:val="auto"/>
              </w:rPr>
              <w:t>5.50%</w:t>
            </w:r>
          </w:p>
        </w:tc>
        <w:tc>
          <w:tcPr>
            <w:tcW w:w="80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5,453,617</w:t>
            </w:r>
          </w:p>
        </w:tc>
        <w:tc>
          <w:tcPr>
            <w:tcW w:w="76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5,377,967</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5,453,617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Instant Web, LLC, Term Loan B</w:t>
            </w:r>
          </w:p>
        </w:tc>
        <w:tc>
          <w:tcPr>
            <w:tcW w:w="980" w:type="dxa"/>
            <w:vAlign w:val="bottom"/>
            <w:shd w:val="clear" w:color="auto" w:fill="CCEEFF"/>
          </w:tcPr>
          <w:p>
            <w:pPr>
              <w:jc w:val="center"/>
              <w:ind w:left="102"/>
              <w:spacing w:after="0" w:line="129" w:lineRule="exact"/>
              <w:rPr>
                <w:sz w:val="20"/>
                <w:szCs w:val="20"/>
                <w:color w:val="auto"/>
              </w:rPr>
            </w:pPr>
            <w:r>
              <w:rPr>
                <w:rFonts w:ascii="Arial" w:cs="Arial" w:eastAsia="Arial" w:hAnsi="Arial"/>
                <w:sz w:val="12"/>
                <w:szCs w:val="12"/>
                <w:color w:val="auto"/>
                <w:w w:val="89"/>
              </w:rPr>
              <w:t>03/28/2019</w:t>
            </w:r>
          </w:p>
        </w:tc>
        <w:tc>
          <w:tcPr>
            <w:tcW w:w="20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80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12.00%</w:t>
            </w:r>
          </w:p>
        </w:tc>
        <w:tc>
          <w:tcPr>
            <w:tcW w:w="80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L+1,100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4,500,000</w:t>
            </w:r>
          </w:p>
        </w:tc>
        <w:tc>
          <w:tcPr>
            <w:tcW w:w="76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4,436,038</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4,500,000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Jackson Hewitt Tax Service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10/16/2017</w:t>
            </w:r>
          </w:p>
        </w:tc>
        <w:tc>
          <w:tcPr>
            <w:tcW w:w="2040" w:type="dxa"/>
            <w:vAlign w:val="bottom"/>
          </w:tcPr>
          <w:p>
            <w:pPr>
              <w:jc w:val="center"/>
              <w:spacing w:after="0"/>
              <w:rPr>
                <w:sz w:val="20"/>
                <w:szCs w:val="20"/>
                <w:color w:val="auto"/>
              </w:rPr>
            </w:pPr>
            <w:r>
              <w:rPr>
                <w:rFonts w:ascii="Arial" w:cs="Arial" w:eastAsia="Arial" w:hAnsi="Arial"/>
                <w:sz w:val="12"/>
                <w:szCs w:val="12"/>
                <w:color w:val="auto"/>
                <w:w w:val="85"/>
              </w:rPr>
              <w:t>Consumer Services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10.00%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L+850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5,140,179</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5,059,028</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5,114,478</w:t>
            </w: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08/19/2019</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Chemicals, Plastics and Rubber</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10.00%</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L+900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6,157,648</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6,048,214</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6,064,275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2"/>
                <w:szCs w:val="12"/>
                <w:color w:val="auto"/>
              </w:rPr>
              <w:t>Lanyon Solutions,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11/13/2020</w:t>
            </w:r>
          </w:p>
        </w:tc>
        <w:tc>
          <w:tcPr>
            <w:tcW w:w="2040" w:type="dxa"/>
            <w:vAlign w:val="bottom"/>
          </w:tcPr>
          <w:p>
            <w:pPr>
              <w:jc w:val="center"/>
              <w:spacing w:after="0"/>
              <w:rPr>
                <w:sz w:val="20"/>
                <w:szCs w:val="20"/>
                <w:color w:val="auto"/>
              </w:rPr>
            </w:pPr>
            <w:r>
              <w:rPr>
                <w:rFonts w:ascii="Arial" w:cs="Arial" w:eastAsia="Arial" w:hAnsi="Arial"/>
                <w:sz w:val="12"/>
                <w:szCs w:val="12"/>
                <w:color w:val="auto"/>
                <w:w w:val="89"/>
              </w:rPr>
              <w:t>High Tech Industries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5.50%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1,985,004</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1,977,359</w:t>
            </w:r>
          </w:p>
        </w:tc>
        <w:tc>
          <w:tcPr>
            <w:tcW w:w="740" w:type="dxa"/>
            <w:vAlign w:val="bottom"/>
          </w:tcPr>
          <w:p>
            <w:pPr>
              <w:jc w:val="right"/>
              <w:spacing w:after="0"/>
              <w:rPr>
                <w:sz w:val="20"/>
                <w:szCs w:val="20"/>
                <w:color w:val="auto"/>
              </w:rPr>
            </w:pPr>
            <w:r>
              <w:rPr>
                <w:rFonts w:ascii="Arial" w:cs="Arial" w:eastAsia="Arial" w:hAnsi="Arial"/>
                <w:sz w:val="12"/>
                <w:szCs w:val="12"/>
                <w:color w:val="auto"/>
              </w:rPr>
              <w:t>1,967,635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11/30/2018</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5,925,000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5,855,212</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5,821,312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2"/>
                <w:szCs w:val="12"/>
                <w:color w:val="auto"/>
              </w:rPr>
              <w:t>Meritas Schools Holdings, LLC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06/25/2019</w:t>
            </w:r>
          </w:p>
        </w:tc>
        <w:tc>
          <w:tcPr>
            <w:tcW w:w="2040" w:type="dxa"/>
            <w:vAlign w:val="bottom"/>
          </w:tcPr>
          <w:p>
            <w:pPr>
              <w:jc w:val="center"/>
              <w:spacing w:after="0"/>
              <w:rPr>
                <w:sz w:val="20"/>
                <w:szCs w:val="20"/>
                <w:color w:val="auto"/>
              </w:rPr>
            </w:pPr>
            <w:r>
              <w:rPr>
                <w:rFonts w:ascii="Arial" w:cs="Arial" w:eastAsia="Arial" w:hAnsi="Arial"/>
                <w:sz w:val="12"/>
                <w:szCs w:val="12"/>
                <w:color w:val="auto"/>
                <w:w w:val="85"/>
              </w:rPr>
              <w:t>Consumer Services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7.00%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2,505,285</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2,484,597</w:t>
            </w:r>
          </w:p>
        </w:tc>
        <w:tc>
          <w:tcPr>
            <w:tcW w:w="740" w:type="dxa"/>
            <w:vAlign w:val="bottom"/>
          </w:tcPr>
          <w:p>
            <w:pPr>
              <w:jc w:val="right"/>
              <w:spacing w:after="0"/>
              <w:rPr>
                <w:sz w:val="20"/>
                <w:szCs w:val="20"/>
                <w:color w:val="auto"/>
              </w:rPr>
            </w:pPr>
            <w:r>
              <w:rPr>
                <w:rFonts w:ascii="Arial" w:cs="Arial" w:eastAsia="Arial" w:hAnsi="Arial"/>
                <w:sz w:val="12"/>
                <w:szCs w:val="12"/>
                <w:color w:val="auto"/>
              </w:rPr>
              <w:t>2,506,864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National Surgical Hospitals, Inc.</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08/01/2019</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5.25%</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L+425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8,130,872</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8,111,416</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8,090,218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New Trident HoldCorp,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07/31/2019</w:t>
            </w:r>
          </w:p>
        </w:tc>
        <w:tc>
          <w:tcPr>
            <w:tcW w:w="20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6.50%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L+525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9,900,000</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9,817,130</w:t>
            </w:r>
          </w:p>
        </w:tc>
        <w:tc>
          <w:tcPr>
            <w:tcW w:w="740" w:type="dxa"/>
            <w:vAlign w:val="bottom"/>
          </w:tcPr>
          <w:p>
            <w:pPr>
              <w:jc w:val="right"/>
              <w:spacing w:after="0"/>
              <w:rPr>
                <w:sz w:val="20"/>
                <w:szCs w:val="20"/>
                <w:color w:val="auto"/>
              </w:rPr>
            </w:pPr>
            <w:r>
              <w:rPr>
                <w:rFonts w:ascii="Arial" w:cs="Arial" w:eastAsia="Arial" w:hAnsi="Arial"/>
                <w:sz w:val="12"/>
                <w:szCs w:val="12"/>
                <w:color w:val="auto"/>
              </w:rPr>
              <w:t>9,809,217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Patriot National, Inc.</w:t>
            </w:r>
          </w:p>
        </w:tc>
        <w:tc>
          <w:tcPr>
            <w:tcW w:w="980" w:type="dxa"/>
            <w:vAlign w:val="bottom"/>
            <w:shd w:val="clear" w:color="auto" w:fill="CCEEFF"/>
          </w:tcPr>
          <w:p>
            <w:pPr>
              <w:spacing w:after="0"/>
              <w:rPr>
                <w:sz w:val="11"/>
                <w:szCs w:val="11"/>
                <w:color w:val="auto"/>
              </w:rPr>
            </w:pPr>
          </w:p>
        </w:tc>
        <w:tc>
          <w:tcPr>
            <w:tcW w:w="20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80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12.50%</w:t>
            </w:r>
          </w:p>
        </w:tc>
        <w:tc>
          <w:tcPr>
            <w:tcW w:w="80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L+1,150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w w:val="99"/>
              </w:rPr>
              <w:t>13,293,846</w:t>
            </w:r>
          </w:p>
        </w:tc>
        <w:tc>
          <w:tcPr>
            <w:tcW w:w="76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12,716,069</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13,426,785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(f/k/a Old Guard Risk Services, Inc.)</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11/27/2018</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Estate</w:t>
            </w: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2"/>
                <w:szCs w:val="12"/>
                <w:color w:val="auto"/>
              </w:rPr>
              <w:t>Polyconcept Finance B.V.</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06/28/2019</w:t>
            </w:r>
          </w:p>
        </w:tc>
        <w:tc>
          <w:tcPr>
            <w:tcW w:w="2040" w:type="dxa"/>
            <w:vAlign w:val="bottom"/>
          </w:tcPr>
          <w:p>
            <w:pPr>
              <w:jc w:val="center"/>
              <w:spacing w:after="0"/>
              <w:rPr>
                <w:sz w:val="20"/>
                <w:szCs w:val="20"/>
                <w:color w:val="auto"/>
              </w:rPr>
            </w:pPr>
            <w:r>
              <w:rPr>
                <w:rFonts w:ascii="Arial" w:cs="Arial" w:eastAsia="Arial" w:hAnsi="Arial"/>
                <w:sz w:val="12"/>
                <w:szCs w:val="12"/>
                <w:color w:val="auto"/>
                <w:w w:val="88"/>
              </w:rPr>
              <w:t>Consumer Goods: Non-Durable</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6.00%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7,717,766</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7,653,621</w:t>
            </w:r>
          </w:p>
        </w:tc>
        <w:tc>
          <w:tcPr>
            <w:tcW w:w="740" w:type="dxa"/>
            <w:vAlign w:val="bottom"/>
          </w:tcPr>
          <w:p>
            <w:pPr>
              <w:jc w:val="right"/>
              <w:spacing w:after="0"/>
              <w:rPr>
                <w:sz w:val="20"/>
                <w:szCs w:val="20"/>
                <w:color w:val="auto"/>
              </w:rPr>
            </w:pPr>
            <w:r>
              <w:rPr>
                <w:rFonts w:ascii="Arial" w:cs="Arial" w:eastAsia="Arial" w:hAnsi="Arial"/>
                <w:sz w:val="12"/>
                <w:szCs w:val="12"/>
                <w:color w:val="auto"/>
              </w:rPr>
              <w:t>7,669,530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Premier Dental Services, Inc.</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11/01/2018</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Consumer Services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8,303,261</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8,187,838</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8,220,228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2"/>
                <w:szCs w:val="12"/>
                <w:color w:val="auto"/>
              </w:rPr>
              <w:t>Quality Home Brands Holdings LLC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12/17/2018</w:t>
            </w:r>
          </w:p>
        </w:tc>
        <w:tc>
          <w:tcPr>
            <w:tcW w:w="2040" w:type="dxa"/>
            <w:vAlign w:val="bottom"/>
          </w:tcPr>
          <w:p>
            <w:pPr>
              <w:jc w:val="center"/>
              <w:spacing w:after="0"/>
              <w:rPr>
                <w:sz w:val="20"/>
                <w:szCs w:val="20"/>
                <w:color w:val="auto"/>
              </w:rPr>
            </w:pPr>
            <w:r>
              <w:rPr>
                <w:rFonts w:ascii="Arial" w:cs="Arial" w:eastAsia="Arial" w:hAnsi="Arial"/>
                <w:sz w:val="12"/>
                <w:szCs w:val="12"/>
                <w:color w:val="auto"/>
                <w:w w:val="88"/>
              </w:rPr>
              <w:t>Consumer Goods: Durable</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7.75%</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L+650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4,962,500</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4,921,444</w:t>
            </w:r>
          </w:p>
        </w:tc>
        <w:tc>
          <w:tcPr>
            <w:tcW w:w="740" w:type="dxa"/>
            <w:vAlign w:val="bottom"/>
          </w:tcPr>
          <w:p>
            <w:pPr>
              <w:jc w:val="right"/>
              <w:spacing w:after="0"/>
              <w:rPr>
                <w:sz w:val="20"/>
                <w:szCs w:val="20"/>
                <w:color w:val="auto"/>
              </w:rPr>
            </w:pPr>
            <w:r>
              <w:rPr>
                <w:rFonts w:ascii="Arial" w:cs="Arial" w:eastAsia="Arial" w:hAnsi="Arial"/>
                <w:sz w:val="12"/>
                <w:szCs w:val="12"/>
                <w:color w:val="auto"/>
              </w:rPr>
              <w:t>4,970,787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RCS Capital Corporation</w:t>
            </w:r>
          </w:p>
        </w:tc>
        <w:tc>
          <w:tcPr>
            <w:tcW w:w="980" w:type="dxa"/>
            <w:vAlign w:val="bottom"/>
            <w:shd w:val="clear" w:color="auto" w:fill="CCEEFF"/>
          </w:tcPr>
          <w:p>
            <w:pPr>
              <w:jc w:val="center"/>
              <w:ind w:left="102"/>
              <w:spacing w:after="0" w:line="129" w:lineRule="exact"/>
              <w:rPr>
                <w:sz w:val="20"/>
                <w:szCs w:val="20"/>
                <w:color w:val="auto"/>
              </w:rPr>
            </w:pPr>
            <w:r>
              <w:rPr>
                <w:rFonts w:ascii="Arial" w:cs="Arial" w:eastAsia="Arial" w:hAnsi="Arial"/>
                <w:sz w:val="12"/>
                <w:szCs w:val="12"/>
                <w:color w:val="auto"/>
                <w:w w:val="89"/>
              </w:rPr>
              <w:t>04/29/2019</w:t>
            </w:r>
          </w:p>
        </w:tc>
        <w:tc>
          <w:tcPr>
            <w:tcW w:w="20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80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4,937,500</w:t>
            </w:r>
          </w:p>
        </w:tc>
        <w:tc>
          <w:tcPr>
            <w:tcW w:w="76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4,891,688</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4,956,016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Estate</w:t>
            </w: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line="129" w:lineRule="exact"/>
              <w:rPr>
                <w:sz w:val="20"/>
                <w:szCs w:val="20"/>
                <w:color w:val="auto"/>
              </w:rPr>
            </w:pPr>
            <w:r>
              <w:rPr>
                <w:rFonts w:ascii="Arial" w:cs="Arial" w:eastAsia="Arial" w:hAnsi="Arial"/>
                <w:sz w:val="12"/>
                <w:szCs w:val="12"/>
                <w:color w:val="auto"/>
              </w:rPr>
              <w:t>Robertshaw US Holding Corp.</w:t>
            </w:r>
          </w:p>
        </w:tc>
        <w:tc>
          <w:tcPr>
            <w:tcW w:w="980" w:type="dxa"/>
            <w:vAlign w:val="bottom"/>
          </w:tcPr>
          <w:p>
            <w:pPr>
              <w:jc w:val="center"/>
              <w:ind w:left="102"/>
              <w:spacing w:after="0" w:line="129" w:lineRule="exact"/>
              <w:rPr>
                <w:sz w:val="20"/>
                <w:szCs w:val="20"/>
                <w:color w:val="auto"/>
              </w:rPr>
            </w:pPr>
            <w:r>
              <w:rPr>
                <w:rFonts w:ascii="Arial" w:cs="Arial" w:eastAsia="Arial" w:hAnsi="Arial"/>
                <w:sz w:val="12"/>
                <w:szCs w:val="12"/>
                <w:color w:val="auto"/>
                <w:w w:val="89"/>
              </w:rPr>
              <w:t>06/18/2019</w:t>
            </w:r>
          </w:p>
        </w:tc>
        <w:tc>
          <w:tcPr>
            <w:tcW w:w="2040" w:type="dxa"/>
            <w:vAlign w:val="bottom"/>
          </w:tcPr>
          <w:p>
            <w:pPr>
              <w:jc w:val="center"/>
              <w:spacing w:after="0" w:line="129" w:lineRule="exact"/>
              <w:rPr>
                <w:sz w:val="20"/>
                <w:szCs w:val="20"/>
                <w:color w:val="auto"/>
              </w:rPr>
            </w:pPr>
            <w:r>
              <w:rPr>
                <w:rFonts w:ascii="Arial" w:cs="Arial" w:eastAsia="Arial" w:hAnsi="Arial"/>
                <w:sz w:val="12"/>
                <w:szCs w:val="12"/>
                <w:color w:val="auto"/>
                <w:w w:val="88"/>
              </w:rPr>
              <w:t>Consumer Goods: Durable</w:t>
            </w:r>
          </w:p>
        </w:tc>
        <w:tc>
          <w:tcPr>
            <w:tcW w:w="800" w:type="dxa"/>
            <w:vAlign w:val="bottom"/>
          </w:tcPr>
          <w:p>
            <w:pPr>
              <w:jc w:val="right"/>
              <w:ind w:right="42"/>
              <w:spacing w:after="0" w:line="129" w:lineRule="exact"/>
              <w:rPr>
                <w:sz w:val="20"/>
                <w:szCs w:val="20"/>
                <w:color w:val="auto"/>
              </w:rPr>
            </w:pPr>
            <w:r>
              <w:rPr>
                <w:rFonts w:ascii="Arial" w:cs="Arial" w:eastAsia="Arial" w:hAnsi="Arial"/>
                <w:sz w:val="12"/>
                <w:szCs w:val="12"/>
                <w:color w:val="auto"/>
              </w:rPr>
              <w:t>9.00%</w:t>
            </w:r>
          </w:p>
        </w:tc>
        <w:tc>
          <w:tcPr>
            <w:tcW w:w="80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3,294,118</w:t>
            </w:r>
          </w:p>
        </w:tc>
        <w:tc>
          <w:tcPr>
            <w:tcW w:w="760" w:type="dxa"/>
            <w:vAlign w:val="bottom"/>
          </w:tcPr>
          <w:p>
            <w:pPr>
              <w:jc w:val="right"/>
              <w:ind w:right="22"/>
              <w:spacing w:after="0" w:line="129" w:lineRule="exact"/>
              <w:rPr>
                <w:sz w:val="20"/>
                <w:szCs w:val="20"/>
                <w:color w:val="auto"/>
              </w:rPr>
            </w:pPr>
            <w:r>
              <w:rPr>
                <w:rFonts w:ascii="Arial" w:cs="Arial" w:eastAsia="Arial" w:hAnsi="Arial"/>
                <w:sz w:val="12"/>
                <w:szCs w:val="12"/>
                <w:color w:val="auto"/>
              </w:rPr>
              <w:t>3,262,700</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3,288,278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480" w:type="dxa"/>
            <w:vAlign w:val="bottom"/>
          </w:tcPr>
          <w:p>
            <w:pPr>
              <w:ind w:left="120"/>
              <w:spacing w:after="0"/>
              <w:rPr>
                <w:sz w:val="20"/>
                <w:szCs w:val="20"/>
                <w:color w:val="auto"/>
              </w:rPr>
            </w:pPr>
            <w:r>
              <w:rPr>
                <w:rFonts w:ascii="Arial" w:cs="Arial" w:eastAsia="Arial" w:hAnsi="Arial"/>
                <w:sz w:val="12"/>
                <w:szCs w:val="12"/>
                <w:color w:val="auto"/>
              </w:rPr>
              <w:t>(f/k/a Fox US Bidco Corp.)</w:t>
            </w:r>
          </w:p>
        </w:tc>
        <w:tc>
          <w:tcPr>
            <w:tcW w:w="9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Robertshaw US Holding Corp.</w:t>
            </w:r>
          </w:p>
        </w:tc>
        <w:tc>
          <w:tcPr>
            <w:tcW w:w="980" w:type="dxa"/>
            <w:vAlign w:val="bottom"/>
            <w:shd w:val="clear" w:color="auto" w:fill="CCEEFF"/>
          </w:tcPr>
          <w:p>
            <w:pPr>
              <w:jc w:val="center"/>
              <w:ind w:left="102"/>
              <w:spacing w:after="0" w:line="129" w:lineRule="exact"/>
              <w:rPr>
                <w:sz w:val="20"/>
                <w:szCs w:val="20"/>
                <w:color w:val="auto"/>
              </w:rPr>
            </w:pPr>
            <w:r>
              <w:rPr>
                <w:rFonts w:ascii="Arial" w:cs="Arial" w:eastAsia="Arial" w:hAnsi="Arial"/>
                <w:sz w:val="12"/>
                <w:szCs w:val="12"/>
                <w:color w:val="auto"/>
                <w:w w:val="89"/>
              </w:rPr>
              <w:t>06/18/2019</w:t>
            </w:r>
          </w:p>
        </w:tc>
        <w:tc>
          <w:tcPr>
            <w:tcW w:w="20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Consumer Goods: Durable</w:t>
            </w:r>
          </w:p>
        </w:tc>
        <w:tc>
          <w:tcPr>
            <w:tcW w:w="80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705,882</w:t>
            </w:r>
          </w:p>
        </w:tc>
        <w:tc>
          <w:tcPr>
            <w:tcW w:w="76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705,882</w:t>
            </w:r>
          </w:p>
        </w:tc>
        <w:tc>
          <w:tcPr>
            <w:tcW w:w="8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704,631</w:t>
            </w:r>
          </w:p>
        </w:tc>
        <w:tc>
          <w:tcPr>
            <w:tcW w:w="0" w:type="dxa"/>
            <w:vAlign w:val="bottom"/>
          </w:tcPr>
          <w:p>
            <w:pPr>
              <w:spacing w:after="0"/>
              <w:rPr>
                <w:sz w:val="1"/>
                <w:szCs w:val="1"/>
                <w:color w:val="auto"/>
              </w:rPr>
            </w:pPr>
          </w:p>
        </w:tc>
      </w:tr>
      <w:tr>
        <w:trPr>
          <w:trHeight w:val="141"/>
        </w:trPr>
        <w:tc>
          <w:tcPr>
            <w:tcW w:w="4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 xml:space="preserve">(f/k/a Fox US Bidco Corp.) </w:t>
            </w:r>
            <w:r>
              <w:rPr>
                <w:rFonts w:ascii="Arial" w:cs="Arial" w:eastAsia="Arial" w:hAnsi="Arial"/>
                <w:sz w:val="9"/>
                <w:szCs w:val="9"/>
                <w:color w:val="auto"/>
              </w:rPr>
              <w:t>(10)</w:t>
            </w:r>
          </w:p>
        </w:tc>
        <w:tc>
          <w:tcPr>
            <w:tcW w:w="9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SCE Partners, LLC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08/14/2019</w:t>
            </w:r>
          </w:p>
        </w:tc>
        <w:tc>
          <w:tcPr>
            <w:tcW w:w="2040" w:type="dxa"/>
            <w:vAlign w:val="bottom"/>
          </w:tcPr>
          <w:p>
            <w:pPr>
              <w:jc w:val="center"/>
              <w:spacing w:after="0"/>
              <w:rPr>
                <w:sz w:val="20"/>
                <w:szCs w:val="20"/>
                <w:color w:val="auto"/>
              </w:rPr>
            </w:pPr>
            <w:r>
              <w:rPr>
                <w:rFonts w:ascii="Arial" w:cs="Arial" w:eastAsia="Arial" w:hAnsi="Arial"/>
                <w:sz w:val="12"/>
                <w:szCs w:val="12"/>
                <w:color w:val="auto"/>
                <w:w w:val="88"/>
              </w:rPr>
              <w:t>Hotel, Gaming and Leisure</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8.25%</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L+725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w w:val="99"/>
              </w:rPr>
              <w:t>12,000,000</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11,898,121</w:t>
            </w:r>
          </w:p>
        </w:tc>
        <w:tc>
          <w:tcPr>
            <w:tcW w:w="740" w:type="dxa"/>
            <w:vAlign w:val="bottom"/>
          </w:tcPr>
          <w:p>
            <w:pPr>
              <w:jc w:val="right"/>
              <w:spacing w:after="0"/>
              <w:rPr>
                <w:sz w:val="20"/>
                <w:szCs w:val="20"/>
                <w:color w:val="auto"/>
              </w:rPr>
            </w:pPr>
            <w:r>
              <w:rPr>
                <w:rFonts w:ascii="Arial" w:cs="Arial" w:eastAsia="Arial" w:hAnsi="Arial"/>
                <w:sz w:val="12"/>
                <w:szCs w:val="12"/>
                <w:color w:val="auto"/>
              </w:rPr>
              <w:t>12,000,000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Securus Technologies Holdings, Inc.</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04/30/2020</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Telecommunications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4.75%</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L+350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1,980,002</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1,963,277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1,955,252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Sotera Defense Solutions,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04/21/2017</w:t>
            </w:r>
          </w:p>
        </w:tc>
        <w:tc>
          <w:tcPr>
            <w:tcW w:w="2040" w:type="dxa"/>
            <w:vAlign w:val="bottom"/>
          </w:tcPr>
          <w:p>
            <w:pPr>
              <w:jc w:val="center"/>
              <w:spacing w:after="0"/>
              <w:rPr>
                <w:sz w:val="20"/>
                <w:szCs w:val="20"/>
                <w:color w:val="auto"/>
              </w:rPr>
            </w:pPr>
            <w:r>
              <w:rPr>
                <w:rFonts w:ascii="Arial" w:cs="Arial" w:eastAsia="Arial" w:hAnsi="Arial"/>
                <w:sz w:val="12"/>
                <w:szCs w:val="12"/>
                <w:color w:val="auto"/>
                <w:w w:val="85"/>
              </w:rPr>
              <w:t>Aerospace and Defense</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9.00%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6,643,409</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6,382,042</w:t>
            </w:r>
          </w:p>
        </w:tc>
        <w:tc>
          <w:tcPr>
            <w:tcW w:w="740" w:type="dxa"/>
            <w:vAlign w:val="bottom"/>
          </w:tcPr>
          <w:p>
            <w:pPr>
              <w:jc w:val="right"/>
              <w:spacing w:after="0"/>
              <w:rPr>
                <w:sz w:val="20"/>
                <w:szCs w:val="20"/>
                <w:color w:val="auto"/>
              </w:rPr>
            </w:pPr>
            <w:r>
              <w:rPr>
                <w:rFonts w:ascii="Arial" w:cs="Arial" w:eastAsia="Arial" w:hAnsi="Arial"/>
                <w:sz w:val="12"/>
                <w:szCs w:val="12"/>
                <w:color w:val="auto"/>
              </w:rPr>
              <w:t>5,979,068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St. George’s University Scholastic Services LLC </w:t>
            </w:r>
            <w:r>
              <w:rPr>
                <w:rFonts w:ascii="Arial" w:cs="Arial" w:eastAsia="Arial" w:hAnsi="Arial"/>
                <w:sz w:val="9"/>
                <w:szCs w:val="9"/>
                <w:color w:val="auto"/>
              </w:rPr>
              <w:t>(6)</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08/09/2021</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Consumer Services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5.75%</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2,000,000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1,990,000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2,002,500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2"/>
                <w:szCs w:val="12"/>
                <w:color w:val="auto"/>
              </w:rPr>
              <w:t>Surgical Specialties Corporation (US),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08/22/2018</w:t>
            </w:r>
          </w:p>
        </w:tc>
        <w:tc>
          <w:tcPr>
            <w:tcW w:w="20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7.25%</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3,375,000</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3,347,830</w:t>
            </w:r>
          </w:p>
        </w:tc>
        <w:tc>
          <w:tcPr>
            <w:tcW w:w="740" w:type="dxa"/>
            <w:vAlign w:val="bottom"/>
          </w:tcPr>
          <w:p>
            <w:pPr>
              <w:jc w:val="right"/>
              <w:spacing w:after="0"/>
              <w:rPr>
                <w:sz w:val="20"/>
                <w:szCs w:val="20"/>
                <w:color w:val="auto"/>
              </w:rPr>
            </w:pPr>
            <w:r>
              <w:rPr>
                <w:rFonts w:ascii="Arial" w:cs="Arial" w:eastAsia="Arial" w:hAnsi="Arial"/>
                <w:sz w:val="12"/>
                <w:szCs w:val="12"/>
                <w:color w:val="auto"/>
              </w:rPr>
              <w:t>3,366,563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Sutherland Global Services, Inc.</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03/06/2019</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7.25%</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925,000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910,694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922,688</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2"/>
                <w:szCs w:val="12"/>
                <w:color w:val="auto"/>
              </w:rPr>
              <w:t>Systems Maintenance Services Holding,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10/18/2019</w:t>
            </w:r>
          </w:p>
        </w:tc>
        <w:tc>
          <w:tcPr>
            <w:tcW w:w="2040" w:type="dxa"/>
            <w:vAlign w:val="bottom"/>
          </w:tcPr>
          <w:p>
            <w:pPr>
              <w:jc w:val="center"/>
              <w:spacing w:after="0"/>
              <w:rPr>
                <w:sz w:val="20"/>
                <w:szCs w:val="20"/>
                <w:color w:val="auto"/>
              </w:rPr>
            </w:pPr>
            <w:r>
              <w:rPr>
                <w:rFonts w:ascii="Arial" w:cs="Arial" w:eastAsia="Arial" w:hAnsi="Arial"/>
                <w:sz w:val="12"/>
                <w:szCs w:val="12"/>
                <w:color w:val="auto"/>
                <w:w w:val="89"/>
              </w:rPr>
              <w:t>High Tech Industries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5.00%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L+400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5,955,000</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5,931,546</w:t>
            </w:r>
          </w:p>
        </w:tc>
        <w:tc>
          <w:tcPr>
            <w:tcW w:w="740" w:type="dxa"/>
            <w:vAlign w:val="bottom"/>
          </w:tcPr>
          <w:p>
            <w:pPr>
              <w:jc w:val="right"/>
              <w:spacing w:after="0"/>
              <w:rPr>
                <w:sz w:val="20"/>
                <w:szCs w:val="20"/>
                <w:color w:val="auto"/>
              </w:rPr>
            </w:pPr>
            <w:r>
              <w:rPr>
                <w:rFonts w:ascii="Arial" w:cs="Arial" w:eastAsia="Arial" w:hAnsi="Arial"/>
                <w:sz w:val="12"/>
                <w:szCs w:val="12"/>
                <w:color w:val="auto"/>
              </w:rPr>
              <w:t>5,910,338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Tensar Corporation</w:t>
            </w:r>
          </w:p>
        </w:tc>
        <w:tc>
          <w:tcPr>
            <w:tcW w:w="9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89"/>
              </w:rPr>
              <w:t>07/09/2021</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Construction and Building</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5.75%</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5,000,000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4,950,448</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4,968,750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2"/>
                <w:szCs w:val="12"/>
                <w:color w:val="auto"/>
              </w:rPr>
              <w:t>Therakos,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12/27/2017</w:t>
            </w:r>
          </w:p>
        </w:tc>
        <w:tc>
          <w:tcPr>
            <w:tcW w:w="20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7.50%</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L+625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4,843,177</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4,775,215</w:t>
            </w:r>
          </w:p>
        </w:tc>
        <w:tc>
          <w:tcPr>
            <w:tcW w:w="740" w:type="dxa"/>
            <w:vAlign w:val="bottom"/>
          </w:tcPr>
          <w:p>
            <w:pPr>
              <w:jc w:val="right"/>
              <w:spacing w:after="0"/>
              <w:rPr>
                <w:sz w:val="20"/>
                <w:szCs w:val="20"/>
                <w:color w:val="auto"/>
              </w:rPr>
            </w:pPr>
            <w:r>
              <w:rPr>
                <w:rFonts w:ascii="Arial" w:cs="Arial" w:eastAsia="Arial" w:hAnsi="Arial"/>
                <w:sz w:val="12"/>
                <w:szCs w:val="12"/>
                <w:color w:val="auto"/>
              </w:rPr>
              <w:t>4,861,339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980" w:type="dxa"/>
            <w:vAlign w:val="bottom"/>
            <w:shd w:val="clear" w:color="auto" w:fill="CCEEFF"/>
          </w:tcPr>
          <w:p>
            <w:pPr>
              <w:jc w:val="center"/>
              <w:ind w:left="102"/>
              <w:spacing w:after="0" w:line="129" w:lineRule="exact"/>
              <w:rPr>
                <w:sz w:val="20"/>
                <w:szCs w:val="20"/>
                <w:color w:val="auto"/>
              </w:rPr>
            </w:pPr>
            <w:r>
              <w:rPr>
                <w:rFonts w:ascii="Arial" w:cs="Arial" w:eastAsia="Arial" w:hAnsi="Arial"/>
                <w:sz w:val="12"/>
                <w:szCs w:val="12"/>
                <w:color w:val="auto"/>
                <w:w w:val="89"/>
              </w:rPr>
              <w:t>04/15/2016</w:t>
            </w:r>
          </w:p>
        </w:tc>
        <w:tc>
          <w:tcPr>
            <w:tcW w:w="20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Telecommunications</w:t>
            </w:r>
          </w:p>
        </w:tc>
        <w:tc>
          <w:tcPr>
            <w:tcW w:w="80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12.25%</w:t>
            </w:r>
          </w:p>
        </w:tc>
        <w:tc>
          <w:tcPr>
            <w:tcW w:w="80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L+1,125</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135,817</w:t>
            </w:r>
          </w:p>
        </w:tc>
        <w:tc>
          <w:tcPr>
            <w:tcW w:w="76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135,817</w:t>
            </w:r>
          </w:p>
        </w:tc>
        <w:tc>
          <w:tcPr>
            <w:tcW w:w="8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135,817</w:t>
            </w:r>
          </w:p>
        </w:tc>
        <w:tc>
          <w:tcPr>
            <w:tcW w:w="0" w:type="dxa"/>
            <w:vAlign w:val="bottom"/>
          </w:tcPr>
          <w:p>
            <w:pPr>
              <w:spacing w:after="0"/>
              <w:rPr>
                <w:sz w:val="1"/>
                <w:szCs w:val="1"/>
                <w:color w:val="auto"/>
              </w:rPr>
            </w:pPr>
          </w:p>
        </w:tc>
      </w:tr>
      <w:tr>
        <w:trPr>
          <w:trHeight w:val="155"/>
        </w:trPr>
        <w:tc>
          <w:tcPr>
            <w:tcW w:w="4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80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8"/>
              </w:rPr>
              <w:t>(PIK 7.25%)</w:t>
            </w:r>
          </w:p>
        </w:tc>
        <w:tc>
          <w:tcPr>
            <w:tcW w:w="8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spacing w:after="0"/>
              <w:rPr>
                <w:sz w:val="20"/>
                <w:szCs w:val="20"/>
                <w:color w:val="auto"/>
              </w:rPr>
            </w:pPr>
            <w:r>
              <w:rPr>
                <w:rFonts w:ascii="Arial" w:cs="Arial" w:eastAsia="Arial" w:hAnsi="Arial"/>
                <w:sz w:val="12"/>
                <w:szCs w:val="12"/>
                <w:color w:val="auto"/>
              </w:rPr>
              <w:t>UniTek Global Services, Inc.</w:t>
            </w:r>
          </w:p>
        </w:tc>
        <w:tc>
          <w:tcPr>
            <w:tcW w:w="980" w:type="dxa"/>
            <w:vAlign w:val="bottom"/>
          </w:tcPr>
          <w:p>
            <w:pPr>
              <w:jc w:val="center"/>
              <w:ind w:left="102"/>
              <w:spacing w:after="0"/>
              <w:rPr>
                <w:sz w:val="20"/>
                <w:szCs w:val="20"/>
                <w:color w:val="auto"/>
              </w:rPr>
            </w:pPr>
            <w:r>
              <w:rPr>
                <w:rFonts w:ascii="Arial" w:cs="Arial" w:eastAsia="Arial" w:hAnsi="Arial"/>
                <w:sz w:val="12"/>
                <w:szCs w:val="12"/>
                <w:color w:val="auto"/>
                <w:w w:val="89"/>
              </w:rPr>
              <w:t>04/16/2018</w:t>
            </w:r>
          </w:p>
        </w:tc>
        <w:tc>
          <w:tcPr>
            <w:tcW w:w="2040" w:type="dxa"/>
            <w:vAlign w:val="bottom"/>
          </w:tcPr>
          <w:p>
            <w:pPr>
              <w:jc w:val="center"/>
              <w:spacing w:after="0"/>
              <w:rPr>
                <w:sz w:val="20"/>
                <w:szCs w:val="20"/>
                <w:color w:val="auto"/>
              </w:rPr>
            </w:pPr>
            <w:r>
              <w:rPr>
                <w:rFonts w:ascii="Arial" w:cs="Arial" w:eastAsia="Arial" w:hAnsi="Arial"/>
                <w:sz w:val="12"/>
                <w:szCs w:val="12"/>
                <w:color w:val="auto"/>
                <w:w w:val="89"/>
              </w:rPr>
              <w:t>Telecommunications</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(7)</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2,184,319</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2,150,875</w:t>
            </w:r>
          </w:p>
        </w:tc>
        <w:tc>
          <w:tcPr>
            <w:tcW w:w="740" w:type="dxa"/>
            <w:vAlign w:val="bottom"/>
          </w:tcPr>
          <w:p>
            <w:pPr>
              <w:jc w:val="right"/>
              <w:spacing w:after="0"/>
              <w:rPr>
                <w:sz w:val="20"/>
                <w:szCs w:val="20"/>
                <w:color w:val="auto"/>
              </w:rPr>
            </w:pPr>
            <w:r>
              <w:rPr>
                <w:rFonts w:ascii="Arial" w:cs="Arial" w:eastAsia="Arial" w:hAnsi="Arial"/>
                <w:sz w:val="12"/>
                <w:szCs w:val="12"/>
                <w:color w:val="auto"/>
              </w:rPr>
              <w:t>1,332,435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6" w:lineRule="auto"/>
        <w:rPr>
          <w:sz w:val="20"/>
          <w:szCs w:val="20"/>
          <w:color w:val="auto"/>
        </w:rPr>
      </w:pPr>
      <w:r>
        <w:rPr>
          <w:rFonts w:ascii="Arial" w:cs="Arial" w:eastAsia="Arial" w:hAnsi="Arial"/>
          <w:sz w:val="14"/>
          <w:szCs w:val="14"/>
          <w:b w:val="1"/>
          <w:bCs w:val="1"/>
          <w:color w:val="auto"/>
        </w:rPr>
        <w:t>CONSOLIDATED SCHEDULE OF INVESTMENTS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Issuer Name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Maturity</w:t>
            </w:r>
          </w:p>
        </w:tc>
      </w:tr>
      <w:tr>
        <w:trPr>
          <w:trHeight w:val="122"/>
        </w:trPr>
        <w:tc>
          <w:tcPr>
            <w:tcW w:w="20" w:type="dxa"/>
            <w:vAlign w:val="bottom"/>
          </w:tcPr>
          <w:p>
            <w:pPr>
              <w:spacing w:after="0"/>
              <w:rPr>
                <w:sz w:val="10"/>
                <w:szCs w:val="10"/>
                <w:color w:val="auto"/>
              </w:rPr>
            </w:pPr>
          </w:p>
        </w:tc>
        <w:tc>
          <w:tcPr>
            <w:tcW w:w="426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color w:val="auto"/>
              </w:rPr>
              <w:t xml:space="preserve">Virtual Radiologic Corporation </w:t>
            </w:r>
            <w:r>
              <w:rPr>
                <w:rFonts w:ascii="Arial" w:cs="Arial" w:eastAsia="Arial" w:hAnsi="Arial"/>
                <w:sz w:val="9"/>
                <w:szCs w:val="9"/>
                <w:color w:val="auto"/>
              </w:rPr>
              <w:t>(8)</w:t>
            </w:r>
          </w:p>
        </w:tc>
        <w:tc>
          <w:tcPr>
            <w:tcW w:w="100" w:type="dxa"/>
            <w:vAlign w:val="bottom"/>
          </w:tcPr>
          <w:p>
            <w:pPr>
              <w:spacing w:after="0"/>
              <w:rPr>
                <w:sz w:val="10"/>
                <w:szCs w:val="10"/>
                <w:color w:val="auto"/>
              </w:rPr>
            </w:pPr>
          </w:p>
        </w:tc>
        <w:tc>
          <w:tcPr>
            <w:tcW w:w="70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2"/>
                <w:szCs w:val="12"/>
                <w:color w:val="auto"/>
              </w:rPr>
              <w:t>12/22/2016</w:t>
            </w:r>
          </w:p>
        </w:tc>
        <w:tc>
          <w:tcPr>
            <w:tcW w:w="20" w:type="dxa"/>
            <w:vAlign w:val="bottom"/>
          </w:tcPr>
          <w:p>
            <w:pPr>
              <w:spacing w:after="0"/>
              <w:rPr>
                <w:sz w:val="10"/>
                <w:szCs w:val="10"/>
                <w:color w:val="auto"/>
              </w:rPr>
            </w:pPr>
          </w:p>
        </w:tc>
      </w:tr>
      <w:tr>
        <w:trPr>
          <w:trHeight w:val="148"/>
        </w:trPr>
        <w:tc>
          <w:tcPr>
            <w:tcW w:w="4380" w:type="dxa"/>
            <w:vAlign w:val="bottom"/>
            <w:gridSpan w:val="3"/>
          </w:tcPr>
          <w:p>
            <w:pPr>
              <w:spacing w:after="0"/>
              <w:rPr>
                <w:sz w:val="20"/>
                <w:szCs w:val="20"/>
                <w:color w:val="auto"/>
              </w:rPr>
            </w:pPr>
            <w:r>
              <w:rPr>
                <w:rFonts w:ascii="Arial" w:cs="Arial" w:eastAsia="Arial" w:hAnsi="Arial"/>
                <w:sz w:val="12"/>
                <w:szCs w:val="12"/>
                <w:color w:val="auto"/>
              </w:rPr>
              <w:t>Wilton Brands, LLC</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08/30/2018</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YP LLC</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06/04/2018</w:t>
            </w:r>
          </w:p>
        </w:tc>
      </w:tr>
      <w:tr>
        <w:trPr>
          <w:trHeight w:val="270"/>
        </w:trPr>
        <w:tc>
          <w:tcPr>
            <w:tcW w:w="4380" w:type="dxa"/>
            <w:vAlign w:val="bottom"/>
            <w:gridSpan w:val="3"/>
          </w:tcPr>
          <w:p>
            <w:pPr>
              <w:spacing w:after="0"/>
              <w:rPr>
                <w:sz w:val="20"/>
                <w:szCs w:val="20"/>
                <w:color w:val="auto"/>
              </w:rPr>
            </w:pPr>
            <w:r>
              <w:rPr>
                <w:rFonts w:ascii="Arial" w:cs="Arial" w:eastAsia="Arial" w:hAnsi="Arial"/>
                <w:sz w:val="12"/>
                <w:szCs w:val="12"/>
                <w:color w:val="auto"/>
              </w:rPr>
              <w:t>Zest Holdings, LLC</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08/17/2020</w:t>
            </w:r>
          </w:p>
        </w:tc>
      </w:tr>
      <w:tr>
        <w:trPr>
          <w:trHeight w:val="176"/>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Total First Lien Secured Debt</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Second Lien Secured Debt—17.0%</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09/01/2017</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Cannery Casino Resorts, LLC </w:t>
            </w:r>
            <w:r>
              <w:rPr>
                <w:rFonts w:ascii="Arial" w:cs="Arial" w:eastAsia="Arial" w:hAnsi="Arial"/>
                <w:sz w:val="9"/>
                <w:szCs w:val="9"/>
                <w:color w:val="auto"/>
              </w:rPr>
              <w:t>(8)</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10/02/2019</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Carolina Beverage Group, LLC </w:t>
            </w:r>
            <w:r>
              <w:rPr>
                <w:rFonts w:ascii="Arial" w:cs="Arial" w:eastAsia="Arial" w:hAnsi="Arial"/>
                <w:sz w:val="9"/>
                <w:szCs w:val="9"/>
                <w:color w:val="auto"/>
              </w:rPr>
              <w:t>(5), (8)</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08/01/2018</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J.A. Cosmetics Holdings, Inc. </w:t>
            </w:r>
            <w:r>
              <w:rPr>
                <w:rFonts w:ascii="Arial" w:cs="Arial" w:eastAsia="Arial" w:hAnsi="Arial"/>
                <w:sz w:val="9"/>
                <w:szCs w:val="9"/>
                <w:color w:val="auto"/>
              </w:rPr>
              <w:t>(8)</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07/31/2019</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Language Line, LLC</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12/20/2016</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Novitex Acquisition, LLC</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07/07/2021</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10/02/2020</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08/01/2017</w:t>
            </w:r>
          </w:p>
        </w:tc>
      </w:tr>
      <w:tr>
        <w:trPr>
          <w:trHeight w:val="176"/>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Total Second Lien Secured Debt</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Subordinated Debt/Corporate Notes—3.3% </w:t>
            </w:r>
            <w:r>
              <w:rPr>
                <w:rFonts w:ascii="Arial" w:cs="Arial" w:eastAsia="Arial" w:hAnsi="Arial"/>
                <w:sz w:val="9"/>
                <w:szCs w:val="9"/>
                <w:b w:val="1"/>
                <w:bCs w:val="1"/>
                <w:color w:val="auto"/>
              </w:rPr>
              <w:t>(8)</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Affinion Group Holdings, Inc. </w:t>
            </w:r>
            <w:r>
              <w:rPr>
                <w:rFonts w:ascii="Arial" w:cs="Arial" w:eastAsia="Arial" w:hAnsi="Arial"/>
                <w:sz w:val="9"/>
                <w:szCs w:val="9"/>
                <w:color w:val="auto"/>
              </w:rPr>
              <w:t>(5)</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09/14/2018</w:t>
            </w:r>
          </w:p>
        </w:tc>
      </w:tr>
      <w:tr>
        <w:trPr>
          <w:trHeight w:val="284"/>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Affinion Investments LLC </w:t>
            </w:r>
            <w:r>
              <w:rPr>
                <w:rFonts w:ascii="Arial" w:cs="Arial" w:eastAsia="Arial" w:hAnsi="Arial"/>
                <w:sz w:val="9"/>
                <w:szCs w:val="9"/>
                <w:color w:val="auto"/>
              </w:rPr>
              <w:t>(5)</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08/15/2018</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Credit Infonet, Inc.</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10/26/2018</w:t>
            </w:r>
          </w:p>
        </w:tc>
      </w:tr>
      <w:tr>
        <w:trPr>
          <w:trHeight w:val="311"/>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Preferred Equity—0.2% </w:t>
            </w:r>
            <w:r>
              <w:rPr>
                <w:rFonts w:ascii="Arial" w:cs="Arial" w:eastAsia="Arial" w:hAnsi="Arial"/>
                <w:sz w:val="9"/>
                <w:szCs w:val="9"/>
                <w:b w:val="1"/>
                <w:bCs w:val="1"/>
                <w:color w:val="auto"/>
              </w:rPr>
              <w:t>(7), (8)</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5"/>
        </w:trPr>
        <w:tc>
          <w:tcPr>
            <w:tcW w:w="4380" w:type="dxa"/>
            <w:vAlign w:val="bottom"/>
            <w:gridSpan w:val="3"/>
          </w:tcPr>
          <w:p>
            <w:pPr>
              <w:spacing w:after="0" w:line="136" w:lineRule="exact"/>
              <w:rPr>
                <w:sz w:val="20"/>
                <w:szCs w:val="20"/>
                <w:color w:val="auto"/>
              </w:rPr>
            </w:pPr>
            <w:r>
              <w:rPr>
                <w:rFonts w:ascii="Arial" w:cs="Arial" w:eastAsia="Arial" w:hAnsi="Arial"/>
                <w:sz w:val="12"/>
                <w:szCs w:val="12"/>
                <w:color w:val="auto"/>
              </w:rPr>
              <w:t>J.A. Cosmetics US, Inc.</w:t>
            </w:r>
          </w:p>
        </w:tc>
        <w:tc>
          <w:tcPr>
            <w:tcW w:w="72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r>
      <w:tr>
        <w:trPr>
          <w:trHeight w:val="148"/>
        </w:trPr>
        <w:tc>
          <w:tcPr>
            <w:tcW w:w="20" w:type="dxa"/>
            <w:vAlign w:val="bottom"/>
          </w:tcPr>
          <w:p>
            <w:pPr>
              <w:spacing w:after="0"/>
              <w:rPr>
                <w:sz w:val="12"/>
                <w:szCs w:val="12"/>
                <w:color w:val="auto"/>
              </w:rPr>
            </w:pPr>
          </w:p>
        </w:tc>
        <w:tc>
          <w:tcPr>
            <w:tcW w:w="4360" w:type="dxa"/>
            <w:vAlign w:val="bottom"/>
            <w:gridSpan w:val="2"/>
          </w:tcPr>
          <w:p>
            <w:pPr>
              <w:ind w:left="100"/>
              <w:spacing w:after="0"/>
              <w:rPr>
                <w:sz w:val="20"/>
                <w:szCs w:val="20"/>
                <w:color w:val="auto"/>
              </w:rPr>
            </w:pPr>
            <w:r>
              <w:rPr>
                <w:rFonts w:ascii="Arial" w:cs="Arial" w:eastAsia="Arial" w:hAnsi="Arial"/>
                <w:sz w:val="12"/>
                <w:szCs w:val="12"/>
                <w:color w:val="auto"/>
              </w:rPr>
              <w:t>(J.A. Cosmetics Holdings, Inc.)</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Equity/Warrants—0.9% </w:t>
            </w:r>
            <w:r>
              <w:rPr>
                <w:rFonts w:ascii="Arial" w:cs="Arial" w:eastAsia="Arial" w:hAnsi="Arial"/>
                <w:sz w:val="9"/>
                <w:szCs w:val="9"/>
                <w:b w:val="1"/>
                <w:bCs w:val="1"/>
                <w:color w:val="auto"/>
              </w:rPr>
              <w:t>(7), (8)</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Affinion Group Holdings, Inc., Series A (Warrants)</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12/12/2023</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Affinion Group Holdings, Inc., Series B (Warrants)</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12/12/2023</w:t>
            </w:r>
          </w:p>
        </w:tc>
      </w:tr>
      <w:tr>
        <w:trPr>
          <w:trHeight w:val="135"/>
        </w:trPr>
        <w:tc>
          <w:tcPr>
            <w:tcW w:w="4380" w:type="dxa"/>
            <w:vAlign w:val="bottom"/>
            <w:gridSpan w:val="3"/>
          </w:tcPr>
          <w:p>
            <w:pPr>
              <w:spacing w:after="0" w:line="136" w:lineRule="exact"/>
              <w:rPr>
                <w:sz w:val="20"/>
                <w:szCs w:val="20"/>
                <w:color w:val="auto"/>
              </w:rPr>
            </w:pPr>
            <w:r>
              <w:rPr>
                <w:rFonts w:ascii="Arial" w:cs="Arial" w:eastAsia="Arial" w:hAnsi="Arial"/>
                <w:sz w:val="12"/>
                <w:szCs w:val="12"/>
                <w:color w:val="auto"/>
              </w:rPr>
              <w:t>J.A. Cosmetics US, Inc.</w:t>
            </w:r>
          </w:p>
        </w:tc>
        <w:tc>
          <w:tcPr>
            <w:tcW w:w="72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43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(J.A. Cosmetics Holdings, Inc.)</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380" w:type="dxa"/>
            <w:vAlign w:val="bottom"/>
            <w:gridSpan w:val="3"/>
          </w:tcPr>
          <w:p>
            <w:pPr>
              <w:spacing w:after="0" w:line="135" w:lineRule="exact"/>
              <w:rPr>
                <w:sz w:val="20"/>
                <w:szCs w:val="20"/>
                <w:color w:val="auto"/>
              </w:rPr>
            </w:pPr>
            <w:r>
              <w:rPr>
                <w:rFonts w:ascii="Arial" w:cs="Arial" w:eastAsia="Arial" w:hAnsi="Arial"/>
                <w:sz w:val="12"/>
                <w:szCs w:val="12"/>
                <w:color w:val="auto"/>
              </w:rPr>
              <w:t>Patriot National, Inc.</w:t>
            </w: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11/27/2023</w:t>
            </w:r>
          </w:p>
        </w:tc>
      </w:tr>
      <w:tr>
        <w:trPr>
          <w:trHeight w:val="135"/>
        </w:trPr>
        <w:tc>
          <w:tcPr>
            <w:tcW w:w="20" w:type="dxa"/>
            <w:vAlign w:val="bottom"/>
          </w:tcPr>
          <w:p>
            <w:pPr>
              <w:spacing w:after="0"/>
              <w:rPr>
                <w:sz w:val="11"/>
                <w:szCs w:val="11"/>
                <w:color w:val="auto"/>
              </w:rPr>
            </w:pPr>
          </w:p>
        </w:tc>
        <w:tc>
          <w:tcPr>
            <w:tcW w:w="43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(f/k/a Old Guard Risk Services, Inc.) (Warrants)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4380" w:type="dxa"/>
            <w:vAlign w:val="bottom"/>
            <w:gridSpan w:val="3"/>
          </w:tcPr>
          <w:p>
            <w:pPr>
              <w:spacing w:after="0"/>
              <w:rPr>
                <w:sz w:val="20"/>
                <w:szCs w:val="20"/>
                <w:color w:val="auto"/>
              </w:rPr>
            </w:pPr>
            <w:r>
              <w:rPr>
                <w:rFonts w:ascii="Arial" w:cs="Arial" w:eastAsia="Arial" w:hAnsi="Arial"/>
                <w:sz w:val="12"/>
                <w:szCs w:val="12"/>
                <w:color w:val="auto"/>
              </w:rPr>
              <w:t>UniTek Global Services, Inc. (Warrants)</w:t>
            </w: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N/A</w:t>
            </w:r>
          </w:p>
        </w:tc>
      </w:tr>
      <w:tr>
        <w:trPr>
          <w:trHeight w:val="135"/>
        </w:trPr>
        <w:tc>
          <w:tcPr>
            <w:tcW w:w="4380" w:type="dxa"/>
            <w:vAlign w:val="bottom"/>
            <w:gridSpan w:val="3"/>
          </w:tcPr>
          <w:p>
            <w:pPr>
              <w:spacing w:after="0" w:line="136" w:lineRule="exact"/>
              <w:rPr>
                <w:sz w:val="20"/>
                <w:szCs w:val="20"/>
                <w:color w:val="auto"/>
              </w:rPr>
            </w:pPr>
            <w:r>
              <w:rPr>
                <w:rFonts w:ascii="Arial" w:cs="Arial" w:eastAsia="Arial" w:hAnsi="Arial"/>
                <w:sz w:val="12"/>
                <w:szCs w:val="12"/>
                <w:color w:val="auto"/>
              </w:rPr>
              <w:t>Vestcom Parent Holdings, Inc.</w:t>
            </w:r>
          </w:p>
        </w:tc>
        <w:tc>
          <w:tcPr>
            <w:tcW w:w="72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43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(Vestcom International, Inc.)</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5"/>
        </w:trPr>
        <w:tc>
          <w:tcPr>
            <w:tcW w:w="4380" w:type="dxa"/>
            <w:vAlign w:val="bottom"/>
            <w:gridSpan w:val="3"/>
          </w:tcPr>
          <w:p>
            <w:pPr>
              <w:spacing w:after="0"/>
              <w:rPr>
                <w:sz w:val="20"/>
                <w:szCs w:val="20"/>
                <w:color w:val="auto"/>
              </w:rPr>
            </w:pPr>
            <w:r>
              <w:rPr>
                <w:rFonts w:ascii="Arial" w:cs="Arial" w:eastAsia="Arial" w:hAnsi="Arial"/>
                <w:sz w:val="12"/>
                <w:szCs w:val="12"/>
                <w:color w:val="auto"/>
              </w:rPr>
              <w:t>Z Wireless Holdings, Inc. (AKA Diversified</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10/21/2021</w:t>
            </w:r>
          </w:p>
        </w:tc>
      </w:tr>
    </w:tbl>
    <w:p>
      <w:pPr>
        <w:ind w:left="120"/>
        <w:spacing w:after="0"/>
        <w:rPr>
          <w:sz w:val="20"/>
          <w:szCs w:val="20"/>
          <w:color w:val="auto"/>
        </w:rPr>
      </w:pPr>
      <w:r>
        <w:rPr>
          <w:rFonts w:ascii="Arial" w:cs="Arial" w:eastAsia="Arial" w:hAnsi="Arial"/>
          <w:sz w:val="12"/>
          <w:szCs w:val="12"/>
          <w:color w:val="auto"/>
        </w:rPr>
        <w:t>Holdings, Inc.) (Warrants)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Common Equity/Warrants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Equivalents—6.1%</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BlackRock Liquidity Funds, Temp Cash and Temp Fund, Institutional Shares</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Investments and Cash Equivalents—168.5%</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Liabilities in Excess of Other Assets—(68.5)%</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Assets—100.0%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0326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2"/>
              </w:rPr>
              <w:t>Basis Point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3"/>
              </w:rPr>
              <w:t>Spread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100" w:type="dxa"/>
            <w:vAlign w:val="bottom"/>
            <w:vMerge w:val="restart"/>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1"/>
              </w:rPr>
              <w:t>Above</w:t>
            </w: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rPr>
              <w:t>Par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Coupon</w:t>
            </w:r>
          </w:p>
        </w:tc>
        <w:tc>
          <w:tcPr>
            <w:tcW w:w="26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6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2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00" w:type="dxa"/>
            <w:vAlign w:val="bottom"/>
          </w:tcPr>
          <w:p>
            <w:pPr>
              <w:jc w:val="center"/>
              <w:spacing w:after="0" w:line="122" w:lineRule="exact"/>
              <w:rPr>
                <w:sz w:val="20"/>
                <w:szCs w:val="20"/>
                <w:color w:val="auto"/>
              </w:rPr>
            </w:pPr>
            <w:r>
              <w:rPr>
                <w:rFonts w:ascii="Arial" w:cs="Arial" w:eastAsia="Arial" w:hAnsi="Arial"/>
                <w:sz w:val="12"/>
                <w:szCs w:val="12"/>
                <w:color w:val="auto"/>
                <w:w w:val="85"/>
              </w:rPr>
              <w:t>Business Services</w:t>
            </w:r>
          </w:p>
        </w:tc>
        <w:tc>
          <w:tcPr>
            <w:tcW w:w="10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2"/>
                <w:szCs w:val="12"/>
                <w:color w:val="auto"/>
              </w:rPr>
              <w:t>7.26%</w:t>
            </w:r>
          </w:p>
        </w:tc>
        <w:tc>
          <w:tcPr>
            <w:tcW w:w="580" w:type="dxa"/>
            <w:vAlign w:val="bottom"/>
          </w:tcPr>
          <w:p>
            <w:pPr>
              <w:jc w:val="right"/>
              <w:spacing w:after="0" w:line="122" w:lineRule="exact"/>
              <w:rPr>
                <w:sz w:val="20"/>
                <w:szCs w:val="20"/>
                <w:color w:val="auto"/>
              </w:rPr>
            </w:pPr>
            <w:r>
              <w:rPr>
                <w:rFonts w:ascii="Arial" w:cs="Arial" w:eastAsia="Arial" w:hAnsi="Arial"/>
                <w:sz w:val="12"/>
                <w:szCs w:val="12"/>
                <w:color w:val="auto"/>
              </w:rPr>
              <w:t>L+550</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2"/>
                <w:szCs w:val="12"/>
                <w:color w:val="auto"/>
              </w:rPr>
              <w:t>2,925,663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line="122" w:lineRule="exact"/>
              <w:rPr>
                <w:sz w:val="20"/>
                <w:szCs w:val="20"/>
                <w:color w:val="auto"/>
              </w:rPr>
            </w:pPr>
            <w:r>
              <w:rPr>
                <w:rFonts w:ascii="Arial" w:cs="Arial" w:eastAsia="Arial" w:hAnsi="Arial"/>
                <w:sz w:val="12"/>
                <w:szCs w:val="12"/>
                <w:color w:val="auto"/>
              </w:rPr>
              <w:t>2,915,553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line="122" w:lineRule="exact"/>
              <w:rPr>
                <w:sz w:val="20"/>
                <w:szCs w:val="20"/>
                <w:color w:val="auto"/>
              </w:rPr>
            </w:pPr>
            <w:r>
              <w:rPr>
                <w:rFonts w:ascii="Arial" w:cs="Arial" w:eastAsia="Arial" w:hAnsi="Arial"/>
                <w:sz w:val="12"/>
                <w:szCs w:val="12"/>
                <w:color w:val="auto"/>
              </w:rPr>
              <w:t>2,157,677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7.50%</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L+625</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3,017,653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2,977,186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2,844,138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0"/>
              </w:rPr>
              <w:t>Media: Advertising, Printing and</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8.00%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L+675</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3,224,845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3,160,701</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3,230,907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Publishing</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5.25%</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L+425</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8,910,169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8,910,169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8,910,169</w:t>
            </w:r>
          </w:p>
        </w:tc>
        <w:tc>
          <w:tcPr>
            <w:tcW w:w="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86"/>
              </w:rPr>
              <w:t>302,889,195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302,565,355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Metals and Mining</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11.50%</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1,000,000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1,000,000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1,080,000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Hotel, Gaming and Leisure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10.00%</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L+875</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1,700,000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1,675,421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1,687,250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10.63%</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3,500,000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3,500,000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3,613,750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11.00%</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L+1,000</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4,000,000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3,926,394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4,059,524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5"/>
              </w:rPr>
              <w:t>Consumer Services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10.50%</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L+875</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7,100,000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7,026,077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7,023,107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gridSpan w:val="2"/>
          </w:tcPr>
          <w:p>
            <w:pPr>
              <w:jc w:val="center"/>
              <w:ind w:right="100"/>
              <w:spacing w:after="0" w:line="136"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11.75%</w:t>
            </w:r>
          </w:p>
        </w:tc>
        <w:tc>
          <w:tcPr>
            <w:tcW w:w="74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L+1,050</w:t>
            </w: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w w:val="89"/>
              </w:rPr>
              <w:t>11,000,000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w w:val="96"/>
              </w:rPr>
              <w:t>10,893,446</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10,780,000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Media: Diversified and Production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9.00%</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L+775</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5,600,000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5,527,495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5,593,000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6"/>
              </w:rPr>
              <w:t>Energy: Oil and Gas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10.00%</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2,812,500</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2,645,114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2,638,153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6"/>
              </w:rPr>
              <w:t>36,193,947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36,474,784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14.50%</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4,161,233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3,639,478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3,537,048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w w:val="96"/>
              </w:rPr>
              <w:t>(PIK 14.50 %)</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13.50%</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1,734,000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1,734,000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1,612,620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High Tech Industries</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12.50%</w:t>
            </w:r>
          </w:p>
        </w:tc>
        <w:tc>
          <w:tcPr>
            <w:tcW w:w="7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1,993,762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1,961,974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1,924,017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color w:val="auto"/>
              </w:rPr>
              <w:t>(PIK 1.25 %)</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7,335,452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7,073,685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8.00%</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2"/>
                <w:szCs w:val="12"/>
                <w:color w:val="auto"/>
              </w:rPr>
              <w:t>399,704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421,215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554,715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1,186,649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1,040,091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1,135,743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4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22,715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296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58,055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7"/>
              </w:rPr>
              <w:t>Banking, Finance, Insurance and Real</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7,403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2"/>
                <w:szCs w:val="12"/>
                <w:color w:val="auto"/>
              </w:rPr>
              <w:t>151,853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399,833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Estate</w:t>
            </w: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ind w:left="4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gridSpan w:val="2"/>
          </w:tcPr>
          <w:p>
            <w:pPr>
              <w:jc w:val="center"/>
              <w:ind w:right="80"/>
              <w:spacing w:after="0" w:line="136" w:lineRule="exact"/>
              <w:rPr>
                <w:sz w:val="20"/>
                <w:szCs w:val="20"/>
                <w:color w:val="auto"/>
              </w:rPr>
            </w:pPr>
            <w:r>
              <w:rPr>
                <w:rFonts w:ascii="Arial" w:cs="Arial" w:eastAsia="Arial" w:hAnsi="Arial"/>
                <w:sz w:val="12"/>
                <w:szCs w:val="12"/>
                <w:color w:val="auto"/>
                <w:w w:val="89"/>
              </w:rPr>
              <w:t>Telecommunications</w:t>
            </w:r>
          </w:p>
        </w:tc>
        <w:tc>
          <w:tcPr>
            <w:tcW w:w="8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56,717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right"/>
              <w:ind w:right="220"/>
              <w:spacing w:after="0" w:line="136" w:lineRule="exact"/>
              <w:rPr>
                <w:sz w:val="20"/>
                <w:szCs w:val="20"/>
                <w:color w:val="auto"/>
              </w:rPr>
            </w:pPr>
            <w:r>
              <w:rPr>
                <w:rFonts w:ascii="Arial" w:cs="Arial" w:eastAsia="Arial" w:hAnsi="Arial"/>
                <w:sz w:val="12"/>
                <w:szCs w:val="12"/>
                <w:color w:val="auto"/>
              </w:rPr>
              <w:t>95,285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6,239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0"/>
              </w:rPr>
              <w:t>Media: Advertising, Printing and</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0"/>
              </w:rPr>
              <w:t>Publishing</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15,179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56,895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244,631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Retail</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2"/>
                <w:szCs w:val="12"/>
                <w:color w:val="auto"/>
              </w:rPr>
              <w:t>45,019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121,889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1,535,997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1,893,453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348,354,295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w w:val="92"/>
              </w:rPr>
              <w:t>348,428,492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6"/>
              </w:rPr>
              <w:t>13,113,817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13,113,817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361,468,112</w:t>
            </w:r>
          </w:p>
        </w:tc>
        <w:tc>
          <w:tcPr>
            <w:tcW w:w="200" w:type="dxa"/>
            <w:vAlign w:val="bottom"/>
          </w:tcPr>
          <w:p>
            <w:pPr>
              <w:spacing w:after="0"/>
              <w:rPr>
                <w:sz w:val="13"/>
                <w:szCs w:val="13"/>
                <w:color w:val="auto"/>
              </w:rPr>
            </w:pPr>
          </w:p>
        </w:tc>
        <w:tc>
          <w:tcPr>
            <w:tcW w:w="60" w:type="dxa"/>
            <w:vAlign w:val="bottom"/>
            <w:gridSpan w:val="2"/>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w w:val="92"/>
              </w:rPr>
              <w:t>361,542,309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Arial" w:cs="Arial" w:eastAsia="Arial" w:hAnsi="Arial"/>
                <w:sz w:val="12"/>
                <w:szCs w:val="12"/>
                <w:color w:val="auto"/>
                <w:w w:val="88"/>
              </w:rPr>
              <w:t>(147,014,599)</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2"/>
              </w:rPr>
              <w:t>214,527,710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-4356100</wp:posOffset>
            </wp:positionV>
            <wp:extent cx="7246620" cy="946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-4167505</wp:posOffset>
            </wp:positionV>
            <wp:extent cx="724662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-3884295</wp:posOffset>
            </wp:positionV>
            <wp:extent cx="7246620" cy="946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-3678555</wp:posOffset>
            </wp:positionV>
            <wp:extent cx="7246620" cy="946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-3489960</wp:posOffset>
            </wp:positionV>
            <wp:extent cx="7246620" cy="946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-3301365</wp:posOffset>
            </wp:positionV>
            <wp:extent cx="7246620" cy="946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-3112135</wp:posOffset>
            </wp:positionV>
            <wp:extent cx="7246620" cy="946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-2906395</wp:posOffset>
            </wp:positionV>
            <wp:extent cx="7246620" cy="94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-2700655</wp:posOffset>
            </wp:positionV>
            <wp:extent cx="7246620" cy="180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-2426335</wp:posOffset>
            </wp:positionV>
            <wp:extent cx="7246620" cy="1803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-2117725</wp:posOffset>
            </wp:positionV>
            <wp:extent cx="7246620" cy="946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-1834515</wp:posOffset>
            </wp:positionV>
            <wp:extent cx="7246620" cy="946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-1645920</wp:posOffset>
            </wp:positionV>
            <wp:extent cx="7246620" cy="946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-1379855</wp:posOffset>
            </wp:positionV>
            <wp:extent cx="724662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-1114425</wp:posOffset>
            </wp:positionV>
            <wp:extent cx="724662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-753745</wp:posOffset>
            </wp:positionV>
            <wp:extent cx="7246620" cy="946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-548005</wp:posOffset>
            </wp:positionV>
            <wp:extent cx="7246620" cy="946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-342265</wp:posOffset>
            </wp:positionV>
            <wp:extent cx="7246620" cy="946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-119380</wp:posOffset>
            </wp:positionV>
            <wp:extent cx="7246620" cy="946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5080" w:space="200"/>
            <w:col w:w="6140"/>
          </w:cols>
          <w:pgMar w:left="240" w:top="459" w:right="239" w:bottom="1440" w:gutter="0" w:footer="0" w:header="0"/>
          <w:type w:val="continuous"/>
        </w:sectPr>
      </w:pPr>
    </w:p>
    <w:p>
      <w:pPr>
        <w:ind w:left="340" w:right="380" w:hanging="332"/>
        <w:spacing w:after="0" w:line="243" w:lineRule="auto"/>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PIK interest and other fee rates, if any.</w:t>
      </w:r>
    </w:p>
    <w:p>
      <w:pPr>
        <w:ind w:left="340" w:hanging="332"/>
        <w:spacing w:after="0" w:line="234" w:lineRule="auto"/>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hanging="332"/>
        <w:spacing w:after="0" w:line="234" w:lineRule="auto"/>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1" w:lineRule="exact"/>
        <w:rPr>
          <w:rFonts w:ascii="Arial" w:cs="Arial" w:eastAsia="Arial" w:hAnsi="Arial"/>
          <w:sz w:val="12"/>
          <w:szCs w:val="12"/>
          <w:color w:val="auto"/>
        </w:rPr>
      </w:pPr>
    </w:p>
    <w:p>
      <w:pPr>
        <w:ind w:left="340" w:right="20" w:hanging="332"/>
        <w:spacing w:after="0" w:line="234" w:lineRule="auto"/>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81"/>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332"/>
        <w:spacing w:after="0" w:line="234" w:lineRule="auto"/>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27" w:lineRule="exact"/>
        <w:rPr>
          <w:rFonts w:ascii="Arial" w:cs="Arial" w:eastAsia="Arial" w:hAnsi="Arial"/>
          <w:sz w:val="12"/>
          <w:szCs w:val="12"/>
          <w:color w:val="auto"/>
        </w:rPr>
      </w:pPr>
    </w:p>
    <w:p>
      <w:pPr>
        <w:ind w:left="340" w:hanging="332"/>
        <w:spacing w:after="0"/>
        <w:tabs>
          <w:tab w:leader="none" w:pos="340" w:val="left"/>
        </w:tabs>
        <w:numPr>
          <w:ilvl w:val="0"/>
          <w:numId w:val="81"/>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20"/>
          </w:cols>
          <w:pgMar w:left="240" w:top="459" w:right="23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jc w:val="center"/>
              <w:ind w:right="22"/>
              <w:spacing w:after="0"/>
              <w:rPr>
                <w:sz w:val="20"/>
                <w:szCs w:val="20"/>
                <w:color w:val="auto"/>
              </w:rPr>
            </w:pPr>
            <w:r>
              <w:rPr>
                <w:rFonts w:ascii="Arial" w:cs="Arial" w:eastAsia="Arial" w:hAnsi="Arial"/>
                <w:sz w:val="12"/>
                <w:szCs w:val="12"/>
                <w:b w:val="1"/>
                <w:bCs w:val="1"/>
                <w:color w:val="auto"/>
                <w:w w:val="85"/>
              </w:rPr>
              <w:t>Basis Point</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auto"/>
                <w:w w:val="88"/>
              </w:rPr>
              <w:t>Spread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auto"/>
                <w:w w:val="87"/>
              </w:rPr>
              <w:t>Above</w:t>
            </w:r>
          </w:p>
        </w:tc>
        <w:tc>
          <w:tcPr>
            <w:tcW w:w="70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500" w:type="dxa"/>
            <w:vAlign w:val="bottom"/>
            <w:gridSpan w:val="2"/>
            <w:vMerge w:val="continue"/>
          </w:tcPr>
          <w:p>
            <w:pPr>
              <w:spacing w:after="0"/>
              <w:rPr>
                <w:sz w:val="12"/>
                <w:szCs w:val="12"/>
                <w:color w:val="auto"/>
              </w:rPr>
            </w:pPr>
          </w:p>
        </w:tc>
        <w:tc>
          <w:tcPr>
            <w:tcW w:w="1000" w:type="dxa"/>
            <w:vAlign w:val="bottom"/>
          </w:tcPr>
          <w:p>
            <w:pPr>
              <w:ind w:left="360"/>
              <w:spacing w:after="0"/>
              <w:rPr>
                <w:sz w:val="20"/>
                <w:szCs w:val="20"/>
                <w:color w:val="auto"/>
              </w:rPr>
            </w:pPr>
            <w:r>
              <w:rPr>
                <w:rFonts w:ascii="Arial" w:cs="Arial" w:eastAsia="Arial" w:hAnsi="Arial"/>
                <w:sz w:val="12"/>
                <w:szCs w:val="12"/>
                <w:b w:val="1"/>
                <w:bCs w:val="1"/>
                <w:color w:val="auto"/>
              </w:rPr>
              <w:t>Maturity</w:t>
            </w: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ind w:right="4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0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940" w:type="dxa"/>
            <w:vAlign w:val="bottom"/>
            <w:gridSpan w:val="2"/>
          </w:tcPr>
          <w:p>
            <w:pPr>
              <w:ind w:left="28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8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96"/>
              </w:rPr>
              <w:t xml:space="preserve">Investments in Non-Controlled, Non-Affiliated Portfolio Companies—151.3% </w:t>
            </w:r>
            <w:r>
              <w:rPr>
                <w:rFonts w:ascii="Arial" w:cs="Arial" w:eastAsia="Arial" w:hAnsi="Arial"/>
                <w:sz w:val="9"/>
                <w:szCs w:val="9"/>
                <w:b w:val="1"/>
                <w:bCs w:val="1"/>
                <w:color w:val="auto"/>
                <w:w w:val="96"/>
              </w:rPr>
              <w:t>(3),(4)</w:t>
            </w:r>
          </w:p>
        </w:tc>
        <w:tc>
          <w:tcPr>
            <w:tcW w:w="1000" w:type="dxa"/>
            <w:vAlign w:val="bottom"/>
            <w:tcBorders>
              <w:top w:val="single" w:sz="8" w:color="auto"/>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Debt—133.8%</w:t>
            </w:r>
          </w:p>
        </w:tc>
        <w:tc>
          <w:tcPr>
            <w:tcW w:w="10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line="129" w:lineRule="exact"/>
              <w:rPr>
                <w:sz w:val="20"/>
                <w:szCs w:val="20"/>
                <w:color w:val="auto"/>
              </w:rPr>
            </w:pPr>
            <w:r>
              <w:rPr>
                <w:rFonts w:ascii="Arial" w:cs="Arial" w:eastAsia="Arial" w:hAnsi="Arial"/>
                <w:sz w:val="12"/>
                <w:szCs w:val="12"/>
                <w:color w:val="auto"/>
              </w:rPr>
              <w:t>AKA Diversified Holdings, Inc.</w:t>
            </w:r>
          </w:p>
        </w:tc>
        <w:tc>
          <w:tcPr>
            <w:tcW w:w="1000" w:type="dxa"/>
            <w:vAlign w:val="bottom"/>
          </w:tcPr>
          <w:p>
            <w:pPr>
              <w:ind w:left="400"/>
              <w:spacing w:after="0" w:line="129" w:lineRule="exact"/>
              <w:rPr>
                <w:sz w:val="20"/>
                <w:szCs w:val="20"/>
                <w:color w:val="auto"/>
              </w:rPr>
            </w:pPr>
            <w:r>
              <w:rPr>
                <w:rFonts w:ascii="Arial" w:cs="Arial" w:eastAsia="Arial" w:hAnsi="Arial"/>
                <w:sz w:val="12"/>
                <w:szCs w:val="12"/>
                <w:color w:val="auto"/>
                <w:w w:val="96"/>
              </w:rPr>
              <w:t>12/21/2016</w:t>
            </w:r>
          </w:p>
        </w:tc>
        <w:tc>
          <w:tcPr>
            <w:tcW w:w="1740" w:type="dxa"/>
            <w:vAlign w:val="bottom"/>
          </w:tcPr>
          <w:p>
            <w:pPr>
              <w:jc w:val="center"/>
              <w:ind w:right="2"/>
              <w:spacing w:after="0" w:line="129" w:lineRule="exact"/>
              <w:rPr>
                <w:sz w:val="20"/>
                <w:szCs w:val="20"/>
                <w:color w:val="auto"/>
              </w:rPr>
            </w:pPr>
            <w:r>
              <w:rPr>
                <w:rFonts w:ascii="Arial" w:cs="Arial" w:eastAsia="Arial" w:hAnsi="Arial"/>
                <w:sz w:val="12"/>
                <w:szCs w:val="12"/>
                <w:color w:val="auto"/>
                <w:w w:val="91"/>
              </w:rPr>
              <w:t>Retail</w:t>
            </w:r>
          </w:p>
        </w:tc>
        <w:tc>
          <w:tcPr>
            <w:tcW w:w="8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12.50%</w:t>
            </w:r>
            <w:r>
              <w:rPr>
                <w:rFonts w:ascii="Arial" w:cs="Arial" w:eastAsia="Arial" w:hAnsi="Arial"/>
                <w:sz w:val="9"/>
                <w:szCs w:val="9"/>
                <w:color w:val="auto"/>
              </w:rPr>
              <w:t>(9)</w:t>
            </w:r>
          </w:p>
        </w:tc>
        <w:tc>
          <w:tcPr>
            <w:tcW w:w="80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L+1,225</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2,728,141</w:t>
            </w:r>
          </w:p>
        </w:tc>
        <w:tc>
          <w:tcPr>
            <w:tcW w:w="94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  2,684,231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2,755,278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ind w:left="80"/>
              <w:spacing w:after="0"/>
              <w:rPr>
                <w:sz w:val="20"/>
                <w:szCs w:val="20"/>
                <w:color w:val="auto"/>
              </w:rPr>
            </w:pPr>
            <w:r>
              <w:rPr>
                <w:rFonts w:ascii="Arial" w:cs="Arial" w:eastAsia="Arial" w:hAnsi="Arial"/>
                <w:sz w:val="12"/>
                <w:szCs w:val="12"/>
                <w:color w:val="auto"/>
              </w:rPr>
              <w:t>(PIK 1.50%)</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ALG USA Holdings, LLC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02/28/2019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Hotel, Gaming and Leisure</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8,457,500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8,394,246</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8,457,500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(8)</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05/23/2018</w:t>
            </w:r>
          </w:p>
        </w:tc>
        <w:tc>
          <w:tcPr>
            <w:tcW w:w="17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1,995,000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1,976,374</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1,980,037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AMF Bowling Centers, Inc. </w:t>
            </w:r>
            <w:r>
              <w:rPr>
                <w:rFonts w:ascii="Arial" w:cs="Arial" w:eastAsia="Arial" w:hAnsi="Arial"/>
                <w:sz w:val="9"/>
                <w:szCs w:val="9"/>
                <w:color w:val="auto"/>
              </w:rPr>
              <w:t>(8)</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06/29/2018</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1"/>
              </w:rPr>
              <w:t>Retail</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8.75%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L+750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7,950,000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7,711,500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7,870,500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Ancile Solutions,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07/16/2018</w:t>
            </w:r>
          </w:p>
        </w:tc>
        <w:tc>
          <w:tcPr>
            <w:tcW w:w="1740" w:type="dxa"/>
            <w:vAlign w:val="bottom"/>
          </w:tcPr>
          <w:p>
            <w:pPr>
              <w:jc w:val="center"/>
              <w:spacing w:after="0"/>
              <w:rPr>
                <w:sz w:val="20"/>
                <w:szCs w:val="20"/>
                <w:color w:val="auto"/>
              </w:rPr>
            </w:pPr>
            <w:r>
              <w:rPr>
                <w:rFonts w:ascii="Arial" w:cs="Arial" w:eastAsia="Arial" w:hAnsi="Arial"/>
                <w:sz w:val="12"/>
                <w:szCs w:val="12"/>
                <w:color w:val="auto"/>
                <w:w w:val="89"/>
              </w:rPr>
              <w:t>High Tech Industries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6.25%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5,000,000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4,951,516</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ARC Automotive Group,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11/15/2018</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3"/>
              </w:rPr>
              <w:t>Automotive</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2,530,875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2,510,159</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2,530,875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Aspen Dental Management,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10/06/2016</w:t>
            </w:r>
          </w:p>
        </w:tc>
        <w:tc>
          <w:tcPr>
            <w:tcW w:w="1740" w:type="dxa"/>
            <w:vAlign w:val="bottom"/>
          </w:tcPr>
          <w:p>
            <w:pPr>
              <w:jc w:val="center"/>
              <w:spacing w:after="0"/>
              <w:rPr>
                <w:sz w:val="20"/>
                <w:szCs w:val="20"/>
                <w:color w:val="auto"/>
              </w:rPr>
            </w:pPr>
            <w:r>
              <w:rPr>
                <w:rFonts w:ascii="Arial" w:cs="Arial" w:eastAsia="Arial" w:hAnsi="Arial"/>
                <w:sz w:val="12"/>
                <w:szCs w:val="12"/>
                <w:color w:val="auto"/>
                <w:w w:val="85"/>
              </w:rPr>
              <w:t>Consumer Services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2,947,500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2,916,715</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2,829,600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ATI Holdings,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12/20/2019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5.75%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2,977,500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2,951,133</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2,999,831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BBB Industries, LLC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03/27/2019</w:t>
            </w:r>
          </w:p>
        </w:tc>
        <w:tc>
          <w:tcPr>
            <w:tcW w:w="1740" w:type="dxa"/>
            <w:vAlign w:val="bottom"/>
          </w:tcPr>
          <w:p>
            <w:pPr>
              <w:jc w:val="center"/>
              <w:ind w:right="2"/>
              <w:spacing w:after="0"/>
              <w:rPr>
                <w:sz w:val="20"/>
                <w:szCs w:val="20"/>
                <w:color w:val="auto"/>
              </w:rPr>
            </w:pPr>
            <w:r>
              <w:rPr>
                <w:rFonts w:ascii="Arial" w:cs="Arial" w:eastAsia="Arial" w:hAnsi="Arial"/>
                <w:sz w:val="12"/>
                <w:szCs w:val="12"/>
                <w:color w:val="auto"/>
                <w:w w:val="93"/>
              </w:rPr>
              <w:t>Automotive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5.50%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2,925,000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2,903,031</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2,917,687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BBTS Borrower LP </w:t>
            </w:r>
            <w:r>
              <w:rPr>
                <w:rFonts w:ascii="Arial" w:cs="Arial" w:eastAsia="Arial" w:hAnsi="Arial"/>
                <w:sz w:val="9"/>
                <w:szCs w:val="9"/>
                <w:color w:val="auto"/>
              </w:rPr>
              <w:t>(8)</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06/04/2019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Energy: Oil and Gas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6,965,000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6,899,024</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7,034,650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Bellisio Foods,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08/01/2019</w:t>
            </w:r>
          </w:p>
        </w:tc>
        <w:tc>
          <w:tcPr>
            <w:tcW w:w="1740" w:type="dxa"/>
            <w:vAlign w:val="bottom"/>
          </w:tcPr>
          <w:p>
            <w:pPr>
              <w:jc w:val="center"/>
              <w:ind w:right="2"/>
              <w:spacing w:after="0"/>
              <w:rPr>
                <w:sz w:val="20"/>
                <w:szCs w:val="20"/>
                <w:color w:val="auto"/>
              </w:rPr>
            </w:pPr>
            <w:r>
              <w:rPr>
                <w:rFonts w:ascii="Arial" w:cs="Arial" w:eastAsia="Arial" w:hAnsi="Arial"/>
                <w:sz w:val="12"/>
                <w:szCs w:val="12"/>
                <w:color w:val="auto"/>
                <w:w w:val="85"/>
              </w:rPr>
              <w:t>Beverage, Food and Tobacco</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5.25%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4,237,288</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4,216,574</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4,216,102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Bellisio Foods, Inc. </w:t>
            </w:r>
            <w:r>
              <w:rPr>
                <w:rFonts w:ascii="Arial" w:cs="Arial" w:eastAsia="Arial" w:hAnsi="Arial"/>
                <w:sz w:val="9"/>
                <w:szCs w:val="9"/>
                <w:color w:val="auto"/>
              </w:rPr>
              <w:t>(10)</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08/01/2019</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5"/>
              </w:rPr>
              <w:t>Beverage, Food and Tobacco</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(9)</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762,712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759,021</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758,898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BioScrip,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07/31/2020</w:t>
            </w:r>
          </w:p>
        </w:tc>
        <w:tc>
          <w:tcPr>
            <w:tcW w:w="17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6.50%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1,970,525</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07/02/2020</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Hotel, Gaming and Leisure</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8.25%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5,000,000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4,950,774</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Cetera Financial Group, Inc. </w:t>
            </w:r>
            <w:r>
              <w:rPr>
                <w:rFonts w:ascii="Arial" w:cs="Arial" w:eastAsia="Arial" w:hAnsi="Arial"/>
                <w:sz w:val="9"/>
                <w:szCs w:val="9"/>
                <w:color w:val="auto"/>
              </w:rPr>
              <w:t>(8)</w:t>
            </w:r>
          </w:p>
        </w:tc>
        <w:tc>
          <w:tcPr>
            <w:tcW w:w="2740" w:type="dxa"/>
            <w:vAlign w:val="bottom"/>
            <w:gridSpan w:val="2"/>
          </w:tcPr>
          <w:p>
            <w:pPr>
              <w:ind w:left="400"/>
              <w:spacing w:after="0"/>
              <w:rPr>
                <w:sz w:val="20"/>
                <w:szCs w:val="20"/>
                <w:color w:val="auto"/>
              </w:rPr>
            </w:pPr>
            <w:r>
              <w:rPr>
                <w:rFonts w:ascii="Arial" w:cs="Arial" w:eastAsia="Arial" w:hAnsi="Arial"/>
                <w:sz w:val="12"/>
                <w:szCs w:val="12"/>
                <w:color w:val="auto"/>
                <w:w w:val="93"/>
              </w:rPr>
              <w:t>08/07/2019  Banking, Finance and Real Estate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6.50%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5,000,000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4,902,298</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4,954,150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CPG International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09/30/2020</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0"/>
              </w:rPr>
              <w:t>Construction and Building</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4.75%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L+375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5,000,000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4,975,000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Cydcor LLC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06/12/2017</w:t>
            </w:r>
          </w:p>
        </w:tc>
        <w:tc>
          <w:tcPr>
            <w:tcW w:w="1740" w:type="dxa"/>
            <w:vAlign w:val="bottom"/>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9.75%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L+725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1,958,125</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1,958,125</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1,958,125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DCS Business Services,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03/19/2018</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3,603,061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3,554,898</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3,603,061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Document Technologies, Inc. </w:t>
            </w:r>
            <w:r>
              <w:rPr>
                <w:rFonts w:ascii="Arial" w:cs="Arial" w:eastAsia="Arial" w:hAnsi="Arial"/>
                <w:sz w:val="9"/>
                <w:szCs w:val="9"/>
                <w:color w:val="auto"/>
              </w:rPr>
              <w:t>(8)</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12/03/2018</w:t>
            </w:r>
          </w:p>
        </w:tc>
        <w:tc>
          <w:tcPr>
            <w:tcW w:w="1740" w:type="dxa"/>
            <w:vAlign w:val="bottom"/>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5.50%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961,264</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954,199</w:t>
            </w:r>
          </w:p>
        </w:tc>
        <w:tc>
          <w:tcPr>
            <w:tcW w:w="6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961,263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EAG, Inc. </w:t>
            </w:r>
            <w:r>
              <w:rPr>
                <w:rFonts w:ascii="Arial" w:cs="Arial" w:eastAsia="Arial" w:hAnsi="Arial"/>
                <w:sz w:val="9"/>
                <w:szCs w:val="9"/>
                <w:color w:val="auto"/>
              </w:rPr>
              <w:t>(8)</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07/28/2017</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888,721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888,721</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888,721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line="129" w:lineRule="exact"/>
              <w:rPr>
                <w:sz w:val="20"/>
                <w:szCs w:val="20"/>
                <w:color w:val="auto"/>
              </w:rPr>
            </w:pPr>
            <w:r>
              <w:rPr>
                <w:rFonts w:ascii="Arial" w:cs="Arial" w:eastAsia="Arial" w:hAnsi="Arial"/>
                <w:sz w:val="12"/>
                <w:szCs w:val="12"/>
                <w:color w:val="auto"/>
              </w:rPr>
              <w:t>Edmenturn, Inc.</w:t>
            </w:r>
          </w:p>
        </w:tc>
        <w:tc>
          <w:tcPr>
            <w:tcW w:w="1000" w:type="dxa"/>
            <w:vAlign w:val="bottom"/>
          </w:tcPr>
          <w:p>
            <w:pPr>
              <w:ind w:left="400"/>
              <w:spacing w:after="0" w:line="129" w:lineRule="exact"/>
              <w:rPr>
                <w:sz w:val="20"/>
                <w:szCs w:val="20"/>
                <w:color w:val="auto"/>
              </w:rPr>
            </w:pPr>
            <w:r>
              <w:rPr>
                <w:rFonts w:ascii="Arial" w:cs="Arial" w:eastAsia="Arial" w:hAnsi="Arial"/>
                <w:sz w:val="12"/>
                <w:szCs w:val="12"/>
                <w:color w:val="auto"/>
                <w:w w:val="96"/>
              </w:rPr>
              <w:t>05/17/2018</w:t>
            </w:r>
          </w:p>
        </w:tc>
        <w:tc>
          <w:tcPr>
            <w:tcW w:w="1740" w:type="dxa"/>
            <w:vAlign w:val="bottom"/>
          </w:tcPr>
          <w:p>
            <w:pPr>
              <w:jc w:val="center"/>
              <w:spacing w:after="0" w:line="129" w:lineRule="exact"/>
              <w:rPr>
                <w:sz w:val="20"/>
                <w:szCs w:val="20"/>
                <w:color w:val="auto"/>
              </w:rPr>
            </w:pPr>
            <w:r>
              <w:rPr>
                <w:rFonts w:ascii="Arial" w:cs="Arial" w:eastAsia="Arial" w:hAnsi="Arial"/>
                <w:sz w:val="12"/>
                <w:szCs w:val="12"/>
                <w:color w:val="auto"/>
                <w:w w:val="88"/>
              </w:rPr>
              <w:t>Media: Broadcasting and</w:t>
            </w:r>
          </w:p>
        </w:tc>
        <w:tc>
          <w:tcPr>
            <w:tcW w:w="8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6.00%</w:t>
            </w:r>
          </w:p>
        </w:tc>
        <w:tc>
          <w:tcPr>
            <w:tcW w:w="80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938,438</w:t>
            </w:r>
          </w:p>
        </w:tc>
        <w:tc>
          <w:tcPr>
            <w:tcW w:w="94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938,438</w:t>
            </w:r>
          </w:p>
        </w:tc>
        <w:tc>
          <w:tcPr>
            <w:tcW w:w="6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941,563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2"/>
                <w:szCs w:val="12"/>
                <w:color w:val="auto"/>
                <w:w w:val="87"/>
              </w:rPr>
              <w:t>Subscription</w:t>
            </w: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EIG Investors Corp.</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11/12/2019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High Tech Industries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2,209,435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2,191,417</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2,216,350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Emerald Performance Materials, LLC</w:t>
            </w:r>
          </w:p>
        </w:tc>
        <w:tc>
          <w:tcPr>
            <w:tcW w:w="2740" w:type="dxa"/>
            <w:vAlign w:val="bottom"/>
            <w:gridSpan w:val="2"/>
          </w:tcPr>
          <w:p>
            <w:pPr>
              <w:ind w:left="400"/>
              <w:spacing w:after="0"/>
              <w:rPr>
                <w:sz w:val="20"/>
                <w:szCs w:val="20"/>
                <w:color w:val="auto"/>
              </w:rPr>
            </w:pPr>
            <w:r>
              <w:rPr>
                <w:rFonts w:ascii="Arial" w:cs="Arial" w:eastAsia="Arial" w:hAnsi="Arial"/>
                <w:sz w:val="12"/>
                <w:szCs w:val="12"/>
                <w:color w:val="auto"/>
                <w:w w:val="96"/>
              </w:rPr>
              <w:t>05/18/2018   Chemicals, Plastics and Rubber</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6.75%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2,469,992</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2,451,906</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2,482,342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eResearchtechnology,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05/02/2018</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2,970,056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2,955,416</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2,970,056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FHC Health Systems,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01/09/2018</w:t>
            </w:r>
          </w:p>
        </w:tc>
        <w:tc>
          <w:tcPr>
            <w:tcW w:w="17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5.75%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4,937,500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4,890,024</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4,962,187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Fishnet Security,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11/30/2017</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High Tech Industries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3,647,438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3,623,608</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3,632,228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line="129" w:lineRule="exact"/>
              <w:rPr>
                <w:sz w:val="20"/>
                <w:szCs w:val="20"/>
                <w:color w:val="auto"/>
              </w:rPr>
            </w:pPr>
            <w:r>
              <w:rPr>
                <w:rFonts w:ascii="Arial" w:cs="Arial" w:eastAsia="Arial" w:hAnsi="Arial"/>
                <w:sz w:val="12"/>
                <w:szCs w:val="12"/>
                <w:color w:val="auto"/>
              </w:rPr>
              <w:t>Granite Broadcasting Corporation</w:t>
            </w:r>
          </w:p>
        </w:tc>
        <w:tc>
          <w:tcPr>
            <w:tcW w:w="1000" w:type="dxa"/>
            <w:vAlign w:val="bottom"/>
          </w:tcPr>
          <w:p>
            <w:pPr>
              <w:ind w:left="400"/>
              <w:spacing w:after="0" w:line="129" w:lineRule="exact"/>
              <w:rPr>
                <w:sz w:val="20"/>
                <w:szCs w:val="20"/>
                <w:color w:val="auto"/>
              </w:rPr>
            </w:pPr>
            <w:r>
              <w:rPr>
                <w:rFonts w:ascii="Arial" w:cs="Arial" w:eastAsia="Arial" w:hAnsi="Arial"/>
                <w:sz w:val="12"/>
                <w:szCs w:val="12"/>
                <w:color w:val="auto"/>
                <w:w w:val="96"/>
              </w:rPr>
              <w:t>05/23/2018</w:t>
            </w:r>
          </w:p>
        </w:tc>
        <w:tc>
          <w:tcPr>
            <w:tcW w:w="1740" w:type="dxa"/>
            <w:vAlign w:val="bottom"/>
          </w:tcPr>
          <w:p>
            <w:pPr>
              <w:jc w:val="center"/>
              <w:spacing w:after="0" w:line="129" w:lineRule="exact"/>
              <w:rPr>
                <w:sz w:val="20"/>
                <w:szCs w:val="20"/>
                <w:color w:val="auto"/>
              </w:rPr>
            </w:pPr>
            <w:r>
              <w:rPr>
                <w:rFonts w:ascii="Arial" w:cs="Arial" w:eastAsia="Arial" w:hAnsi="Arial"/>
                <w:sz w:val="12"/>
                <w:szCs w:val="12"/>
                <w:color w:val="auto"/>
                <w:w w:val="88"/>
              </w:rPr>
              <w:t>Media: Broadcasting and</w:t>
            </w:r>
          </w:p>
        </w:tc>
        <w:tc>
          <w:tcPr>
            <w:tcW w:w="8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6.75%</w:t>
            </w:r>
          </w:p>
        </w:tc>
        <w:tc>
          <w:tcPr>
            <w:tcW w:w="80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2,985,000</w:t>
            </w:r>
          </w:p>
        </w:tc>
        <w:tc>
          <w:tcPr>
            <w:tcW w:w="94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2,978,216</w:t>
            </w:r>
          </w:p>
        </w:tc>
        <w:tc>
          <w:tcPr>
            <w:tcW w:w="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2,987,478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2"/>
                <w:szCs w:val="12"/>
                <w:color w:val="auto"/>
                <w:w w:val="87"/>
              </w:rPr>
              <w:t>Subscription</w:t>
            </w: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Graton Economic Development Authority </w:t>
            </w:r>
            <w:r>
              <w:rPr>
                <w:rFonts w:ascii="Arial" w:cs="Arial" w:eastAsia="Arial" w:hAnsi="Arial"/>
                <w:sz w:val="9"/>
                <w:szCs w:val="9"/>
                <w:color w:val="auto"/>
              </w:rPr>
              <w:t>(5), (8)</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09/02/2019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Hotel, Gaming and Leisure</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9.63%</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3,000,000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3,000,000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GSE Environmental, Inc. </w:t>
            </w:r>
            <w:r>
              <w:rPr>
                <w:rFonts w:ascii="Arial" w:cs="Arial" w:eastAsia="Arial" w:hAnsi="Arial"/>
                <w:sz w:val="9"/>
                <w:szCs w:val="9"/>
                <w:color w:val="auto"/>
              </w:rPr>
              <w:t>(8)</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05/27/2016</w:t>
            </w:r>
          </w:p>
        </w:tc>
        <w:tc>
          <w:tcPr>
            <w:tcW w:w="1740" w:type="dxa"/>
            <w:vAlign w:val="bottom"/>
          </w:tcPr>
          <w:p>
            <w:pPr>
              <w:jc w:val="center"/>
              <w:spacing w:after="0"/>
              <w:rPr>
                <w:sz w:val="20"/>
                <w:szCs w:val="20"/>
                <w:color w:val="auto"/>
              </w:rPr>
            </w:pPr>
            <w:r>
              <w:rPr>
                <w:rFonts w:ascii="Arial" w:cs="Arial" w:eastAsia="Arial" w:hAnsi="Arial"/>
                <w:sz w:val="12"/>
                <w:szCs w:val="12"/>
                <w:color w:val="auto"/>
                <w:w w:val="89"/>
              </w:rPr>
              <w:t>Environmental Industries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8.99%</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2,934,372</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2,926,116</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2,567,575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GSE Environmental, Inc. </w:t>
            </w:r>
            <w:r>
              <w:rPr>
                <w:rFonts w:ascii="Arial" w:cs="Arial" w:eastAsia="Arial" w:hAnsi="Arial"/>
                <w:sz w:val="9"/>
                <w:szCs w:val="9"/>
                <w:color w:val="auto"/>
              </w:rPr>
              <w:t>(8), (10)</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10/31/2013</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Environmental Industries</w:t>
            </w:r>
          </w:p>
        </w:tc>
        <w:tc>
          <w:tcPr>
            <w:tcW w:w="84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175,657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175,657</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153,700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Help/Systems Holdings, Inc. </w:t>
            </w:r>
            <w:r>
              <w:rPr>
                <w:rFonts w:ascii="Arial" w:cs="Arial" w:eastAsia="Arial" w:hAnsi="Arial"/>
                <w:sz w:val="9"/>
                <w:szCs w:val="9"/>
                <w:color w:val="auto"/>
              </w:rPr>
              <w:t>(8)</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06/28/2019</w:t>
            </w:r>
          </w:p>
        </w:tc>
        <w:tc>
          <w:tcPr>
            <w:tcW w:w="1740" w:type="dxa"/>
            <w:vAlign w:val="bottom"/>
          </w:tcPr>
          <w:p>
            <w:pPr>
              <w:jc w:val="center"/>
              <w:spacing w:after="0"/>
              <w:rPr>
                <w:sz w:val="20"/>
                <w:szCs w:val="20"/>
                <w:color w:val="auto"/>
              </w:rPr>
            </w:pPr>
            <w:r>
              <w:rPr>
                <w:rFonts w:ascii="Arial" w:cs="Arial" w:eastAsia="Arial" w:hAnsi="Arial"/>
                <w:sz w:val="12"/>
                <w:szCs w:val="12"/>
                <w:color w:val="auto"/>
                <w:w w:val="89"/>
              </w:rPr>
              <w:t>High Tech Industries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5.50%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5,000,000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4,952,010</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Howard Berger Co. LLC</w:t>
            </w:r>
            <w:r>
              <w:rPr>
                <w:rFonts w:ascii="Arial" w:cs="Arial" w:eastAsia="Arial" w:hAnsi="Arial"/>
                <w:sz w:val="9"/>
                <w:szCs w:val="9"/>
                <w:color w:val="auto"/>
              </w:rPr>
              <w:t>(8)</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08/03/2017</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Wholesale</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2,585,993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2,555,979</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2,456,693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 (8)</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03/30/2017</w:t>
            </w:r>
          </w:p>
        </w:tc>
        <w:tc>
          <w:tcPr>
            <w:tcW w:w="1740" w:type="dxa"/>
            <w:vAlign w:val="bottom"/>
          </w:tcPr>
          <w:p>
            <w:pPr>
              <w:jc w:val="center"/>
              <w:ind w:right="2"/>
              <w:spacing w:after="0"/>
              <w:rPr>
                <w:sz w:val="20"/>
                <w:szCs w:val="20"/>
                <w:color w:val="auto"/>
              </w:rPr>
            </w:pPr>
            <w:r>
              <w:rPr>
                <w:rFonts w:ascii="Arial" w:cs="Arial" w:eastAsia="Arial" w:hAnsi="Arial"/>
                <w:sz w:val="12"/>
                <w:szCs w:val="12"/>
                <w:color w:val="auto"/>
                <w:w w:val="93"/>
              </w:rPr>
              <w:t>Automotive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11.50%</w:t>
            </w:r>
          </w:p>
        </w:tc>
        <w:tc>
          <w:tcPr>
            <w:tcW w:w="80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1,969,758</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05/01/2019</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8,775,000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8,632,866</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8,687,250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InfuSystem Holdings,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11/30/2016</w:t>
            </w:r>
          </w:p>
        </w:tc>
        <w:tc>
          <w:tcPr>
            <w:tcW w:w="17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11.95%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P+625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2,175,000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2,175,000</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2,195,331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Instant Web, Inc. </w:t>
            </w:r>
            <w:r>
              <w:rPr>
                <w:rFonts w:ascii="Arial" w:cs="Arial" w:eastAsia="Arial" w:hAnsi="Arial"/>
                <w:sz w:val="9"/>
                <w:szCs w:val="9"/>
                <w:color w:val="auto"/>
              </w:rPr>
              <w:t>(8)</w:t>
            </w:r>
          </w:p>
        </w:tc>
        <w:tc>
          <w:tcPr>
            <w:tcW w:w="1000" w:type="dxa"/>
            <w:vAlign w:val="bottom"/>
            <w:shd w:val="clear" w:color="auto" w:fill="CCEEFF"/>
          </w:tcPr>
          <w:p>
            <w:pPr>
              <w:ind w:left="400"/>
              <w:spacing w:after="0" w:line="129" w:lineRule="exact"/>
              <w:rPr>
                <w:sz w:val="20"/>
                <w:szCs w:val="20"/>
                <w:color w:val="auto"/>
              </w:rPr>
            </w:pPr>
            <w:r>
              <w:rPr>
                <w:rFonts w:ascii="Arial" w:cs="Arial" w:eastAsia="Arial" w:hAnsi="Arial"/>
                <w:sz w:val="12"/>
                <w:szCs w:val="12"/>
                <w:color w:val="auto"/>
                <w:w w:val="96"/>
              </w:rPr>
              <w:t>08/07/2014</w:t>
            </w:r>
          </w:p>
        </w:tc>
        <w:tc>
          <w:tcPr>
            <w:tcW w:w="17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8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3.55%</w:t>
            </w:r>
            <w:r>
              <w:rPr>
                <w:rFonts w:ascii="Arial" w:cs="Arial" w:eastAsia="Arial" w:hAnsi="Arial"/>
                <w:sz w:val="9"/>
                <w:szCs w:val="9"/>
                <w:color w:val="auto"/>
              </w:rPr>
              <w:t>(9)</w:t>
            </w:r>
          </w:p>
        </w:tc>
        <w:tc>
          <w:tcPr>
            <w:tcW w:w="80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L+338</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6,836,389</w:t>
            </w:r>
          </w:p>
        </w:tc>
        <w:tc>
          <w:tcPr>
            <w:tcW w:w="94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6,698,584</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5,469,111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Jackson Hewitt Tax Service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10/16/2017</w:t>
            </w:r>
          </w:p>
        </w:tc>
        <w:tc>
          <w:tcPr>
            <w:tcW w:w="1740" w:type="dxa"/>
            <w:vAlign w:val="bottom"/>
          </w:tcPr>
          <w:p>
            <w:pPr>
              <w:jc w:val="center"/>
              <w:spacing w:after="0"/>
              <w:rPr>
                <w:sz w:val="20"/>
                <w:szCs w:val="20"/>
                <w:color w:val="auto"/>
              </w:rPr>
            </w:pPr>
            <w:r>
              <w:rPr>
                <w:rFonts w:ascii="Arial" w:cs="Arial" w:eastAsia="Arial" w:hAnsi="Arial"/>
                <w:sz w:val="12"/>
                <w:szCs w:val="12"/>
                <w:color w:val="auto"/>
                <w:w w:val="85"/>
              </w:rPr>
              <w:t>Consumer Services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10.00%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L+850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5,521,875</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5,406,642</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5,439,047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JHCI Acquisition,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07/11/2019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Transportation: Cargo</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1,995,000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1,965,824</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1,981,454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2740" w:type="dxa"/>
            <w:vAlign w:val="bottom"/>
            <w:gridSpan w:val="2"/>
          </w:tcPr>
          <w:p>
            <w:pPr>
              <w:ind w:left="400"/>
              <w:spacing w:after="0"/>
              <w:rPr>
                <w:sz w:val="20"/>
                <w:szCs w:val="20"/>
                <w:color w:val="auto"/>
              </w:rPr>
            </w:pPr>
            <w:r>
              <w:rPr>
                <w:rFonts w:ascii="Arial" w:cs="Arial" w:eastAsia="Arial" w:hAnsi="Arial"/>
                <w:sz w:val="12"/>
                <w:szCs w:val="12"/>
                <w:color w:val="auto"/>
                <w:w w:val="96"/>
              </w:rPr>
              <w:t>08/19/2019   Chemicals, Plastics and Rubber</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10.00%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L+900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6,157,648</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6,034,495</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6,065,283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11/30/2018</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5,985,000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5,900,289</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5,865,300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Meritas Schools Holdings, LLC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06/25/2019</w:t>
            </w:r>
          </w:p>
        </w:tc>
        <w:tc>
          <w:tcPr>
            <w:tcW w:w="1740" w:type="dxa"/>
            <w:vAlign w:val="bottom"/>
          </w:tcPr>
          <w:p>
            <w:pPr>
              <w:jc w:val="center"/>
              <w:spacing w:after="0"/>
              <w:rPr>
                <w:sz w:val="20"/>
                <w:szCs w:val="20"/>
                <w:color w:val="auto"/>
              </w:rPr>
            </w:pPr>
            <w:r>
              <w:rPr>
                <w:rFonts w:ascii="Arial" w:cs="Arial" w:eastAsia="Arial" w:hAnsi="Arial"/>
                <w:sz w:val="12"/>
                <w:szCs w:val="12"/>
                <w:color w:val="auto"/>
                <w:w w:val="85"/>
              </w:rPr>
              <w:t>Consumer Services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2,992,500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2,963,605</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2,987,503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Milk Specialties Company</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11/09/2018</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Consumer Goods: Non-Durable</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3,383,000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3,354,728</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3,374,542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Mood Media Corporation </w:t>
            </w:r>
            <w:r>
              <w:rPr>
                <w:rFonts w:ascii="Arial" w:cs="Arial" w:eastAsia="Arial" w:hAnsi="Arial"/>
                <w:sz w:val="9"/>
                <w:szCs w:val="9"/>
                <w:color w:val="auto"/>
              </w:rPr>
              <w:t>(6)</w:t>
            </w:r>
          </w:p>
        </w:tc>
        <w:tc>
          <w:tcPr>
            <w:tcW w:w="2740" w:type="dxa"/>
            <w:vAlign w:val="bottom"/>
            <w:gridSpan w:val="2"/>
          </w:tcPr>
          <w:p>
            <w:pPr>
              <w:ind w:left="400"/>
              <w:spacing w:after="0"/>
              <w:rPr>
                <w:sz w:val="20"/>
                <w:szCs w:val="20"/>
                <w:color w:val="auto"/>
              </w:rPr>
            </w:pPr>
            <w:r>
              <w:rPr>
                <w:rFonts w:ascii="Arial" w:cs="Arial" w:eastAsia="Arial" w:hAnsi="Arial"/>
                <w:sz w:val="12"/>
                <w:szCs w:val="12"/>
                <w:color w:val="auto"/>
                <w:w w:val="94"/>
              </w:rPr>
              <w:t>05/07/2018  Media: Diversified and Production</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2,348,510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2,344,859</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2,345,574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NAB Holdings, LLC</w:t>
            </w:r>
          </w:p>
        </w:tc>
        <w:tc>
          <w:tcPr>
            <w:tcW w:w="2740" w:type="dxa"/>
            <w:vAlign w:val="bottom"/>
            <w:gridSpan w:val="2"/>
            <w:shd w:val="clear" w:color="auto" w:fill="CCEEFF"/>
          </w:tcPr>
          <w:p>
            <w:pPr>
              <w:ind w:left="400"/>
              <w:spacing w:after="0" w:line="129" w:lineRule="exact"/>
              <w:rPr>
                <w:sz w:val="20"/>
                <w:szCs w:val="20"/>
                <w:color w:val="auto"/>
              </w:rPr>
            </w:pPr>
            <w:r>
              <w:rPr>
                <w:rFonts w:ascii="Arial" w:cs="Arial" w:eastAsia="Arial" w:hAnsi="Arial"/>
                <w:sz w:val="12"/>
                <w:szCs w:val="12"/>
                <w:color w:val="auto"/>
                <w:w w:val="94"/>
              </w:rPr>
              <w:t>04/24/2018   Banking, Finance, Insurance and</w:t>
            </w:r>
          </w:p>
        </w:tc>
        <w:tc>
          <w:tcPr>
            <w:tcW w:w="8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937,500</w:t>
            </w:r>
          </w:p>
        </w:tc>
        <w:tc>
          <w:tcPr>
            <w:tcW w:w="94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926,724</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941,016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Real Estate</w:t>
            </w: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National Surgical Hospitals,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08/01/2019</w:t>
            </w:r>
          </w:p>
        </w:tc>
        <w:tc>
          <w:tcPr>
            <w:tcW w:w="17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5.75%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6,500,000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6,436,491</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6,475,625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New Trident HoldCorp,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07/31/2019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99"/>
              </w:rPr>
              <w:t>10,000,000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9,903,508</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Northfield Park Associates LLC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12/19/2018</w:t>
            </w:r>
          </w:p>
        </w:tc>
        <w:tc>
          <w:tcPr>
            <w:tcW w:w="1740" w:type="dxa"/>
            <w:vAlign w:val="bottom"/>
          </w:tcPr>
          <w:p>
            <w:pPr>
              <w:jc w:val="center"/>
              <w:spacing w:after="0"/>
              <w:rPr>
                <w:sz w:val="20"/>
                <w:szCs w:val="20"/>
                <w:color w:val="auto"/>
              </w:rPr>
            </w:pPr>
            <w:r>
              <w:rPr>
                <w:rFonts w:ascii="Arial" w:cs="Arial" w:eastAsia="Arial" w:hAnsi="Arial"/>
                <w:sz w:val="12"/>
                <w:szCs w:val="12"/>
                <w:color w:val="auto"/>
                <w:w w:val="88"/>
              </w:rPr>
              <w:t>Hotel, Gaming and Leisure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9.00%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L+775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4,500,000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4,421,591</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4,635,000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OCI Beaumont LLC, Term B-1 Loan</w:t>
            </w:r>
          </w:p>
        </w:tc>
        <w:tc>
          <w:tcPr>
            <w:tcW w:w="27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w w:val="96"/>
              </w:rPr>
              <w:t>08/20/2019   Chemicals, Plastics and Rubber</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3,125,000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3,079,073</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OCI Beaumont LLC, Term B-2 Loan</w:t>
            </w:r>
          </w:p>
        </w:tc>
        <w:tc>
          <w:tcPr>
            <w:tcW w:w="2740" w:type="dxa"/>
            <w:vAlign w:val="bottom"/>
            <w:gridSpan w:val="2"/>
          </w:tcPr>
          <w:p>
            <w:pPr>
              <w:ind w:left="400"/>
              <w:spacing w:after="0"/>
              <w:rPr>
                <w:sz w:val="20"/>
                <w:szCs w:val="20"/>
                <w:color w:val="auto"/>
              </w:rPr>
            </w:pPr>
            <w:r>
              <w:rPr>
                <w:rFonts w:ascii="Arial" w:cs="Arial" w:eastAsia="Arial" w:hAnsi="Arial"/>
                <w:sz w:val="12"/>
                <w:szCs w:val="12"/>
                <w:color w:val="auto"/>
                <w:w w:val="96"/>
              </w:rPr>
              <w:t>08/20/2019   Chemicals, Plastics and Rubber</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6.25%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5,875,000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5,788,657</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5,875,000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Orbitz Worldwide, Inc., Term Loan 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03/25/2019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Transportation: Consumer</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5.75%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3,990,000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3,990,000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4,003,287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Packaging Coordinators, Inc.</w:t>
            </w:r>
          </w:p>
        </w:tc>
        <w:tc>
          <w:tcPr>
            <w:tcW w:w="2740" w:type="dxa"/>
            <w:vAlign w:val="bottom"/>
            <w:gridSpan w:val="2"/>
          </w:tcPr>
          <w:p>
            <w:pPr>
              <w:ind w:left="400"/>
              <w:spacing w:after="0"/>
              <w:rPr>
                <w:sz w:val="20"/>
                <w:szCs w:val="20"/>
                <w:color w:val="auto"/>
              </w:rPr>
            </w:pPr>
            <w:r>
              <w:rPr>
                <w:rFonts w:ascii="Arial" w:cs="Arial" w:eastAsia="Arial" w:hAnsi="Arial"/>
                <w:sz w:val="12"/>
                <w:szCs w:val="12"/>
                <w:color w:val="auto"/>
                <w:w w:val="93"/>
              </w:rPr>
              <w:t>05/11/2020   Containers, Packaging and Glass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5.50%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2,500,000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2,488,883</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Paladin Brands Holding,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08/16/2019</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9"/>
              </w:rPr>
              <w:t>Capital Equipment</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3,000,000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2,956,071</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2,964,390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Pelican Products, Inc.</w:t>
            </w:r>
          </w:p>
        </w:tc>
        <w:tc>
          <w:tcPr>
            <w:tcW w:w="2740" w:type="dxa"/>
            <w:vAlign w:val="bottom"/>
            <w:gridSpan w:val="2"/>
          </w:tcPr>
          <w:p>
            <w:pPr>
              <w:ind w:left="400"/>
              <w:spacing w:after="0"/>
              <w:rPr>
                <w:sz w:val="20"/>
                <w:szCs w:val="20"/>
                <w:color w:val="auto"/>
              </w:rPr>
            </w:pPr>
            <w:r>
              <w:rPr>
                <w:rFonts w:ascii="Arial" w:cs="Arial" w:eastAsia="Arial" w:hAnsi="Arial"/>
                <w:sz w:val="12"/>
                <w:szCs w:val="12"/>
                <w:color w:val="auto"/>
                <w:w w:val="93"/>
              </w:rPr>
              <w:t>07/11/2018   Containers, Packaging and Glass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1,481,250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1,456,674</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1,473,844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Penton Media, Inc.</w:t>
            </w:r>
          </w:p>
        </w:tc>
        <w:tc>
          <w:tcPr>
            <w:tcW w:w="2740" w:type="dxa"/>
            <w:vAlign w:val="bottom"/>
            <w:gridSpan w:val="2"/>
            <w:shd w:val="clear" w:color="auto" w:fill="CCEEFF"/>
          </w:tcPr>
          <w:p>
            <w:pPr>
              <w:ind w:left="400"/>
              <w:spacing w:after="0" w:line="129" w:lineRule="exact"/>
              <w:rPr>
                <w:sz w:val="20"/>
                <w:szCs w:val="20"/>
                <w:color w:val="auto"/>
              </w:rPr>
            </w:pPr>
            <w:r>
              <w:rPr>
                <w:rFonts w:ascii="Arial" w:cs="Arial" w:eastAsia="Arial" w:hAnsi="Arial"/>
                <w:sz w:val="12"/>
                <w:szCs w:val="12"/>
                <w:color w:val="auto"/>
                <w:w w:val="94"/>
              </w:rPr>
              <w:t>08/01/2014  Media: Diversified and Production</w:t>
            </w:r>
          </w:p>
        </w:tc>
        <w:tc>
          <w:tcPr>
            <w:tcW w:w="8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7,517,838</w:t>
            </w:r>
          </w:p>
        </w:tc>
        <w:tc>
          <w:tcPr>
            <w:tcW w:w="94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7,234,538</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7,433,263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(PIK 2.00%)</w:t>
            </w:r>
          </w:p>
        </w:tc>
        <w:tc>
          <w:tcPr>
            <w:tcW w:w="8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Polyconcept Finance B.V.</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06/28/2019</w:t>
            </w:r>
          </w:p>
        </w:tc>
        <w:tc>
          <w:tcPr>
            <w:tcW w:w="1740" w:type="dxa"/>
            <w:vAlign w:val="bottom"/>
          </w:tcPr>
          <w:p>
            <w:pPr>
              <w:jc w:val="center"/>
              <w:spacing w:after="0"/>
              <w:rPr>
                <w:sz w:val="20"/>
                <w:szCs w:val="20"/>
                <w:color w:val="auto"/>
              </w:rPr>
            </w:pPr>
            <w:r>
              <w:rPr>
                <w:rFonts w:ascii="Arial" w:cs="Arial" w:eastAsia="Arial" w:hAnsi="Arial"/>
                <w:sz w:val="12"/>
                <w:szCs w:val="12"/>
                <w:color w:val="auto"/>
                <w:w w:val="88"/>
              </w:rPr>
              <w:t>Consumer Goods: Non-Durable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6.00%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7,832,755</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7,757,882</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7,744,636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Premier Dental Services,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11/01/2018</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Consumer Services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8.25%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3,374,503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3,286,903</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3,382,939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RiverBoat Corporation of Mississippi </w:t>
            </w:r>
            <w:r>
              <w:rPr>
                <w:rFonts w:ascii="Arial" w:cs="Arial" w:eastAsia="Arial" w:hAnsi="Arial"/>
                <w:sz w:val="9"/>
                <w:szCs w:val="9"/>
                <w:color w:val="auto"/>
              </w:rPr>
              <w:t>(8)</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11/29/2016</w:t>
            </w:r>
          </w:p>
        </w:tc>
        <w:tc>
          <w:tcPr>
            <w:tcW w:w="1740" w:type="dxa"/>
            <w:vAlign w:val="bottom"/>
          </w:tcPr>
          <w:p>
            <w:pPr>
              <w:jc w:val="center"/>
              <w:spacing w:after="0"/>
              <w:rPr>
                <w:sz w:val="20"/>
                <w:szCs w:val="20"/>
                <w:color w:val="auto"/>
              </w:rPr>
            </w:pPr>
            <w:r>
              <w:rPr>
                <w:rFonts w:ascii="Arial" w:cs="Arial" w:eastAsia="Arial" w:hAnsi="Arial"/>
                <w:sz w:val="12"/>
                <w:szCs w:val="12"/>
                <w:color w:val="auto"/>
                <w:w w:val="88"/>
              </w:rPr>
              <w:t>Hotel, Gaming and Leisure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10.00%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L+875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4,250,000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4,188,136</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4,250,000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Sabre Industries,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08/24/2018</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0"/>
              </w:rPr>
              <w:t>Construction and Building</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5.75%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4,972,500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4,923,269</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5,009,794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SCE Partners, LLC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08/14/2019</w:t>
            </w:r>
          </w:p>
        </w:tc>
        <w:tc>
          <w:tcPr>
            <w:tcW w:w="1740" w:type="dxa"/>
            <w:vAlign w:val="bottom"/>
          </w:tcPr>
          <w:p>
            <w:pPr>
              <w:jc w:val="center"/>
              <w:spacing w:after="0"/>
              <w:rPr>
                <w:sz w:val="20"/>
                <w:szCs w:val="20"/>
                <w:color w:val="auto"/>
              </w:rPr>
            </w:pPr>
            <w:r>
              <w:rPr>
                <w:rFonts w:ascii="Arial" w:cs="Arial" w:eastAsia="Arial" w:hAnsi="Arial"/>
                <w:sz w:val="12"/>
                <w:szCs w:val="12"/>
                <w:color w:val="auto"/>
                <w:w w:val="88"/>
              </w:rPr>
              <w:t>Hotel, Gaming and Leisure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8.25%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L+725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w w:val="99"/>
              </w:rPr>
              <w:t>12,000,000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11,881,935</w:t>
            </w:r>
          </w:p>
        </w:tc>
        <w:tc>
          <w:tcPr>
            <w:tcW w:w="6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11,880,000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Securus Technologies Holdings,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04/30/2020</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Telecommunications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4.75%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L+350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2,000,000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1,981,121</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Sotera Defense Solutions,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04/21/2017</w:t>
            </w:r>
          </w:p>
        </w:tc>
        <w:tc>
          <w:tcPr>
            <w:tcW w:w="1740" w:type="dxa"/>
            <w:vAlign w:val="bottom"/>
          </w:tcPr>
          <w:p>
            <w:pPr>
              <w:jc w:val="center"/>
              <w:spacing w:after="0"/>
              <w:rPr>
                <w:sz w:val="20"/>
                <w:szCs w:val="20"/>
                <w:color w:val="auto"/>
              </w:rPr>
            </w:pPr>
            <w:r>
              <w:rPr>
                <w:rFonts w:ascii="Arial" w:cs="Arial" w:eastAsia="Arial" w:hAnsi="Arial"/>
                <w:sz w:val="12"/>
                <w:szCs w:val="12"/>
                <w:color w:val="auto"/>
                <w:w w:val="85"/>
              </w:rPr>
              <w:t>Aerospace and Defense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7.50%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2,646,725</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2,629,647</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2,382,052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St. George’s University Scholastic Services LLC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12/20/2017</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Consumer Services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8.50%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1,948,471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1,915,350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1,955,778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Surgical Specialties Corporation (US),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08/22/2018</w:t>
            </w:r>
          </w:p>
        </w:tc>
        <w:tc>
          <w:tcPr>
            <w:tcW w:w="17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7.25%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3,555,000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3,520,302</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3,590,550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Sutherland Global Services,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03/06/2019</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975,000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957,196</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971,344</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1"/>
              </w:rPr>
              <w:t>Basis Point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Current</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2"/>
              </w:rPr>
              <w:t>Par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540" w:type="dxa"/>
            <w:vAlign w:val="bottom"/>
            <w:gridSpan w:val="3"/>
            <w:vMerge w:val="continue"/>
          </w:tcPr>
          <w:p>
            <w:pPr>
              <w:spacing w:after="0"/>
              <w:rPr>
                <w:sz w:val="12"/>
                <w:szCs w:val="12"/>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Maturity</w:t>
            </w:r>
          </w:p>
        </w:tc>
        <w:tc>
          <w:tcPr>
            <w:tcW w:w="16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2"/>
              </w:rPr>
              <w:t>Industry</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Coupon</w:t>
            </w: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79"/>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Cost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The National Underwriter Company</w:t>
            </w: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05/31/2018</w:t>
            </w:r>
          </w:p>
        </w:tc>
        <w:tc>
          <w:tcPr>
            <w:tcW w:w="10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auto"/>
            </w:tcBorders>
            <w:shd w:val="clear" w:color="auto" w:fill="CCEEFF"/>
          </w:tcPr>
          <w:p>
            <w:pPr>
              <w:jc w:val="center"/>
              <w:spacing w:after="0" w:line="122" w:lineRule="exact"/>
              <w:rPr>
                <w:sz w:val="20"/>
                <w:szCs w:val="20"/>
                <w:color w:val="auto"/>
              </w:rPr>
            </w:pPr>
            <w:r>
              <w:rPr>
                <w:rFonts w:ascii="Arial" w:cs="Arial" w:eastAsia="Arial" w:hAnsi="Arial"/>
                <w:sz w:val="12"/>
                <w:szCs w:val="12"/>
                <w:color w:val="auto"/>
                <w:w w:val="90"/>
              </w:rPr>
              <w:t>Media: Advertising, Printing and</w:t>
            </w:r>
          </w:p>
        </w:tc>
        <w:tc>
          <w:tcPr>
            <w:tcW w:w="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320"/>
              <w:spacing w:after="0" w:line="122" w:lineRule="exact"/>
              <w:rPr>
                <w:sz w:val="20"/>
                <w:szCs w:val="20"/>
                <w:color w:val="auto"/>
              </w:rPr>
            </w:pPr>
            <w:r>
              <w:rPr>
                <w:rFonts w:ascii="Arial" w:cs="Arial" w:eastAsia="Arial" w:hAnsi="Arial"/>
                <w:sz w:val="12"/>
                <w:szCs w:val="12"/>
                <w:color w:val="auto"/>
                <w:w w:val="76"/>
              </w:rPr>
              <w:t>6.00</w:t>
            </w:r>
          </w:p>
        </w:tc>
        <w:tc>
          <w:tcPr>
            <w:tcW w:w="260" w:type="dxa"/>
            <w:vAlign w:val="bottom"/>
            <w:tcBorders>
              <w:top w:val="single" w:sz="8" w:color="CCEEFF"/>
            </w:tcBorders>
            <w:shd w:val="clear" w:color="auto" w:fill="CCEEFF"/>
          </w:tcPr>
          <w:p>
            <w:pPr>
              <w:jc w:val="right"/>
              <w:ind w:right="102"/>
              <w:spacing w:after="0" w:line="122" w:lineRule="exact"/>
              <w:rPr>
                <w:sz w:val="20"/>
                <w:szCs w:val="20"/>
                <w:color w:val="auto"/>
              </w:rPr>
            </w:pPr>
            <w:r>
              <w:rPr>
                <w:rFonts w:ascii="Arial" w:cs="Arial" w:eastAsia="Arial" w:hAnsi="Arial"/>
                <w:sz w:val="12"/>
                <w:szCs w:val="12"/>
                <w:color w:val="auto"/>
                <w:w w:val="74"/>
              </w:rPr>
              <w:t>%</w:t>
            </w:r>
          </w:p>
        </w:tc>
        <w:tc>
          <w:tcPr>
            <w:tcW w:w="6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L+475</w:t>
            </w:r>
          </w:p>
        </w:tc>
        <w:tc>
          <w:tcPr>
            <w:tcW w:w="1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4,415,625</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4,374,813</w:t>
            </w: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4,393,547</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0"/>
              </w:rPr>
              <w:t>Publishing</w:t>
            </w: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Therakos, Inc.</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12/27/2017</w:t>
            </w: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7.50%</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L+625</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2,977,500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2,899,121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2,973,778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8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04/16/2018</w:t>
            </w:r>
          </w:p>
        </w:tc>
        <w:tc>
          <w:tcPr>
            <w:tcW w:w="162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15.00%</w:t>
            </w:r>
          </w:p>
        </w:tc>
        <w:tc>
          <w:tcPr>
            <w:tcW w:w="8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L+1,350</w:t>
            </w:r>
          </w:p>
        </w:tc>
        <w:tc>
          <w:tcPr>
            <w:tcW w:w="6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2,112,349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2,074,200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2,096,507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(PIK 4.00%)</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Univita Health Inc.</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06/19/2017</w:t>
            </w: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85"/>
              </w:rPr>
              <w:t>Consumer Services</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6.50%</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L+500</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2,932,500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2,912,802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2,800,538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Viamedia Services Corp.</w:t>
            </w:r>
          </w:p>
        </w:tc>
        <w:tc>
          <w:tcPr>
            <w:tcW w:w="8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04/19/2016</w:t>
            </w:r>
          </w:p>
        </w:tc>
        <w:tc>
          <w:tcPr>
            <w:tcW w:w="162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91"/>
              </w:rPr>
              <w:t>Media: Advertising, Printing</w:t>
            </w:r>
          </w:p>
        </w:tc>
        <w:tc>
          <w:tcPr>
            <w:tcW w:w="780" w:type="dxa"/>
            <w:vAlign w:val="bottom"/>
            <w:gridSpan w:val="2"/>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7.00%</w:t>
            </w:r>
          </w:p>
        </w:tc>
        <w:tc>
          <w:tcPr>
            <w:tcW w:w="8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L+550</w:t>
            </w:r>
          </w:p>
        </w:tc>
        <w:tc>
          <w:tcPr>
            <w:tcW w:w="6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3,304,277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3,280,480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3,304,277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9"/>
              </w:rPr>
              <w:t>and</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0"/>
              </w:rPr>
              <w:t>Publishing</w:t>
            </w: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 xml:space="preserve">Virtual Radiologic Corporation </w:t>
            </w:r>
            <w:r>
              <w:rPr>
                <w:rFonts w:ascii="Arial" w:cs="Arial" w:eastAsia="Arial" w:hAnsi="Arial"/>
                <w:sz w:val="9"/>
                <w:szCs w:val="9"/>
                <w:color w:val="auto"/>
              </w:rPr>
              <w:t>(8)</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12/22/2016</w:t>
            </w:r>
          </w:p>
        </w:tc>
        <w:tc>
          <w:tcPr>
            <w:tcW w:w="1620" w:type="dxa"/>
            <w:vAlign w:val="bottom"/>
            <w:gridSpan w:val="2"/>
          </w:tcPr>
          <w:p>
            <w:pPr>
              <w:jc w:val="center"/>
              <w:ind w:right="60"/>
              <w:spacing w:after="0"/>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7.25%</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L+550</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2,932,500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2,916,949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1,847,475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Wilton Brands, LLC </w:t>
            </w:r>
            <w:r>
              <w:rPr>
                <w:rFonts w:ascii="Arial" w:cs="Arial" w:eastAsia="Arial" w:hAnsi="Arial"/>
                <w:sz w:val="9"/>
                <w:szCs w:val="9"/>
                <w:color w:val="auto"/>
              </w:rPr>
              <w:t>(8)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08/30/2018</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7.50%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L+625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3,230,000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3,177,789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3,165,400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gridSpan w:val="2"/>
          </w:tcPr>
          <w:p>
            <w:pPr>
              <w:spacing w:after="0" w:line="129" w:lineRule="exact"/>
              <w:rPr>
                <w:sz w:val="20"/>
                <w:szCs w:val="20"/>
                <w:color w:val="auto"/>
              </w:rPr>
            </w:pPr>
            <w:r>
              <w:rPr>
                <w:rFonts w:ascii="Arial" w:cs="Arial" w:eastAsia="Arial" w:hAnsi="Arial"/>
                <w:sz w:val="12"/>
                <w:szCs w:val="12"/>
                <w:color w:val="auto"/>
              </w:rPr>
              <w:t xml:space="preserve">YP LLC </w:t>
            </w:r>
            <w:r>
              <w:rPr>
                <w:rFonts w:ascii="Arial" w:cs="Arial" w:eastAsia="Arial" w:hAnsi="Arial"/>
                <w:sz w:val="9"/>
                <w:szCs w:val="9"/>
                <w:color w:val="auto"/>
              </w:rPr>
              <w:t>(8)</w:t>
            </w: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06/04/2018</w:t>
            </w:r>
          </w:p>
        </w:tc>
        <w:tc>
          <w:tcPr>
            <w:tcW w:w="162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91"/>
              </w:rPr>
              <w:t>Media: Advertising, Printing</w:t>
            </w:r>
          </w:p>
        </w:tc>
        <w:tc>
          <w:tcPr>
            <w:tcW w:w="780" w:type="dxa"/>
            <w:vAlign w:val="bottom"/>
            <w:gridSpan w:val="2"/>
          </w:tcPr>
          <w:p>
            <w:pPr>
              <w:jc w:val="right"/>
              <w:ind w:right="102"/>
              <w:spacing w:after="0" w:line="129" w:lineRule="exact"/>
              <w:rPr>
                <w:sz w:val="20"/>
                <w:szCs w:val="20"/>
                <w:color w:val="auto"/>
              </w:rPr>
            </w:pPr>
            <w:r>
              <w:rPr>
                <w:rFonts w:ascii="Arial" w:cs="Arial" w:eastAsia="Arial" w:hAnsi="Arial"/>
                <w:sz w:val="12"/>
                <w:szCs w:val="12"/>
                <w:color w:val="auto"/>
              </w:rPr>
              <w:t>8.06%</w:t>
            </w:r>
          </w:p>
        </w:tc>
        <w:tc>
          <w:tcPr>
            <w:tcW w:w="8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L+675</w:t>
            </w: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5,085,000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2"/>
                <w:szCs w:val="12"/>
                <w:color w:val="auto"/>
              </w:rPr>
              <w:t>4,964,517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5,046,863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and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Publishing</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Zest Anchors, LLC</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08/17/2020</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6.50%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L+550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9,000,000</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8,822,056</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8,887,500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40" w:type="dxa"/>
            <w:vAlign w:val="bottom"/>
            <w:gridSpan w:val="3"/>
          </w:tcPr>
          <w:p>
            <w:pPr>
              <w:spacing w:after="0"/>
              <w:rPr>
                <w:sz w:val="20"/>
                <w:szCs w:val="20"/>
                <w:color w:val="auto"/>
              </w:rPr>
            </w:pPr>
            <w:r>
              <w:rPr>
                <w:rFonts w:ascii="Arial" w:cs="Arial" w:eastAsia="Arial" w:hAnsi="Arial"/>
                <w:sz w:val="12"/>
                <w:szCs w:val="12"/>
                <w:b w:val="1"/>
                <w:bCs w:val="1"/>
                <w:color w:val="auto"/>
              </w:rPr>
              <w:t>Total First Lien Secured Debt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281,260,179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281,046,248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Second Lien Secured Debt—13.1%</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09/01/2017</w:t>
            </w: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Metals and Mining</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11.50%</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3,000,000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3,000,000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3,067,500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Arsloane Acquisition, LLC</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10/01/2020</w:t>
            </w:r>
          </w:p>
        </w:tc>
        <w:tc>
          <w:tcPr>
            <w:tcW w:w="162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11.75%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L+1,050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4,983,350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 xml:space="preserve">Brand Energy and Infrastructure Services, Inc. </w:t>
            </w:r>
            <w:r>
              <w:rPr>
                <w:rFonts w:ascii="Arial" w:cs="Arial" w:eastAsia="Arial" w:hAnsi="Arial"/>
                <w:sz w:val="9"/>
                <w:szCs w:val="9"/>
                <w:color w:val="auto"/>
              </w:rPr>
              <w:t>(8)</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10/23/2019</w:t>
            </w:r>
          </w:p>
        </w:tc>
        <w:tc>
          <w:tcPr>
            <w:tcW w:w="1620" w:type="dxa"/>
            <w:vAlign w:val="bottom"/>
            <w:gridSpan w:val="2"/>
          </w:tcPr>
          <w:p>
            <w:pPr>
              <w:jc w:val="center"/>
              <w:ind w:right="60"/>
              <w:spacing w:after="0"/>
              <w:rPr>
                <w:sz w:val="20"/>
                <w:szCs w:val="20"/>
                <w:color w:val="auto"/>
              </w:rPr>
            </w:pPr>
            <w:r>
              <w:rPr>
                <w:rFonts w:ascii="Arial" w:cs="Arial" w:eastAsia="Arial" w:hAnsi="Arial"/>
                <w:sz w:val="12"/>
                <w:szCs w:val="12"/>
                <w:color w:val="auto"/>
                <w:w w:val="88"/>
              </w:rPr>
              <w:t>Energy: Oil and Gas</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11.00%</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L+975</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1,906,607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1,861,523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1,946,322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Cannery Casino Resorts, LLC </w:t>
            </w:r>
            <w:r>
              <w:rPr>
                <w:rFonts w:ascii="Arial" w:cs="Arial" w:eastAsia="Arial" w:hAnsi="Arial"/>
                <w:sz w:val="9"/>
                <w:szCs w:val="9"/>
                <w:color w:val="auto"/>
              </w:rPr>
              <w:t>(8)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10/02/2019</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10.00%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L+875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1,671,746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1,576,750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 xml:space="preserve">Carolina Beverage Group, LLC </w:t>
            </w:r>
            <w:r>
              <w:rPr>
                <w:rFonts w:ascii="Arial" w:cs="Arial" w:eastAsia="Arial" w:hAnsi="Arial"/>
                <w:sz w:val="9"/>
                <w:szCs w:val="9"/>
                <w:color w:val="auto"/>
              </w:rPr>
              <w:t>(5), (8)</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08/01/2018</w:t>
            </w:r>
          </w:p>
        </w:tc>
        <w:tc>
          <w:tcPr>
            <w:tcW w:w="1620" w:type="dxa"/>
            <w:vAlign w:val="bottom"/>
            <w:gridSpan w:val="2"/>
          </w:tcPr>
          <w:p>
            <w:pPr>
              <w:jc w:val="center"/>
              <w:ind w:right="60"/>
              <w:spacing w:after="0"/>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10.63%</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3,500,000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3,500,000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3,578,750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Gastar Exploration USA, Inc. </w:t>
            </w:r>
            <w:r>
              <w:rPr>
                <w:rFonts w:ascii="Arial" w:cs="Arial" w:eastAsia="Arial" w:hAnsi="Arial"/>
                <w:sz w:val="9"/>
                <w:szCs w:val="9"/>
                <w:color w:val="auto"/>
              </w:rPr>
              <w:t>(5), (8)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05/15/2018</w:t>
            </w:r>
          </w:p>
        </w:tc>
        <w:tc>
          <w:tcPr>
            <w:tcW w:w="162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8"/>
              </w:rPr>
              <w:t>Energy: Oil and Gas</w:t>
            </w:r>
          </w:p>
        </w:tc>
        <w:tc>
          <w:tcPr>
            <w:tcW w:w="7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8.63%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1,890,000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ILC Industries, LLC</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06/14/2019</w:t>
            </w: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11.50%</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L+1,000</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2,000,000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1,920,000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1,840,000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Language Line, LLC</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12/20/2016</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5"/>
              </w:rPr>
              <w:t>Consumer Services</w:t>
            </w:r>
          </w:p>
        </w:tc>
        <w:tc>
          <w:tcPr>
            <w:tcW w:w="7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10.50%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L+875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6,998,223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6,981,643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 xml:space="preserve">Seven Seas Cruises </w:t>
            </w:r>
            <w:r>
              <w:rPr>
                <w:rFonts w:ascii="Arial" w:cs="Arial" w:eastAsia="Arial" w:hAnsi="Arial"/>
                <w:sz w:val="9"/>
                <w:szCs w:val="9"/>
                <w:color w:val="auto"/>
              </w:rPr>
              <w:t>(5), (6), (8)</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05/15/2019</w:t>
            </w: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9.13%</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1,500,000</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1,500,000</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1,635,000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27,351,492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27,499,315</w:t>
            </w:r>
          </w:p>
        </w:tc>
        <w:tc>
          <w:tcPr>
            <w:tcW w:w="0" w:type="dxa"/>
            <w:vAlign w:val="bottom"/>
          </w:tcPr>
          <w:p>
            <w:pPr>
              <w:spacing w:after="0"/>
              <w:rPr>
                <w:sz w:val="1"/>
                <w:szCs w:val="1"/>
                <w:color w:val="auto"/>
              </w:rPr>
            </w:pPr>
          </w:p>
        </w:tc>
      </w:tr>
      <w:tr>
        <w:trPr>
          <w:trHeight w:val="149"/>
        </w:trPr>
        <w:tc>
          <w:tcPr>
            <w:tcW w:w="45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Subordinated Debt/Corporate Notes—4.3% </w:t>
            </w:r>
            <w:r>
              <w:rPr>
                <w:rFonts w:ascii="Arial" w:cs="Arial" w:eastAsia="Arial" w:hAnsi="Arial"/>
                <w:sz w:val="9"/>
                <w:szCs w:val="9"/>
                <w:b w:val="1"/>
                <w:bCs w:val="1"/>
                <w:color w:val="auto"/>
              </w:rPr>
              <w:t>(8)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Affinion Group Holdings, Inc.</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11/15/2015</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7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11.63%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4,100,000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3,873,657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2,357,500</w:t>
            </w:r>
          </w:p>
        </w:tc>
        <w:tc>
          <w:tcPr>
            <w:tcW w:w="0" w:type="dxa"/>
            <w:vAlign w:val="bottom"/>
          </w:tcPr>
          <w:p>
            <w:pPr>
              <w:spacing w:after="0"/>
              <w:rPr>
                <w:sz w:val="1"/>
                <w:szCs w:val="1"/>
                <w:color w:val="auto"/>
              </w:rPr>
            </w:pPr>
          </w:p>
        </w:tc>
      </w:tr>
      <w:tr>
        <w:trPr>
          <w:trHeight w:val="250"/>
        </w:trPr>
        <w:tc>
          <w:tcPr>
            <w:tcW w:w="4540" w:type="dxa"/>
            <w:vAlign w:val="bottom"/>
            <w:gridSpan w:val="3"/>
          </w:tcPr>
          <w:p>
            <w:pPr>
              <w:spacing w:after="0"/>
              <w:rPr>
                <w:sz w:val="20"/>
                <w:szCs w:val="20"/>
                <w:color w:val="auto"/>
              </w:rPr>
            </w:pPr>
            <w:r>
              <w:rPr>
                <w:rFonts w:ascii="Arial" w:cs="Arial" w:eastAsia="Arial" w:hAnsi="Arial"/>
                <w:sz w:val="12"/>
                <w:szCs w:val="12"/>
                <w:color w:val="auto"/>
              </w:rPr>
              <w:t>Credit Infonet, Inc.</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10/26/2018</w:t>
            </w: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12.25%</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1,987,500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1,949,883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1,997,517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Varel International Energy Mezzanine Funding Corp.</w:t>
            </w: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01/15/2018</w:t>
            </w:r>
          </w:p>
        </w:tc>
        <w:tc>
          <w:tcPr>
            <w:tcW w:w="1620" w:type="dxa"/>
            <w:vAlign w:val="bottom"/>
            <w:gridSpan w:val="2"/>
            <w:shd w:val="clear" w:color="auto" w:fill="CCEEFF"/>
          </w:tcPr>
          <w:p>
            <w:pPr>
              <w:jc w:val="center"/>
              <w:ind w:right="60"/>
              <w:spacing w:after="0" w:line="136" w:lineRule="exact"/>
              <w:rPr>
                <w:sz w:val="20"/>
                <w:szCs w:val="20"/>
                <w:color w:val="auto"/>
              </w:rPr>
            </w:pPr>
            <w:r>
              <w:rPr>
                <w:rFonts w:ascii="Arial" w:cs="Arial" w:eastAsia="Arial" w:hAnsi="Arial"/>
                <w:sz w:val="12"/>
                <w:szCs w:val="12"/>
                <w:color w:val="auto"/>
                <w:w w:val="88"/>
              </w:rPr>
              <w:t>Energy: Oil and Gas</w:t>
            </w:r>
          </w:p>
        </w:tc>
        <w:tc>
          <w:tcPr>
            <w:tcW w:w="780" w:type="dxa"/>
            <w:vAlign w:val="bottom"/>
            <w:gridSpan w:val="2"/>
            <w:shd w:val="clear" w:color="auto" w:fill="CCEEFF"/>
          </w:tcPr>
          <w:p>
            <w:pPr>
              <w:jc w:val="right"/>
              <w:ind w:right="102"/>
              <w:spacing w:after="0" w:line="136" w:lineRule="exact"/>
              <w:rPr>
                <w:sz w:val="20"/>
                <w:szCs w:val="20"/>
                <w:color w:val="auto"/>
              </w:rPr>
            </w:pPr>
            <w:r>
              <w:rPr>
                <w:rFonts w:ascii="Arial" w:cs="Arial" w:eastAsia="Arial" w:hAnsi="Arial"/>
                <w:sz w:val="12"/>
                <w:szCs w:val="12"/>
                <w:color w:val="auto"/>
              </w:rPr>
              <w:t>14.00%</w:t>
            </w:r>
          </w:p>
        </w:tc>
        <w:tc>
          <w:tcPr>
            <w:tcW w:w="8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1,810,934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1,780,211</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1,793,834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(PIK 4.00%)</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gridSpan w:val="2"/>
          </w:tcPr>
          <w:p>
            <w:pPr>
              <w:spacing w:after="0" w:line="129" w:lineRule="exact"/>
              <w:rPr>
                <w:sz w:val="20"/>
                <w:szCs w:val="20"/>
                <w:color w:val="auto"/>
              </w:rPr>
            </w:pPr>
            <w:r>
              <w:rPr>
                <w:rFonts w:ascii="Arial" w:cs="Arial" w:eastAsia="Arial" w:hAnsi="Arial"/>
                <w:sz w:val="12"/>
                <w:szCs w:val="12"/>
                <w:color w:val="auto"/>
              </w:rPr>
              <w:t>Vestcom International, Inc.</w:t>
            </w: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06/27/2019</w:t>
            </w:r>
          </w:p>
        </w:tc>
        <w:tc>
          <w:tcPr>
            <w:tcW w:w="162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gridSpan w:val="2"/>
          </w:tcPr>
          <w:p>
            <w:pPr>
              <w:jc w:val="right"/>
              <w:ind w:right="102"/>
              <w:spacing w:after="0" w:line="129" w:lineRule="exact"/>
              <w:rPr>
                <w:sz w:val="20"/>
                <w:szCs w:val="20"/>
                <w:color w:val="auto"/>
              </w:rPr>
            </w:pPr>
            <w:r>
              <w:rPr>
                <w:rFonts w:ascii="Arial" w:cs="Arial" w:eastAsia="Arial" w:hAnsi="Arial"/>
                <w:sz w:val="12"/>
                <w:szCs w:val="12"/>
                <w:color w:val="auto"/>
              </w:rPr>
              <w:t>12.00%</w:t>
            </w:r>
          </w:p>
        </w:tc>
        <w:tc>
          <w:tcPr>
            <w:tcW w:w="84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2,859,027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2"/>
                <w:szCs w:val="12"/>
                <w:color w:val="auto"/>
              </w:rPr>
              <w:t>2,806,095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2,854,319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Publishing</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10,409,846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9,003,170</w:t>
            </w:r>
          </w:p>
        </w:tc>
        <w:tc>
          <w:tcPr>
            <w:tcW w:w="0" w:type="dxa"/>
            <w:vAlign w:val="bottom"/>
          </w:tcPr>
          <w:p>
            <w:pPr>
              <w:spacing w:after="0"/>
              <w:rPr>
                <w:sz w:val="1"/>
                <w:szCs w:val="1"/>
                <w:color w:val="auto"/>
              </w:rPr>
            </w:pPr>
          </w:p>
        </w:tc>
      </w:tr>
      <w:tr>
        <w:trPr>
          <w:trHeight w:val="149"/>
        </w:trPr>
        <w:tc>
          <w:tcPr>
            <w:tcW w:w="45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Equity/Warrants—0.1%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UniTek Global Services, Inc. (Warrants)</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56,717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95,284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66,926</w:t>
            </w:r>
          </w:p>
        </w:tc>
        <w:tc>
          <w:tcPr>
            <w:tcW w:w="0" w:type="dxa"/>
            <w:vAlign w:val="bottom"/>
          </w:tcPr>
          <w:p>
            <w:pPr>
              <w:spacing w:after="0"/>
              <w:rPr>
                <w:sz w:val="1"/>
                <w:szCs w:val="1"/>
                <w:color w:val="auto"/>
              </w:rPr>
            </w:pPr>
          </w:p>
        </w:tc>
      </w:tr>
      <w:tr>
        <w:trPr>
          <w:trHeight w:val="237"/>
        </w:trPr>
        <w:tc>
          <w:tcPr>
            <w:tcW w:w="4540" w:type="dxa"/>
            <w:vAlign w:val="bottom"/>
            <w:gridSpan w:val="3"/>
          </w:tcPr>
          <w:p>
            <w:pPr>
              <w:spacing w:after="0"/>
              <w:rPr>
                <w:sz w:val="20"/>
                <w:szCs w:val="20"/>
                <w:color w:val="auto"/>
              </w:rPr>
            </w:pPr>
            <w:r>
              <w:rPr>
                <w:rFonts w:ascii="Arial" w:cs="Arial" w:eastAsia="Arial" w:hAnsi="Arial"/>
                <w:sz w:val="12"/>
                <w:szCs w:val="12"/>
                <w:color w:val="auto"/>
              </w:rPr>
              <w:t>Vestcom Parent Holdings, Inc.</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Media: Advertising, Printing and</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gridSpan w:val="2"/>
          </w:tcPr>
          <w:p>
            <w:pPr>
              <w:ind w:left="100"/>
              <w:spacing w:after="0"/>
              <w:rPr>
                <w:sz w:val="20"/>
                <w:szCs w:val="20"/>
                <w:color w:val="auto"/>
              </w:rPr>
            </w:pPr>
            <w:r>
              <w:rPr>
                <w:rFonts w:ascii="Arial" w:cs="Arial" w:eastAsia="Arial" w:hAnsi="Arial"/>
                <w:sz w:val="12"/>
                <w:szCs w:val="12"/>
                <w:color w:val="auto"/>
              </w:rPr>
              <w:t>(Vestcom International, Inc.)</w:t>
            </w:r>
          </w:p>
        </w:tc>
        <w:tc>
          <w:tcPr>
            <w:tcW w:w="8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Publishing</w:t>
            </w:r>
          </w:p>
        </w:tc>
        <w:tc>
          <w:tcPr>
            <w:tcW w:w="780" w:type="dxa"/>
            <w:vAlign w:val="bottom"/>
            <w:gridSpan w:val="2"/>
          </w:tcPr>
          <w:p>
            <w:pPr>
              <w:jc w:val="right"/>
              <w:ind w:right="182"/>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15,179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166,667</w:t>
            </w:r>
          </w:p>
        </w:tc>
        <w:tc>
          <w:tcPr>
            <w:tcW w:w="1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188,235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Common Equity/Warrants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261,951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255,161</w:t>
            </w:r>
          </w:p>
        </w:tc>
        <w:tc>
          <w:tcPr>
            <w:tcW w:w="0" w:type="dxa"/>
            <w:vAlign w:val="bottom"/>
          </w:tcPr>
          <w:p>
            <w:pPr>
              <w:spacing w:after="0"/>
              <w:rPr>
                <w:sz w:val="1"/>
                <w:szCs w:val="1"/>
                <w:color w:val="auto"/>
              </w:rPr>
            </w:pPr>
          </w:p>
        </w:tc>
      </w:tr>
      <w:tr>
        <w:trPr>
          <w:trHeight w:val="149"/>
        </w:trPr>
        <w:tc>
          <w:tcPr>
            <w:tcW w:w="4540" w:type="dxa"/>
            <w:vAlign w:val="bottom"/>
            <w:gridSpan w:val="3"/>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319,283,468</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317,803,894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Cash Equivalents—2.2%</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BlackRock Liquidity Funds, Temp Cash, Institutional Shares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2,747,327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2,747,327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BlackRock Liquidity Funds, Temp Fund, Institutional Shares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1,830,922</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1,830,922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40" w:type="dxa"/>
            <w:vAlign w:val="bottom"/>
            <w:gridSpan w:val="3"/>
          </w:tcPr>
          <w:p>
            <w:pPr>
              <w:spacing w:after="0"/>
              <w:rPr>
                <w:sz w:val="20"/>
                <w:szCs w:val="20"/>
                <w:color w:val="auto"/>
              </w:rPr>
            </w:pPr>
            <w:r>
              <w:rPr>
                <w:rFonts w:ascii="Arial" w:cs="Arial" w:eastAsia="Arial" w:hAnsi="Arial"/>
                <w:sz w:val="12"/>
                <w:szCs w:val="12"/>
                <w:b w:val="1"/>
                <w:bCs w:val="1"/>
                <w:color w:val="auto"/>
              </w:rPr>
              <w:t>Total Cash Equivalents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4,578,249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4,578,249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Investments and Cash Equivalents—153.5%</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323,861,717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322,382,143</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Liabilities in Excess of Other Assets—(53.5)%</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54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(112,315,749)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Assets—100.0%</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210,066,394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5176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0"/>
          <w:szCs w:val="20"/>
          <w:color w:val="auto"/>
        </w:rPr>
      </w:pPr>
    </w:p>
    <w:p>
      <w:pPr>
        <w:ind w:left="340" w:right="60" w:hanging="332"/>
        <w:spacing w:after="0" w:line="252" w:lineRule="auto"/>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40" w:hanging="332"/>
        <w:spacing w:after="0" w:line="252" w:lineRule="auto"/>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20" w:lineRule="exact"/>
        <w:rPr>
          <w:rFonts w:ascii="Arial" w:cs="Arial" w:eastAsia="Arial" w:hAnsi="Arial"/>
          <w:sz w:val="12"/>
          <w:szCs w:val="12"/>
          <w:color w:val="auto"/>
        </w:rPr>
      </w:pPr>
    </w:p>
    <w:p>
      <w:pPr>
        <w:ind w:left="340" w:right="20" w:hanging="332"/>
        <w:spacing w:after="0" w:line="252" w:lineRule="auto"/>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82"/>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40" w:hanging="332"/>
        <w:spacing w:after="0"/>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securities are not pledged as collateral under the Credit Facility. All other securities are pledged as collateral under the Credit Facility.</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Represents the purchase of a security with delayed settlement (unfunded investment). This security does not have a basis point spread above an index.</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67" w:lineRule="exact"/>
        <w:rPr>
          <w:sz w:val="20"/>
          <w:szCs w:val="20"/>
          <w:color w:val="auto"/>
        </w:rPr>
      </w:pPr>
    </w:p>
    <w:p>
      <w:pPr>
        <w:ind w:right="220" w:firstLine="685"/>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3" w:lineRule="exact"/>
        <w:rPr>
          <w:sz w:val="20"/>
          <w:szCs w:val="20"/>
          <w:color w:val="auto"/>
        </w:rPr>
      </w:pPr>
    </w:p>
    <w:p>
      <w:pPr>
        <w:ind w:right="60" w:firstLine="685"/>
        <w:spacing w:after="0" w:line="228" w:lineRule="auto"/>
        <w:rPr>
          <w:sz w:val="20"/>
          <w:szCs w:val="20"/>
          <w:color w:val="auto"/>
        </w:rPr>
      </w:pPr>
      <w:r>
        <w:rPr>
          <w:rFonts w:ascii="Arial" w:cs="Arial" w:eastAsia="Arial" w:hAnsi="Arial"/>
          <w:sz w:val="14"/>
          <w:szCs w:val="14"/>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58" w:lineRule="exact"/>
        <w:rPr>
          <w:sz w:val="20"/>
          <w:szCs w:val="20"/>
          <w:color w:val="auto"/>
        </w:rPr>
      </w:pPr>
    </w:p>
    <w:p>
      <w:pPr>
        <w:ind w:right="880" w:firstLine="685"/>
        <w:spacing w:after="0" w:line="253" w:lineRule="auto"/>
        <w:rPr>
          <w:sz w:val="20"/>
          <w:szCs w:val="20"/>
          <w:color w:val="auto"/>
        </w:rPr>
      </w:pPr>
      <w:r>
        <w:rPr>
          <w:rFonts w:ascii="Arial" w:cs="Arial" w:eastAsia="Arial" w:hAnsi="Arial"/>
          <w:sz w:val="14"/>
          <w:szCs w:val="14"/>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133" w:lineRule="exact"/>
        <w:rPr>
          <w:sz w:val="20"/>
          <w:szCs w:val="20"/>
          <w:color w:val="auto"/>
        </w:rPr>
      </w:pPr>
    </w:p>
    <w:p>
      <w:pPr>
        <w:jc w:val="both"/>
        <w:ind w:right="60" w:firstLine="685"/>
        <w:spacing w:after="0" w:line="256"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five-year Credit Facility allows Funding I to borrow up to $200 million at LIBOR plus 200 basis points during the revolving period. The Credit Facility is secured by all of the assets held by Funding I. See Note 10.</w:t>
      </w:r>
    </w:p>
    <w:p>
      <w:pPr>
        <w:spacing w:after="0" w:line="132" w:lineRule="exact"/>
        <w:rPr>
          <w:sz w:val="20"/>
          <w:szCs w:val="20"/>
          <w:color w:val="auto"/>
        </w:rPr>
      </w:pPr>
    </w:p>
    <w:p>
      <w:pPr>
        <w:ind w:right="360" w:firstLine="685"/>
        <w:spacing w:after="0" w:line="253" w:lineRule="auto"/>
        <w:rPr>
          <w:sz w:val="20"/>
          <w:szCs w:val="20"/>
          <w:color w:val="auto"/>
        </w:rPr>
      </w:pPr>
      <w:r>
        <w:rPr>
          <w:rFonts w:ascii="Arial" w:cs="Arial" w:eastAsia="Arial" w:hAnsi="Arial"/>
          <w:sz w:val="14"/>
          <w:szCs w:val="14"/>
          <w:color w:val="auto"/>
        </w:rPr>
        <w:t>In April 2011, we closed our initial public offering and our common stock trades on the NASDAQ Global Select Market under the symbol “PFLT.” From inception to date, we have issued 14,889,367 shares of common stock for gross proceeds of $216.2 million, or $207.5 million after deducting the sales load and underwriting expenses paid by us.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67" w:lineRule="exact"/>
        <w:rPr>
          <w:sz w:val="20"/>
          <w:szCs w:val="20"/>
          <w:color w:val="auto"/>
        </w:rPr>
      </w:pPr>
    </w:p>
    <w:p>
      <w:pPr>
        <w:ind w:right="40" w:firstLine="685"/>
        <w:spacing w:after="0" w:line="251" w:lineRule="auto"/>
        <w:rPr>
          <w:sz w:val="20"/>
          <w:szCs w:val="20"/>
          <w:color w:val="auto"/>
        </w:rPr>
      </w:pPr>
      <w:r>
        <w:rPr>
          <w:rFonts w:ascii="Arial" w:cs="Arial" w:eastAsia="Arial" w:hAnsi="Arial"/>
          <w:sz w:val="13"/>
          <w:szCs w:val="13"/>
          <w:color w:val="auto"/>
        </w:rPr>
        <w:t>The preparation of our Consolidated Financial Statements in conformity with U.S.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50" w:lineRule="exact"/>
        <w:rPr>
          <w:sz w:val="20"/>
          <w:szCs w:val="20"/>
          <w:color w:val="auto"/>
        </w:rPr>
      </w:pPr>
    </w:p>
    <w:p>
      <w:pPr>
        <w:ind w:right="60" w:firstLine="685"/>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77" w:lineRule="exact"/>
        <w:rPr>
          <w:sz w:val="20"/>
          <w:szCs w:val="20"/>
          <w:color w:val="auto"/>
        </w:rPr>
      </w:pPr>
    </w:p>
    <w:p>
      <w:pPr>
        <w:ind w:right="20" w:firstLine="685"/>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38" w:lineRule="exact"/>
        <w:rPr>
          <w:sz w:val="20"/>
          <w:szCs w:val="20"/>
          <w:color w:val="auto"/>
        </w:rPr>
      </w:pPr>
    </w:p>
    <w:p>
      <w:pPr>
        <w:ind w:right="420" w:firstLine="685"/>
        <w:spacing w:after="0" w:line="253"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4" w:lineRule="exact"/>
        <w:rPr>
          <w:sz w:val="20"/>
          <w:szCs w:val="20"/>
          <w:color w:val="auto"/>
        </w:rPr>
      </w:pPr>
    </w:p>
    <w:p>
      <w:pPr>
        <w:ind w:left="900" w:hanging="446"/>
        <w:spacing w:after="0" w:line="253" w:lineRule="auto"/>
        <w:tabs>
          <w:tab w:leader="none" w:pos="9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73" w:lineRule="exact"/>
        <w:rPr>
          <w:rFonts w:ascii="Arial" w:cs="Arial" w:eastAsia="Arial" w:hAnsi="Arial"/>
          <w:sz w:val="14"/>
          <w:szCs w:val="14"/>
          <w:color w:val="auto"/>
        </w:rPr>
      </w:pPr>
    </w:p>
    <w:p>
      <w:pPr>
        <w:ind w:left="900" w:hanging="446"/>
        <w:spacing w:after="0"/>
        <w:tabs>
          <w:tab w:leader="none" w:pos="9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203" w:lineRule="exact"/>
        <w:rPr>
          <w:rFonts w:ascii="Arial" w:cs="Arial" w:eastAsia="Arial" w:hAnsi="Arial"/>
          <w:sz w:val="14"/>
          <w:szCs w:val="14"/>
          <w:color w:val="auto"/>
        </w:rPr>
      </w:pPr>
    </w:p>
    <w:p>
      <w:pPr>
        <w:jc w:val="both"/>
        <w:ind w:left="900" w:right="260" w:hanging="446"/>
        <w:spacing w:after="0" w:line="264" w:lineRule="auto"/>
        <w:tabs>
          <w:tab w:leader="none" w:pos="9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24" w:lineRule="exact"/>
        <w:rPr>
          <w:sz w:val="20"/>
          <w:szCs w:val="20"/>
          <w:color w:val="auto"/>
        </w:rPr>
      </w:pPr>
    </w:p>
    <w:p>
      <w:pPr>
        <w:jc w:val="both"/>
        <w:ind w:left="900" w:right="320" w:hanging="446"/>
        <w:spacing w:after="0" w:line="238" w:lineRule="auto"/>
        <w:tabs>
          <w:tab w:leader="none" w:pos="9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82" w:lineRule="exact"/>
        <w:rPr>
          <w:rFonts w:ascii="Arial" w:cs="Arial" w:eastAsia="Arial" w:hAnsi="Arial"/>
          <w:sz w:val="14"/>
          <w:szCs w:val="14"/>
          <w:color w:val="auto"/>
        </w:rPr>
      </w:pPr>
    </w:p>
    <w:p>
      <w:pPr>
        <w:ind w:left="900" w:right="320" w:hanging="446"/>
        <w:spacing w:after="0" w:line="253" w:lineRule="auto"/>
        <w:tabs>
          <w:tab w:leader="none" w:pos="9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47" w:lineRule="exact"/>
        <w:rPr>
          <w:sz w:val="20"/>
          <w:szCs w:val="20"/>
          <w:color w:val="auto"/>
        </w:rPr>
      </w:pPr>
    </w:p>
    <w:p>
      <w:pPr>
        <w:ind w:right="100" w:firstLine="685"/>
        <w:spacing w:after="0" w:line="251"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63"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55" w:lineRule="exact"/>
        <w:rPr>
          <w:sz w:val="20"/>
          <w:szCs w:val="20"/>
          <w:color w:val="auto"/>
        </w:rPr>
      </w:pPr>
    </w:p>
    <w:p>
      <w:pPr>
        <w:ind w:right="20" w:firstLine="685"/>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on liabilities which we do not fair value,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45" w:lineRule="exact"/>
        <w:rPr>
          <w:sz w:val="20"/>
          <w:szCs w:val="20"/>
          <w:color w:val="auto"/>
        </w:rPr>
      </w:pPr>
    </w:p>
    <w:p>
      <w:pPr>
        <w:ind w:right="180" w:firstLine="685"/>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Income Taxes</w:t>
      </w:r>
    </w:p>
    <w:p>
      <w:pPr>
        <w:spacing w:after="0" w:line="177" w:lineRule="exact"/>
        <w:rPr>
          <w:sz w:val="20"/>
          <w:szCs w:val="20"/>
          <w:color w:val="auto"/>
        </w:rPr>
      </w:pPr>
    </w:p>
    <w:p>
      <w:pPr>
        <w:ind w:right="80" w:firstLine="685"/>
        <w:spacing w:after="0" w:line="251" w:lineRule="auto"/>
        <w:rPr>
          <w:sz w:val="20"/>
          <w:szCs w:val="20"/>
          <w:color w:val="auto"/>
        </w:rPr>
      </w:pPr>
      <w:r>
        <w:rPr>
          <w:rFonts w:ascii="Arial" w:cs="Arial" w:eastAsia="Arial" w:hAnsi="Arial"/>
          <w:sz w:val="13"/>
          <w:szCs w:val="13"/>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taxation as a RIC, we do not anticipate paying any material level of federal income taxes in the future. Although we are not subject to federal income taxes as a RIC, we have elected to retain a portion of our calendar year income and accrue an excise tax of $0.5 million, $0.1 million and less than $0.1 million for the years ended September 30, 2014, 2013 and 2012, respectively.</w:t>
      </w:r>
    </w:p>
    <w:p>
      <w:pPr>
        <w:spacing w:after="0" w:line="137" w:lineRule="exact"/>
        <w:rPr>
          <w:sz w:val="20"/>
          <w:szCs w:val="20"/>
          <w:color w:val="auto"/>
        </w:rPr>
      </w:pPr>
    </w:p>
    <w:p>
      <w:pPr>
        <w:jc w:val="both"/>
        <w:ind w:right="80" w:firstLine="685"/>
        <w:spacing w:after="0" w:line="234" w:lineRule="auto"/>
        <w:rPr>
          <w:sz w:val="20"/>
          <w:szCs w:val="20"/>
          <w:color w:val="auto"/>
        </w:rPr>
      </w:pPr>
      <w:r>
        <w:rPr>
          <w:rFonts w:ascii="Arial" w:cs="Arial" w:eastAsia="Arial" w:hAnsi="Arial"/>
          <w:sz w:val="14"/>
          <w:szCs w:val="14"/>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w:t>
      </w:r>
    </w:p>
    <w:p>
      <w:pPr>
        <w:spacing w:after="0" w:line="142" w:lineRule="exact"/>
        <w:rPr>
          <w:sz w:val="20"/>
          <w:szCs w:val="20"/>
          <w:color w:val="auto"/>
        </w:rPr>
      </w:pPr>
    </w:p>
    <w:p>
      <w:pPr>
        <w:ind w:right="60" w:firstLine="685"/>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63" w:lineRule="exact"/>
        <w:rPr>
          <w:sz w:val="20"/>
          <w:szCs w:val="20"/>
          <w:color w:val="auto"/>
        </w:rPr>
      </w:pPr>
    </w:p>
    <w:p>
      <w:pPr>
        <w:ind w:right="260" w:firstLine="685"/>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42" w:lineRule="exact"/>
        <w:rPr>
          <w:sz w:val="20"/>
          <w:szCs w:val="20"/>
          <w:color w:val="auto"/>
        </w:rPr>
      </w:pPr>
    </w:p>
    <w:p>
      <w:pPr>
        <w:ind w:firstLine="685"/>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 Consolidation</w:t>
      </w:r>
    </w:p>
    <w:p>
      <w:pPr>
        <w:spacing w:after="0" w:line="163" w:lineRule="exact"/>
        <w:rPr>
          <w:sz w:val="20"/>
          <w:szCs w:val="20"/>
          <w:color w:val="auto"/>
        </w:rPr>
      </w:pPr>
    </w:p>
    <w:p>
      <w:pPr>
        <w:ind w:right="120" w:firstLine="685"/>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177" w:lineRule="exact"/>
        <w:rPr>
          <w:sz w:val="20"/>
          <w:szCs w:val="20"/>
          <w:color w:val="auto"/>
        </w:rPr>
      </w:pPr>
    </w:p>
    <w:p>
      <w:pPr>
        <w:ind w:right="100" w:firstLine="685"/>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affiliate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81" w:lineRule="exact"/>
        <w:rPr>
          <w:sz w:val="20"/>
          <w:szCs w:val="20"/>
          <w:color w:val="auto"/>
        </w:rPr>
      </w:pPr>
    </w:p>
    <w:p>
      <w:pPr>
        <w:ind w:firstLine="685"/>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Advisers, in February 2014.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2014</w:t>
      </w:r>
    </w:p>
    <w:p>
      <w:pPr>
        <w:spacing w:after="0" w:line="124" w:lineRule="exact"/>
        <w:rPr>
          <w:sz w:val="20"/>
          <w:szCs w:val="20"/>
          <w:color w:val="auto"/>
        </w:rPr>
      </w:pPr>
    </w:p>
    <w:p>
      <w:pPr>
        <w:ind w:firstLine="685"/>
        <w:spacing w:after="0" w:line="247"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2014, 2013 and 2012, the Investment Adviser earned a base management fee of $3.7 million, $2.2 million and $1.5 million, respectively, from us.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incentive fee has two parts, as follows:</w:t>
      </w:r>
    </w:p>
    <w:p>
      <w:pPr>
        <w:spacing w:after="0" w:line="163" w:lineRule="exact"/>
        <w:rPr>
          <w:sz w:val="20"/>
          <w:szCs w:val="20"/>
          <w:color w:val="auto"/>
        </w:rPr>
      </w:pPr>
    </w:p>
    <w:p>
      <w:pPr>
        <w:ind w:firstLine="571"/>
        <w:spacing w:after="0" w:line="260"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w:t>
      </w:r>
    </w:p>
    <w:p>
      <w:pPr>
        <w:spacing w:after="0" w:line="3"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2014, 2013 and 2012, the Investment Adviser earned $2.6 million, $1.5 million and $0.3 million, respectively, in incentive fees on net investment income from us.</w:t>
      </w:r>
    </w:p>
    <w:p>
      <w:pPr>
        <w:spacing w:after="0" w:line="145" w:lineRule="exact"/>
        <w:rPr>
          <w:sz w:val="20"/>
          <w:szCs w:val="20"/>
          <w:color w:val="auto"/>
        </w:rPr>
      </w:pPr>
    </w:p>
    <w:p>
      <w:pPr>
        <w:ind w:right="20" w:firstLine="685"/>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2014, 2013 and 2012 the Investment Adviser earned an incentive fee on capital gains of approximately $0.8 million, zero and zero, respectively, as calculated under the Investment Management Agreement (as described above).</w:t>
      </w:r>
    </w:p>
    <w:p>
      <w:pPr>
        <w:spacing w:after="0" w:line="157" w:lineRule="exact"/>
        <w:rPr>
          <w:sz w:val="20"/>
          <w:szCs w:val="20"/>
          <w:color w:val="auto"/>
        </w:rPr>
      </w:pPr>
    </w:p>
    <w:p>
      <w:pPr>
        <w:ind w:firstLine="571"/>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2014, 2013 and 2012 was $0.1 million, $0.4 million and $0.3 million, respectively.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5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SEPTEMBER 30, 2014</w:t>
      </w:r>
    </w:p>
    <w:p>
      <w:pPr>
        <w:spacing w:after="0" w:line="124" w:lineRule="exact"/>
        <w:rPr>
          <w:sz w:val="20"/>
          <w:szCs w:val="20"/>
          <w:color w:val="auto"/>
        </w:rPr>
      </w:pPr>
    </w:p>
    <w:p>
      <w:pPr>
        <w:ind w:firstLine="685"/>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2014.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years ended September 30, 2014, 2013 and 2012, the Investment Adviser was reimbursed approximately $0.5 million, $0.3 million and $0.2 million, respectively, from us, including expenses the Investment Adviser incurred on behalf of the Administrator, for services described above.</w:t>
      </w:r>
    </w:p>
    <w:p>
      <w:pPr>
        <w:spacing w:after="0" w:line="152" w:lineRule="exact"/>
        <w:rPr>
          <w:sz w:val="20"/>
          <w:szCs w:val="20"/>
          <w:color w:val="auto"/>
        </w:rPr>
      </w:pPr>
    </w:p>
    <w:p>
      <w:pPr>
        <w:ind w:right="20" w:firstLine="685"/>
        <w:spacing w:after="0" w:line="231" w:lineRule="auto"/>
        <w:rPr>
          <w:sz w:val="20"/>
          <w:szCs w:val="20"/>
          <w:color w:val="auto"/>
        </w:rPr>
      </w:pPr>
      <w:r>
        <w:rPr>
          <w:rFonts w:ascii="Arial" w:cs="Arial" w:eastAsia="Arial" w:hAnsi="Arial"/>
          <w:sz w:val="14"/>
          <w:szCs w:val="14"/>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quarter ended December 31, 2012 and repaid approximately $2.1 million to the Investment Adviser, who then purchased shares of our common stock in the secondary market.</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81" w:lineRule="exact"/>
        <w:rPr>
          <w:sz w:val="20"/>
          <w:szCs w:val="20"/>
          <w:color w:val="auto"/>
        </w:rPr>
      </w:pPr>
    </w:p>
    <w:p>
      <w:pPr>
        <w:ind w:right="320" w:firstLine="685"/>
        <w:spacing w:after="0" w:line="253" w:lineRule="auto"/>
        <w:rPr>
          <w:sz w:val="20"/>
          <w:szCs w:val="20"/>
          <w:color w:val="auto"/>
        </w:rPr>
      </w:pPr>
      <w:r>
        <w:rPr>
          <w:rFonts w:ascii="Arial" w:cs="Arial" w:eastAsia="Arial" w:hAnsi="Arial"/>
          <w:sz w:val="14"/>
          <w:szCs w:val="14"/>
          <w:color w:val="auto"/>
        </w:rPr>
        <w:t>Purchases of investments, including PIK, for the years ended September 30, 2014, 2013 and 2012 totaled $248.8 million, $316.9 million and $128.8 million, respectively. Sales and repayments of investments for the same periods totaled $225.6 million, $174.9 million and $71.3 million, respectively.</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43"/>
        </w:trPr>
        <w:tc>
          <w:tcPr>
            <w:tcW w:w="5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Investment Classification</w:t>
            </w: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2"/>
                <w:szCs w:val="12"/>
                <w:b w:val="1"/>
                <w:bCs w:val="1"/>
                <w:color w:val="auto"/>
              </w:rPr>
              <w:t>September 30, 2014</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2"/>
                <w:szCs w:val="12"/>
                <w:b w:val="1"/>
                <w:bCs w:val="1"/>
                <w:color w:val="auto"/>
              </w:rPr>
              <w:t>September 30, 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91"/>
              <w:spacing w:after="0"/>
              <w:rPr>
                <w:sz w:val="20"/>
                <w:szCs w:val="20"/>
                <w:color w:val="auto"/>
              </w:rPr>
            </w:pPr>
            <w:r>
              <w:rPr>
                <w:rFonts w:ascii="Arial" w:cs="Arial" w:eastAsia="Arial" w:hAnsi="Arial"/>
                <w:sz w:val="12"/>
                <w:szCs w:val="12"/>
                <w:b w:val="1"/>
                <w:bCs w:val="1"/>
                <w:color w:val="auto"/>
              </w:rPr>
              <w:t>Cost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50"/>
              <w:spacing w:after="0"/>
              <w:rPr>
                <w:sz w:val="20"/>
                <w:szCs w:val="20"/>
                <w:color w:val="auto"/>
              </w:rPr>
            </w:pPr>
            <w:r>
              <w:rPr>
                <w:rFonts w:ascii="Arial" w:cs="Arial" w:eastAsia="Arial" w:hAnsi="Arial"/>
                <w:sz w:val="12"/>
                <w:szCs w:val="12"/>
                <w:b w:val="1"/>
                <w:bCs w:val="1"/>
                <w:color w:val="auto"/>
              </w:rPr>
              <w:t>Fair Value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91"/>
              <w:spacing w:after="0"/>
              <w:rPr>
                <w:sz w:val="20"/>
                <w:szCs w:val="20"/>
                <w:color w:val="auto"/>
              </w:rPr>
            </w:pPr>
            <w:r>
              <w:rPr>
                <w:rFonts w:ascii="Arial" w:cs="Arial" w:eastAsia="Arial" w:hAnsi="Arial"/>
                <w:sz w:val="12"/>
                <w:szCs w:val="12"/>
                <w:b w:val="1"/>
                <w:bCs w:val="1"/>
                <w:color w:val="auto"/>
              </w:rPr>
              <w:t>Cost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302,889,195</w:t>
            </w:r>
          </w:p>
        </w:tc>
        <w:tc>
          <w:tcPr>
            <w:tcW w:w="4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302,565,355</w:t>
            </w:r>
          </w:p>
        </w:tc>
        <w:tc>
          <w:tcPr>
            <w:tcW w:w="4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281,260,179</w:t>
            </w:r>
          </w:p>
        </w:tc>
        <w:tc>
          <w:tcPr>
            <w:tcW w:w="4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281,046,248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36,193,947</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36,474,784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27,351,492</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27,499,315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7,335,452</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7,073,685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10,409,846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9,003,170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Preferred equity / common equity / warrants</w:t>
            </w: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1,935,701</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2,314,668</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261,951</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255,161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3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348,354,295</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348,428,492</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319,283,468</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317,803,894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440" w:type="dxa"/>
            <w:vAlign w:val="bottom"/>
            <w:gridSpan w:val="2"/>
          </w:tcPr>
          <w:p>
            <w:pPr>
              <w:spacing w:after="0" w:line="155" w:lineRule="exact"/>
              <w:rPr>
                <w:sz w:val="20"/>
                <w:szCs w:val="20"/>
                <w:color w:val="auto"/>
              </w:rPr>
            </w:pPr>
            <w:r>
              <w:rPr>
                <w:rFonts w:ascii="Arial" w:cs="Arial" w:eastAsia="Arial" w:hAnsi="Arial"/>
                <w:sz w:val="14"/>
                <w:szCs w:val="14"/>
                <w:color w:val="auto"/>
              </w:rPr>
              <w:t>Cash equivalents</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4,578,249</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4,578,249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4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361,468,112</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361,542,309</w:t>
            </w:r>
          </w:p>
        </w:tc>
        <w:tc>
          <w:tcPr>
            <w:tcW w:w="5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323,861,717</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322,382,143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57"/>
        </w:trPr>
        <w:tc>
          <w:tcPr>
            <w:tcW w:w="3780" w:type="dxa"/>
            <w:vAlign w:val="bottom"/>
            <w:gridSpan w:val="2"/>
          </w:tcPr>
          <w:p>
            <w:pPr>
              <w:spacing w:after="0"/>
              <w:rPr>
                <w:sz w:val="20"/>
                <w:szCs w:val="20"/>
                <w:color w:val="auto"/>
              </w:rPr>
            </w:pPr>
            <w:r>
              <w:rPr>
                <w:rFonts w:ascii="Arial" w:cs="Arial" w:eastAsia="Arial" w:hAnsi="Arial"/>
                <w:sz w:val="12"/>
                <w:szCs w:val="12"/>
                <w:b w:val="1"/>
                <w:bCs w:val="1"/>
                <w:color w:val="auto"/>
              </w:rPr>
              <w:t>Industry Classification</w:t>
            </w:r>
          </w:p>
        </w:tc>
        <w:tc>
          <w:tcPr>
            <w:tcW w:w="2660" w:type="dxa"/>
            <w:vAlign w:val="bottom"/>
          </w:tcPr>
          <w:p>
            <w:pPr>
              <w:spacing w:after="0"/>
              <w:rPr>
                <w:sz w:val="13"/>
                <w:szCs w:val="13"/>
                <w:color w:val="auto"/>
              </w:rPr>
            </w:pPr>
          </w:p>
        </w:tc>
        <w:tc>
          <w:tcPr>
            <w:tcW w:w="2320" w:type="dxa"/>
            <w:vAlign w:val="bottom"/>
            <w:gridSpan w:val="3"/>
          </w:tcPr>
          <w:p>
            <w:pPr>
              <w:jc w:val="right"/>
              <w:ind w:right="540"/>
              <w:spacing w:after="0"/>
              <w:rPr>
                <w:sz w:val="20"/>
                <w:szCs w:val="20"/>
                <w:color w:val="auto"/>
              </w:rPr>
            </w:pPr>
            <w:r>
              <w:rPr>
                <w:rFonts w:ascii="Arial" w:cs="Arial" w:eastAsia="Arial" w:hAnsi="Arial"/>
                <w:sz w:val="12"/>
                <w:szCs w:val="12"/>
                <w:b w:val="1"/>
                <w:bCs w:val="1"/>
                <w:color w:val="auto"/>
              </w:rPr>
              <w:t>September 30, 2014</w:t>
            </w:r>
          </w:p>
        </w:tc>
        <w:tc>
          <w:tcPr>
            <w:tcW w:w="15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September 30, 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Healthcare and Pharmaceuticals</w:t>
            </w:r>
          </w:p>
        </w:tc>
        <w:tc>
          <w:tcPr>
            <w:tcW w:w="266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52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rPr>
              <w:t>16%</w:t>
            </w:r>
          </w:p>
        </w:tc>
        <w:tc>
          <w:tcPr>
            <w:tcW w:w="400" w:type="dxa"/>
            <w:vAlign w:val="bottom"/>
            <w:vMerge w:val="continue"/>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High Tech Industries</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Consumer Services</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Hotel, Gaming and Leisure</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Consumer Goods: Durable</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Banking, Finance, Insurance and Real Estate</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Aerospace and Defense</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Automotive</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Consumer Goods: Non-Durable</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Energy: Oil and Gas</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Beverage, Food and Tobacco</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Construction and Building</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2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Metals and Mining</w:t>
            </w:r>
          </w:p>
        </w:tc>
        <w:tc>
          <w:tcPr>
            <w:tcW w:w="2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All Other</w:t>
            </w:r>
          </w:p>
        </w:tc>
        <w:tc>
          <w:tcPr>
            <w:tcW w:w="2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460" w:type="dxa"/>
            <w:vAlign w:val="bottom"/>
            <w:gridSpan w:val="2"/>
            <w:shd w:val="clear" w:color="auto" w:fill="CCEEFF"/>
          </w:tcPr>
          <w:p>
            <w:pPr>
              <w:spacing w:after="0"/>
              <w:rPr>
                <w:sz w:val="12"/>
                <w:szCs w:val="12"/>
                <w:color w:val="auto"/>
              </w:rPr>
            </w:pPr>
          </w:p>
        </w:tc>
        <w:tc>
          <w:tcPr>
            <w:tcW w:w="15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15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980" w:type="dxa"/>
            <w:vAlign w:val="bottom"/>
            <w:gridSpan w:val="4"/>
          </w:tcPr>
          <w:p>
            <w:pPr>
              <w:jc w:val="right"/>
              <w:ind w:right="3480"/>
              <w:spacing w:after="0"/>
              <w:rPr>
                <w:sz w:val="20"/>
                <w:szCs w:val="20"/>
                <w:color w:val="auto"/>
              </w:rPr>
            </w:pPr>
            <w:r>
              <w:rPr>
                <w:rFonts w:ascii="Arial" w:cs="Arial" w:eastAsia="Arial" w:hAnsi="Arial"/>
                <w:sz w:val="14"/>
                <w:szCs w:val="14"/>
                <w:color w:val="auto"/>
              </w:rPr>
              <w:t>F-18</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81" w:lineRule="exact"/>
        <w:rPr>
          <w:sz w:val="20"/>
          <w:szCs w:val="20"/>
          <w:color w:val="auto"/>
        </w:rPr>
      </w:pPr>
    </w:p>
    <w:p>
      <w:pPr>
        <w:ind w:right="160" w:firstLine="685"/>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04"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63" w:lineRule="exact"/>
        <w:rPr>
          <w:sz w:val="20"/>
          <w:szCs w:val="20"/>
          <w:color w:val="auto"/>
        </w:rPr>
      </w:pPr>
    </w:p>
    <w:p>
      <w:pPr>
        <w:ind w:left="1400" w:right="620" w:hanging="823"/>
        <w:spacing w:after="0" w:line="238" w:lineRule="auto"/>
        <w:tabs>
          <w:tab w:leader="none" w:pos="13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2" w:lineRule="exact"/>
        <w:rPr>
          <w:sz w:val="20"/>
          <w:szCs w:val="20"/>
          <w:color w:val="auto"/>
        </w:rPr>
      </w:pPr>
    </w:p>
    <w:p>
      <w:pPr>
        <w:ind w:left="1400" w:right="1060" w:hanging="823"/>
        <w:spacing w:after="0" w:line="253" w:lineRule="auto"/>
        <w:tabs>
          <w:tab w:leader="none" w:pos="13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33" w:lineRule="exact"/>
        <w:rPr>
          <w:sz w:val="20"/>
          <w:szCs w:val="20"/>
          <w:color w:val="auto"/>
        </w:rPr>
      </w:pPr>
    </w:p>
    <w:p>
      <w:pPr>
        <w:ind w:right="120" w:firstLine="685"/>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41" w:lineRule="exact"/>
        <w:rPr>
          <w:sz w:val="20"/>
          <w:szCs w:val="20"/>
          <w:color w:val="auto"/>
        </w:rPr>
      </w:pPr>
    </w:p>
    <w:p>
      <w:pPr>
        <w:ind w:right="20" w:firstLine="571"/>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40" w:firstLine="685"/>
        <w:spacing w:after="0" w:line="231" w:lineRule="auto"/>
        <w:rPr>
          <w:sz w:val="20"/>
          <w:szCs w:val="20"/>
          <w:color w:val="auto"/>
        </w:rPr>
      </w:pPr>
      <w:r>
        <w:rPr>
          <w:rFonts w:ascii="Arial" w:cs="Arial" w:eastAsia="Arial" w:hAnsi="Arial"/>
          <w:sz w:val="14"/>
          <w:szCs w:val="14"/>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4" w:lineRule="exact"/>
        <w:rPr>
          <w:sz w:val="20"/>
          <w:szCs w:val="20"/>
          <w:color w:val="auto"/>
        </w:rPr>
      </w:pPr>
    </w:p>
    <w:p>
      <w:pPr>
        <w:ind w:right="80" w:firstLine="685"/>
        <w:spacing w:after="0" w:line="234"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for the years ended September 30, 2014 and 2013 has resulted in no and one reclassifications, respectively, from Level 3 to 2 as outlined in the table below.</w:t>
      </w:r>
    </w:p>
    <w:p>
      <w:pPr>
        <w:spacing w:after="0" w:line="155" w:lineRule="exact"/>
        <w:rPr>
          <w:sz w:val="20"/>
          <w:szCs w:val="20"/>
          <w:color w:val="auto"/>
        </w:rPr>
      </w:pPr>
    </w:p>
    <w:p>
      <w:pPr>
        <w:ind w:right="140" w:firstLine="685"/>
        <w:spacing w:after="0" w:line="291"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0" w:lineRule="exact"/>
        <w:rPr>
          <w:sz w:val="20"/>
          <w:szCs w:val="20"/>
          <w:color w:val="auto"/>
        </w:rPr>
      </w:pPr>
    </w:p>
    <w:p>
      <w:pPr>
        <w:ind w:right="120" w:firstLine="685"/>
        <w:spacing w:after="0" w:line="234"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42" w:lineRule="exact"/>
        <w:rPr>
          <w:sz w:val="20"/>
          <w:szCs w:val="20"/>
          <w:color w:val="auto"/>
        </w:rPr>
      </w:pPr>
    </w:p>
    <w:p>
      <w:pPr>
        <w:ind w:firstLine="571"/>
        <w:spacing w:after="0" w:line="246"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Asset Category</w:t>
            </w:r>
          </w:p>
        </w:tc>
        <w:tc>
          <w:tcPr>
            <w:tcW w:w="160" w:type="dxa"/>
            <w:vAlign w:val="bottom"/>
          </w:tcPr>
          <w:p>
            <w:pPr>
              <w:spacing w:after="0"/>
              <w:rPr>
                <w:sz w:val="12"/>
                <w:szCs w:val="12"/>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Fair Value as of</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0"/>
              </w:rPr>
              <w:t>Range of Input</w:t>
            </w:r>
          </w:p>
        </w:tc>
        <w:tc>
          <w:tcPr>
            <w:tcW w:w="0" w:type="dxa"/>
            <w:vAlign w:val="bottom"/>
          </w:tcPr>
          <w:p>
            <w:pPr>
              <w:spacing w:after="0"/>
              <w:rPr>
                <w:sz w:val="1"/>
                <w:szCs w:val="1"/>
                <w:color w:val="auto"/>
              </w:rPr>
            </w:pPr>
          </w:p>
        </w:tc>
      </w:tr>
      <w:tr>
        <w:trPr>
          <w:trHeight w:val="143"/>
        </w:trPr>
        <w:tc>
          <w:tcPr>
            <w:tcW w:w="5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September 30, 2014</w:t>
            </w:r>
          </w:p>
        </w:tc>
        <w:tc>
          <w:tcPr>
            <w:tcW w:w="17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Valuation Technique</w:t>
            </w:r>
          </w:p>
        </w:tc>
        <w:tc>
          <w:tcPr>
            <w:tcW w:w="1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Unobservable Input</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86"/>
              </w:rPr>
              <w:t>(Weighted Average)</w:t>
            </w:r>
          </w:p>
        </w:tc>
        <w:tc>
          <w:tcPr>
            <w:tcW w:w="0" w:type="dxa"/>
            <w:vAlign w:val="bottom"/>
          </w:tcPr>
          <w:p>
            <w:pPr>
              <w:spacing w:after="0"/>
              <w:rPr>
                <w:sz w:val="1"/>
                <w:szCs w:val="1"/>
                <w:color w:val="auto"/>
              </w:rPr>
            </w:pPr>
          </w:p>
        </w:tc>
      </w:tr>
      <w:tr>
        <w:trPr>
          <w:trHeight w:val="142"/>
        </w:trPr>
        <w:tc>
          <w:tcPr>
            <w:tcW w:w="49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282,659,683</w:t>
            </w:r>
          </w:p>
        </w:tc>
        <w:tc>
          <w:tcPr>
            <w:tcW w:w="3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5120" w:type="dxa"/>
            <w:vAlign w:val="bottom"/>
            <w:gridSpan w:val="2"/>
          </w:tcPr>
          <w:p>
            <w:pPr>
              <w:spacing w:after="0" w:line="130" w:lineRule="exact"/>
              <w:rPr>
                <w:sz w:val="20"/>
                <w:szCs w:val="20"/>
                <w:color w:val="auto"/>
              </w:rPr>
            </w:pPr>
            <w:r>
              <w:rPr>
                <w:rFonts w:ascii="Arial" w:cs="Arial" w:eastAsia="Arial" w:hAnsi="Arial"/>
                <w:sz w:val="14"/>
                <w:szCs w:val="14"/>
                <w:color w:val="auto"/>
              </w:rPr>
              <w:t>Debt investments</w:t>
            </w:r>
          </w:p>
        </w:tc>
        <w:tc>
          <w:tcPr>
            <w:tcW w:w="160" w:type="dxa"/>
            <w:vAlign w:val="bottom"/>
          </w:tcPr>
          <w:p>
            <w:pPr>
              <w:spacing w:after="0"/>
              <w:rPr>
                <w:sz w:val="11"/>
                <w:szCs w:val="11"/>
                <w:color w:val="auto"/>
              </w:rPr>
            </w:pPr>
          </w:p>
        </w:tc>
        <w:tc>
          <w:tcPr>
            <w:tcW w:w="160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58,304,473</w:t>
            </w:r>
          </w:p>
        </w:tc>
        <w:tc>
          <w:tcPr>
            <w:tcW w:w="170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7"/>
              </w:rPr>
              <w:t>Market Yield</w:t>
            </w:r>
          </w:p>
        </w:tc>
        <w:tc>
          <w:tcPr>
            <w:tcW w:w="1060" w:type="dxa"/>
            <w:vAlign w:val="bottom"/>
          </w:tcPr>
          <w:p>
            <w:pPr>
              <w:jc w:val="center"/>
              <w:spacing w:after="0" w:line="130" w:lineRule="exact"/>
              <w:rPr>
                <w:sz w:val="20"/>
                <w:szCs w:val="20"/>
                <w:color w:val="auto"/>
              </w:rPr>
            </w:pPr>
            <w:r>
              <w:rPr>
                <w:rFonts w:ascii="Arial" w:cs="Arial" w:eastAsia="Arial" w:hAnsi="Arial"/>
                <w:sz w:val="14"/>
                <w:szCs w:val="14"/>
                <w:color w:val="auto"/>
                <w:w w:val="94"/>
              </w:rPr>
              <w:t>6.5% – 14.1%</w:t>
            </w:r>
          </w:p>
        </w:tc>
        <w:tc>
          <w:tcPr>
            <w:tcW w:w="0" w:type="dxa"/>
            <w:vAlign w:val="bottom"/>
          </w:tcPr>
          <w:p>
            <w:pPr>
              <w:spacing w:after="0"/>
              <w:rPr>
                <w:sz w:val="1"/>
                <w:szCs w:val="1"/>
                <w:color w:val="auto"/>
              </w:rPr>
            </w:pPr>
          </w:p>
        </w:tc>
      </w:tr>
      <w:tr>
        <w:trPr>
          <w:trHeight w:val="181"/>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(11.6%)</w:t>
            </w:r>
          </w:p>
        </w:tc>
        <w:tc>
          <w:tcPr>
            <w:tcW w:w="0" w:type="dxa"/>
            <w:vAlign w:val="bottom"/>
          </w:tcPr>
          <w:p>
            <w:pPr>
              <w:spacing w:after="0"/>
              <w:rPr>
                <w:sz w:val="1"/>
                <w:szCs w:val="1"/>
                <w:color w:val="auto"/>
              </w:rPr>
            </w:pPr>
          </w:p>
        </w:tc>
      </w:tr>
      <w:tr>
        <w:trPr>
          <w:trHeight w:val="149"/>
        </w:trPr>
        <w:tc>
          <w:tcPr>
            <w:tcW w:w="5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1,062,806</w:t>
            </w:r>
          </w:p>
        </w:tc>
        <w:tc>
          <w:tcPr>
            <w:tcW w:w="17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Broker/Dealer bid quotes</w:t>
            </w: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5120" w:type="dxa"/>
            <w:vAlign w:val="bottom"/>
            <w:gridSpan w:val="2"/>
          </w:tcPr>
          <w:p>
            <w:pPr>
              <w:spacing w:after="0" w:line="130" w:lineRule="exact"/>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1"/>
                <w:szCs w:val="11"/>
                <w:color w:val="auto"/>
              </w:rPr>
            </w:pPr>
          </w:p>
        </w:tc>
        <w:tc>
          <w:tcPr>
            <w:tcW w:w="160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1,245,623</w:t>
            </w:r>
          </w:p>
        </w:tc>
        <w:tc>
          <w:tcPr>
            <w:tcW w:w="170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3"/>
              </w:rPr>
              <w:t>Enterprise Market Value</w:t>
            </w:r>
          </w:p>
        </w:tc>
        <w:tc>
          <w:tcPr>
            <w:tcW w:w="178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rPr>
              <w:t>EBITDA multiple</w:t>
            </w:r>
          </w:p>
        </w:tc>
        <w:tc>
          <w:tcPr>
            <w:tcW w:w="1060" w:type="dxa"/>
            <w:vAlign w:val="bottom"/>
          </w:tcPr>
          <w:p>
            <w:pPr>
              <w:jc w:val="center"/>
              <w:spacing w:after="0" w:line="130" w:lineRule="exact"/>
              <w:rPr>
                <w:sz w:val="20"/>
                <w:szCs w:val="20"/>
                <w:color w:val="auto"/>
              </w:rPr>
            </w:pPr>
            <w:r>
              <w:rPr>
                <w:rFonts w:ascii="Arial" w:cs="Arial" w:eastAsia="Arial" w:hAnsi="Arial"/>
                <w:sz w:val="14"/>
                <w:szCs w:val="14"/>
                <w:color w:val="auto"/>
                <w:w w:val="96"/>
              </w:rPr>
              <w:t>5.0x – 9.5x</w:t>
            </w:r>
          </w:p>
        </w:tc>
        <w:tc>
          <w:tcPr>
            <w:tcW w:w="0" w:type="dxa"/>
            <w:vAlign w:val="bottom"/>
          </w:tcPr>
          <w:p>
            <w:pPr>
              <w:spacing w:after="0"/>
              <w:rPr>
                <w:sz w:val="1"/>
                <w:szCs w:val="1"/>
                <w:color w:val="auto"/>
              </w:rPr>
            </w:pPr>
          </w:p>
        </w:tc>
      </w:tr>
      <w:tr>
        <w:trPr>
          <w:trHeight w:val="174"/>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(7.6x)</w:t>
            </w:r>
          </w:p>
        </w:tc>
        <w:tc>
          <w:tcPr>
            <w:tcW w:w="0" w:type="dxa"/>
            <w:vAlign w:val="bottom"/>
          </w:tcPr>
          <w:p>
            <w:pPr>
              <w:spacing w:after="0"/>
              <w:rPr>
                <w:sz w:val="1"/>
                <w:szCs w:val="1"/>
                <w:color w:val="auto"/>
              </w:rPr>
            </w:pPr>
          </w:p>
        </w:tc>
      </w:tr>
      <w:tr>
        <w:trPr>
          <w:trHeight w:val="149"/>
        </w:trPr>
        <w:tc>
          <w:tcPr>
            <w:tcW w:w="51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Level 3 investments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343,272,585</w:t>
            </w: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4"/>
              </w:rPr>
              <w:t>Market Comparable</w:t>
            </w: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7"/>
              </w:rPr>
              <w:t>Market Yield</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3.6%</w:t>
            </w:r>
          </w:p>
        </w:tc>
        <w:tc>
          <w:tcPr>
            <w:tcW w:w="0" w:type="dxa"/>
            <w:vAlign w:val="bottom"/>
          </w:tcPr>
          <w:p>
            <w:pPr>
              <w:spacing w:after="0" w:line="20" w:lineRule="exact"/>
              <w:rPr>
                <w:sz w:val="1"/>
                <w:szCs w:val="1"/>
                <w:color w:val="auto"/>
              </w:rPr>
            </w:pPr>
          </w:p>
        </w:tc>
      </w:tr>
      <w:tr>
        <w:trPr>
          <w:trHeight w:val="143"/>
        </w:trPr>
        <w:tc>
          <w:tcPr>
            <w:tcW w:w="5120" w:type="dxa"/>
            <w:vAlign w:val="bottom"/>
            <w:gridSpan w:val="2"/>
            <w:vMerge w:val="continue"/>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146,949,000</w:t>
            </w:r>
          </w:p>
        </w:tc>
        <w:tc>
          <w:tcPr>
            <w:tcW w:w="3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Asset Category</w:t>
            </w:r>
          </w:p>
        </w:tc>
        <w:tc>
          <w:tcPr>
            <w:tcW w:w="160" w:type="dxa"/>
            <w:vAlign w:val="bottom"/>
          </w:tcPr>
          <w:p>
            <w:pPr>
              <w:spacing w:after="0"/>
              <w:rPr>
                <w:sz w:val="24"/>
                <w:szCs w:val="2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Fair Value as of</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0"/>
              </w:rPr>
              <w:t>Range of Input</w:t>
            </w:r>
          </w:p>
        </w:tc>
        <w:tc>
          <w:tcPr>
            <w:tcW w:w="0" w:type="dxa"/>
            <w:vAlign w:val="bottom"/>
          </w:tcPr>
          <w:p>
            <w:pPr>
              <w:spacing w:after="0"/>
              <w:rPr>
                <w:sz w:val="1"/>
                <w:szCs w:val="1"/>
                <w:color w:val="auto"/>
              </w:rPr>
            </w:pPr>
          </w:p>
        </w:tc>
      </w:tr>
      <w:tr>
        <w:trPr>
          <w:trHeight w:val="143"/>
        </w:trPr>
        <w:tc>
          <w:tcPr>
            <w:tcW w:w="5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September 30, 2013</w:t>
            </w:r>
          </w:p>
        </w:tc>
        <w:tc>
          <w:tcPr>
            <w:tcW w:w="17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Valuation Technique</w:t>
            </w:r>
          </w:p>
        </w:tc>
        <w:tc>
          <w:tcPr>
            <w:tcW w:w="1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Unobservable Input</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86"/>
              </w:rPr>
              <w:t>(Weighted Average)</w:t>
            </w:r>
          </w:p>
        </w:tc>
        <w:tc>
          <w:tcPr>
            <w:tcW w:w="0" w:type="dxa"/>
            <w:vAlign w:val="bottom"/>
          </w:tcPr>
          <w:p>
            <w:pPr>
              <w:spacing w:after="0"/>
              <w:rPr>
                <w:sz w:val="1"/>
                <w:szCs w:val="1"/>
                <w:color w:val="auto"/>
              </w:rPr>
            </w:pPr>
          </w:p>
        </w:tc>
      </w:tr>
      <w:tr>
        <w:trPr>
          <w:trHeight w:val="142"/>
        </w:trPr>
        <w:tc>
          <w:tcPr>
            <w:tcW w:w="49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298,655,677</w:t>
            </w:r>
          </w:p>
        </w:tc>
        <w:tc>
          <w:tcPr>
            <w:tcW w:w="3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5120" w:type="dxa"/>
            <w:vAlign w:val="bottom"/>
            <w:gridSpan w:val="2"/>
          </w:tcPr>
          <w:p>
            <w:pPr>
              <w:spacing w:after="0" w:line="130" w:lineRule="exact"/>
              <w:rPr>
                <w:sz w:val="20"/>
                <w:szCs w:val="20"/>
                <w:color w:val="auto"/>
              </w:rPr>
            </w:pPr>
            <w:r>
              <w:rPr>
                <w:rFonts w:ascii="Arial" w:cs="Arial" w:eastAsia="Arial" w:hAnsi="Arial"/>
                <w:sz w:val="14"/>
                <w:szCs w:val="14"/>
                <w:color w:val="auto"/>
              </w:rPr>
              <w:t>Debt investments</w:t>
            </w:r>
          </w:p>
        </w:tc>
        <w:tc>
          <w:tcPr>
            <w:tcW w:w="160" w:type="dxa"/>
            <w:vAlign w:val="bottom"/>
          </w:tcPr>
          <w:p>
            <w:pPr>
              <w:spacing w:after="0"/>
              <w:rPr>
                <w:sz w:val="11"/>
                <w:szCs w:val="11"/>
                <w:color w:val="auto"/>
              </w:rPr>
            </w:pPr>
          </w:p>
        </w:tc>
        <w:tc>
          <w:tcPr>
            <w:tcW w:w="160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14,900,556</w:t>
            </w:r>
          </w:p>
        </w:tc>
        <w:tc>
          <w:tcPr>
            <w:tcW w:w="170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7"/>
              </w:rPr>
              <w:t>Market Yield</w:t>
            </w:r>
          </w:p>
        </w:tc>
        <w:tc>
          <w:tcPr>
            <w:tcW w:w="1060" w:type="dxa"/>
            <w:vAlign w:val="bottom"/>
          </w:tcPr>
          <w:p>
            <w:pPr>
              <w:jc w:val="center"/>
              <w:spacing w:after="0" w:line="130" w:lineRule="exact"/>
              <w:rPr>
                <w:sz w:val="20"/>
                <w:szCs w:val="20"/>
                <w:color w:val="auto"/>
              </w:rPr>
            </w:pPr>
            <w:r>
              <w:rPr>
                <w:rFonts w:ascii="Arial" w:cs="Arial" w:eastAsia="Arial" w:hAnsi="Arial"/>
                <w:sz w:val="14"/>
                <w:szCs w:val="14"/>
                <w:color w:val="auto"/>
                <w:w w:val="94"/>
              </w:rPr>
              <w:t>7.3% – 15.2%</w:t>
            </w:r>
          </w:p>
        </w:tc>
        <w:tc>
          <w:tcPr>
            <w:tcW w:w="0" w:type="dxa"/>
            <w:vAlign w:val="bottom"/>
          </w:tcPr>
          <w:p>
            <w:pPr>
              <w:spacing w:after="0"/>
              <w:rPr>
                <w:sz w:val="1"/>
                <w:szCs w:val="1"/>
                <w:color w:val="auto"/>
              </w:rPr>
            </w:pPr>
          </w:p>
        </w:tc>
      </w:tr>
      <w:tr>
        <w:trPr>
          <w:trHeight w:val="181"/>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(11.7%)</w:t>
            </w:r>
          </w:p>
        </w:tc>
        <w:tc>
          <w:tcPr>
            <w:tcW w:w="0" w:type="dxa"/>
            <w:vAlign w:val="bottom"/>
          </w:tcPr>
          <w:p>
            <w:pPr>
              <w:spacing w:after="0"/>
              <w:rPr>
                <w:sz w:val="1"/>
                <w:szCs w:val="1"/>
                <w:color w:val="auto"/>
              </w:rPr>
            </w:pPr>
          </w:p>
        </w:tc>
      </w:tr>
      <w:tr>
        <w:trPr>
          <w:trHeight w:val="149"/>
        </w:trPr>
        <w:tc>
          <w:tcPr>
            <w:tcW w:w="5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188,235</w:t>
            </w:r>
          </w:p>
        </w:tc>
        <w:tc>
          <w:tcPr>
            <w:tcW w:w="17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3"/>
              </w:rPr>
              <w:t>Enterprise Market Value</w:t>
            </w:r>
          </w:p>
        </w:tc>
        <w:tc>
          <w:tcPr>
            <w:tcW w:w="17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rPr>
              <w:t>EBITDA multiple</w:t>
            </w: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7.0x</w:t>
            </w:r>
          </w:p>
        </w:tc>
        <w:tc>
          <w:tcPr>
            <w:tcW w:w="0" w:type="dxa"/>
            <w:vAlign w:val="bottom"/>
          </w:tcPr>
          <w:p>
            <w:pPr>
              <w:spacing w:after="0"/>
              <w:rPr>
                <w:sz w:val="1"/>
                <w:szCs w:val="1"/>
                <w:color w:val="auto"/>
              </w:rPr>
            </w:pPr>
          </w:p>
        </w:tc>
      </w:tr>
      <w:tr>
        <w:trPr>
          <w:trHeight w:val="156"/>
        </w:trPr>
        <w:tc>
          <w:tcPr>
            <w:tcW w:w="512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313,744,468</w:t>
            </w: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99,600,000</w:t>
            </w:r>
          </w:p>
        </w:tc>
        <w:tc>
          <w:tcPr>
            <w:tcW w:w="170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7"/>
              </w:rPr>
              <w:t>Market Yield</w:t>
            </w:r>
          </w:p>
        </w:tc>
        <w:tc>
          <w:tcPr>
            <w:tcW w:w="10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investments, cash equivalents and Credit Facility were categorized as follows in the fair value hierarchy for ASC 820 purposes: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380" w:type="dxa"/>
            <w:vAlign w:val="bottom"/>
            <w:vMerge w:val="restart"/>
          </w:tcPr>
          <w:p>
            <w:pPr>
              <w:spacing w:after="0"/>
              <w:rPr>
                <w:sz w:val="20"/>
                <w:szCs w:val="20"/>
                <w:color w:val="auto"/>
              </w:rPr>
            </w:pPr>
            <w:r>
              <w:rPr>
                <w:rFonts w:ascii="Arial" w:cs="Arial" w:eastAsia="Arial" w:hAnsi="Arial"/>
                <w:sz w:val="12"/>
                <w:szCs w:val="12"/>
                <w:b w:val="1"/>
                <w:bCs w:val="1"/>
                <w:color w:val="auto"/>
              </w:rPr>
              <w:t>Description</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2"/>
                <w:szCs w:val="12"/>
                <w:b w:val="1"/>
                <w:bCs w:val="1"/>
                <w:color w:val="auto"/>
              </w:rPr>
              <w:t>Fair Value at September 30, 2014</w:t>
            </w: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Level 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Level 2</w:t>
            </w:r>
          </w:p>
        </w:tc>
        <w:tc>
          <w:tcPr>
            <w:tcW w:w="300" w:type="dxa"/>
            <w:vAlign w:val="bottom"/>
          </w:tcPr>
          <w:p>
            <w:pPr>
              <w:spacing w:after="0"/>
              <w:rPr>
                <w:sz w:val="12"/>
                <w:szCs w:val="12"/>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42"/>
        </w:trPr>
        <w:tc>
          <w:tcPr>
            <w:tcW w:w="4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1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302,565,355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302,565,355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36,474,784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36,474,784</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7,073,685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5,149,668</w:t>
            </w: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1,924,017</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2,314,668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6,239</w:t>
            </w: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2,308,429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348,428,492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5,155,907</w:t>
            </w: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343,272,585</w:t>
            </w:r>
          </w:p>
        </w:tc>
        <w:tc>
          <w:tcPr>
            <w:tcW w:w="0" w:type="dxa"/>
            <w:vAlign w:val="bottom"/>
          </w:tcPr>
          <w:p>
            <w:pPr>
              <w:spacing w:after="0"/>
              <w:rPr>
                <w:sz w:val="1"/>
                <w:szCs w:val="1"/>
                <w:color w:val="auto"/>
              </w:rPr>
            </w:pPr>
          </w:p>
        </w:tc>
      </w:tr>
      <w:tr>
        <w:trPr>
          <w:trHeight w:val="163"/>
        </w:trPr>
        <w:tc>
          <w:tcPr>
            <w:tcW w:w="4380" w:type="dxa"/>
            <w:vAlign w:val="bottom"/>
          </w:tcPr>
          <w:p>
            <w:pPr>
              <w:spacing w:after="0" w:line="155" w:lineRule="exact"/>
              <w:rPr>
                <w:sz w:val="20"/>
                <w:szCs w:val="20"/>
                <w:color w:val="auto"/>
              </w:rPr>
            </w:pPr>
            <w:r>
              <w:rPr>
                <w:rFonts w:ascii="Arial" w:cs="Arial" w:eastAsia="Arial" w:hAnsi="Arial"/>
                <w:sz w:val="14"/>
                <w:szCs w:val="14"/>
                <w:color w:val="auto"/>
              </w:rPr>
              <w:t>Cash equivalents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equivalents</w:t>
            </w:r>
          </w:p>
        </w:tc>
        <w:tc>
          <w:tcPr>
            <w:tcW w:w="1540" w:type="dxa"/>
            <w:vAlign w:val="bottom"/>
            <w:gridSpan w:val="2"/>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361,542,309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13,113,817</w:t>
            </w:r>
          </w:p>
        </w:tc>
        <w:tc>
          <w:tcPr>
            <w:tcW w:w="32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5,155,907</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343,272,585</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8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146,949,000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146,949,000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vMerge w:val="restart"/>
          </w:tcPr>
          <w:p>
            <w:pPr>
              <w:spacing w:after="0"/>
              <w:rPr>
                <w:sz w:val="20"/>
                <w:szCs w:val="20"/>
                <w:color w:val="auto"/>
              </w:rPr>
            </w:pPr>
            <w:r>
              <w:rPr>
                <w:rFonts w:ascii="Arial" w:cs="Arial" w:eastAsia="Arial" w:hAnsi="Arial"/>
                <w:sz w:val="12"/>
                <w:szCs w:val="12"/>
                <w:b w:val="1"/>
                <w:bCs w:val="1"/>
                <w:color w:val="auto"/>
              </w:rPr>
              <w:t>Description</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2"/>
                <w:szCs w:val="12"/>
                <w:b w:val="1"/>
                <w:bCs w:val="1"/>
                <w:color w:val="auto"/>
              </w:rPr>
              <w:t>Fair Value at September 30, 2013</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Level 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Level 2</w:t>
            </w:r>
          </w:p>
        </w:tc>
        <w:tc>
          <w:tcPr>
            <w:tcW w:w="300" w:type="dxa"/>
            <w:vAlign w:val="bottom"/>
          </w:tcPr>
          <w:p>
            <w:pPr>
              <w:spacing w:after="0"/>
              <w:rPr>
                <w:sz w:val="12"/>
                <w:szCs w:val="12"/>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42"/>
        </w:trPr>
        <w:tc>
          <w:tcPr>
            <w:tcW w:w="4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1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281,046,248</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281,046,248</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27,499,315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1,635,000</w:t>
            </w: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25,864,315</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9,003,170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2,357,500</w:t>
            </w: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6,645,670</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255,161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66,926</w:t>
            </w: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188,235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317,803,894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4,059,426</w:t>
            </w: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313,744,468</w:t>
            </w:r>
          </w:p>
        </w:tc>
        <w:tc>
          <w:tcPr>
            <w:tcW w:w="0" w:type="dxa"/>
            <w:vAlign w:val="bottom"/>
          </w:tcPr>
          <w:p>
            <w:pPr>
              <w:spacing w:after="0"/>
              <w:rPr>
                <w:sz w:val="1"/>
                <w:szCs w:val="1"/>
                <w:color w:val="auto"/>
              </w:rPr>
            </w:pPr>
          </w:p>
        </w:tc>
      </w:tr>
      <w:tr>
        <w:trPr>
          <w:trHeight w:val="163"/>
        </w:trPr>
        <w:tc>
          <w:tcPr>
            <w:tcW w:w="4380" w:type="dxa"/>
            <w:vAlign w:val="bottom"/>
          </w:tcPr>
          <w:p>
            <w:pPr>
              <w:spacing w:after="0" w:line="155" w:lineRule="exact"/>
              <w:rPr>
                <w:sz w:val="20"/>
                <w:szCs w:val="20"/>
                <w:color w:val="auto"/>
              </w:rPr>
            </w:pPr>
            <w:r>
              <w:rPr>
                <w:rFonts w:ascii="Arial" w:cs="Arial" w:eastAsia="Arial" w:hAnsi="Arial"/>
                <w:sz w:val="14"/>
                <w:szCs w:val="14"/>
                <w:color w:val="auto"/>
              </w:rPr>
              <w:t>Cash equivalents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4,578,249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4,578,249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equivalents</w:t>
            </w:r>
          </w:p>
        </w:tc>
        <w:tc>
          <w:tcPr>
            <w:tcW w:w="1540" w:type="dxa"/>
            <w:vAlign w:val="bottom"/>
            <w:gridSpan w:val="2"/>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322,382,143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4,578,249</w:t>
            </w:r>
          </w:p>
        </w:tc>
        <w:tc>
          <w:tcPr>
            <w:tcW w:w="32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4,059,426</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313,744,468</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8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99,600,000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99,600,000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380" w:type="dxa"/>
            <w:vAlign w:val="bottom"/>
          </w:tcPr>
          <w:p>
            <w:pPr>
              <w:spacing w:after="0"/>
              <w:rPr>
                <w:sz w:val="24"/>
                <w:szCs w:val="24"/>
                <w:color w:val="auto"/>
              </w:rPr>
            </w:pPr>
          </w:p>
        </w:tc>
        <w:tc>
          <w:tcPr>
            <w:tcW w:w="1740" w:type="dxa"/>
            <w:vAlign w:val="bottom"/>
            <w:gridSpan w:val="3"/>
          </w:tcPr>
          <w:p>
            <w:pPr>
              <w:jc w:val="right"/>
              <w:ind w:right="188"/>
              <w:spacing w:after="0"/>
              <w:rPr>
                <w:sz w:val="20"/>
                <w:szCs w:val="20"/>
                <w:color w:val="auto"/>
              </w:rPr>
            </w:pPr>
            <w:r>
              <w:rPr>
                <w:rFonts w:ascii="Arial" w:cs="Arial" w:eastAsia="Arial" w:hAnsi="Arial"/>
                <w:sz w:val="14"/>
                <w:szCs w:val="14"/>
                <w:color w:val="auto"/>
              </w:rPr>
              <w:t>F-20</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w w:val="88"/>
              </w:rPr>
              <w:t>Year Ended September 30, 2014</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80"/>
              <w:spacing w:after="0" w:line="121" w:lineRule="exact"/>
              <w:rPr>
                <w:sz w:val="20"/>
                <w:szCs w:val="20"/>
                <w:color w:val="auto"/>
              </w:rPr>
            </w:pPr>
            <w:r>
              <w:rPr>
                <w:rFonts w:ascii="Arial" w:cs="Arial" w:eastAsia="Arial" w:hAnsi="Arial"/>
                <w:sz w:val="12"/>
                <w:szCs w:val="12"/>
                <w:b w:val="1"/>
                <w:bCs w:val="1"/>
                <w:color w:val="auto"/>
                <w:w w:val="84"/>
              </w:rPr>
              <w:t>Second lien,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400"/>
              <w:spacing w:after="0" w:line="135" w:lineRule="exact"/>
              <w:rPr>
                <w:sz w:val="20"/>
                <w:szCs w:val="20"/>
                <w:color w:val="auto"/>
              </w:rPr>
            </w:pPr>
            <w:r>
              <w:rPr>
                <w:rFonts w:ascii="Arial" w:cs="Arial" w:eastAsia="Arial" w:hAnsi="Arial"/>
                <w:sz w:val="12"/>
                <w:szCs w:val="12"/>
                <w:b w:val="1"/>
                <w:bCs w:val="1"/>
                <w:color w:val="auto"/>
                <w:w w:val="86"/>
              </w:rPr>
              <w:t>subordinated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Description</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400"/>
              <w:spacing w:after="0" w:line="135" w:lineRule="exact"/>
              <w:rPr>
                <w:sz w:val="20"/>
                <w:szCs w:val="20"/>
                <w:color w:val="auto"/>
              </w:rPr>
            </w:pPr>
            <w:r>
              <w:rPr>
                <w:rFonts w:ascii="Arial" w:cs="Arial" w:eastAsia="Arial" w:hAnsi="Arial"/>
                <w:sz w:val="12"/>
                <w:szCs w:val="12"/>
                <w:b w:val="1"/>
                <w:bCs w:val="1"/>
                <w:color w:val="auto"/>
                <w:w w:val="87"/>
              </w:rPr>
              <w:t>debt and equity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First Lien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2"/>
              </w:rPr>
              <w:t>investments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281,046,248</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32,698,220</w:t>
            </w:r>
          </w:p>
        </w:tc>
        <w:tc>
          <w:tcPr>
            <w:tcW w:w="2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313,744,468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80"/>
              <w:spacing w:after="0" w:line="149" w:lineRule="exact"/>
              <w:rPr>
                <w:sz w:val="20"/>
                <w:szCs w:val="20"/>
                <w:color w:val="auto"/>
              </w:rPr>
            </w:pPr>
            <w:r>
              <w:rPr>
                <w:rFonts w:ascii="Arial" w:cs="Arial" w:eastAsia="Arial" w:hAnsi="Arial"/>
                <w:sz w:val="14"/>
                <w:szCs w:val="14"/>
                <w:color w:val="auto"/>
              </w:rPr>
              <w:t>Realized gains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2,097,241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774,948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2,872,189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Unrealized (depreciation) appreciation</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(109,909)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567,020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457,111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80"/>
              <w:spacing w:after="0" w:line="149" w:lineRule="exact"/>
              <w:rPr>
                <w:sz w:val="20"/>
                <w:szCs w:val="20"/>
                <w:color w:val="auto"/>
              </w:rPr>
            </w:pPr>
            <w:r>
              <w:rPr>
                <w:rFonts w:ascii="Arial" w:cs="Arial" w:eastAsia="Arial" w:hAnsi="Arial"/>
                <w:sz w:val="14"/>
                <w:szCs w:val="14"/>
                <w:color w:val="auto"/>
              </w:rPr>
              <w:t>Purchases, PIK and net discount accretion and non-cash exchanges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221,495,119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28,675,897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250,171,016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repayments and exchanges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(201,963,344)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(22,008,855)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(223,972,199)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80"/>
              <w:spacing w:after="0" w:line="149" w:lineRule="exact"/>
              <w:rPr>
                <w:sz w:val="20"/>
                <w:szCs w:val="20"/>
                <w:color w:val="auto"/>
              </w:rPr>
            </w:pPr>
            <w:r>
              <w:rPr>
                <w:rFonts w:ascii="Arial" w:cs="Arial" w:eastAsia="Arial" w:hAnsi="Arial"/>
                <w:sz w:val="14"/>
                <w:szCs w:val="14"/>
                <w:color w:val="auto"/>
              </w:rPr>
              <w:t>Transfers in and/or out of Level 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302,565,355</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40,707,230</w:t>
            </w:r>
          </w:p>
        </w:tc>
        <w:tc>
          <w:tcPr>
            <w:tcW w:w="2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343,272,585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 appreciation on</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80" w:type="dxa"/>
            <w:vAlign w:val="bottom"/>
          </w:tcPr>
          <w:p>
            <w:pPr>
              <w:ind w:left="140"/>
              <w:spacing w:after="0"/>
              <w:rPr>
                <w:sz w:val="20"/>
                <w:szCs w:val="20"/>
                <w:color w:val="auto"/>
              </w:rPr>
            </w:pPr>
            <w:r>
              <w:rPr>
                <w:rFonts w:ascii="Arial" w:cs="Arial" w:eastAsia="Arial" w:hAnsi="Arial"/>
                <w:sz w:val="14"/>
                <w:szCs w:val="14"/>
                <w:color w:val="auto"/>
                <w:w w:val="93"/>
              </w:rPr>
              <w:t>investments in our Consolidated Statement of Operations attributable to our Level 3 assets still held at the reporting date.</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(327,255)</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523,666</w:t>
            </w:r>
          </w:p>
        </w:tc>
        <w:tc>
          <w:tcPr>
            <w:tcW w:w="2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196,411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w w:val="88"/>
              </w:rPr>
              <w:t>Year Ended September 30, 2013</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80"/>
              <w:spacing w:after="0" w:line="121" w:lineRule="exact"/>
              <w:rPr>
                <w:sz w:val="20"/>
                <w:szCs w:val="20"/>
                <w:color w:val="auto"/>
              </w:rPr>
            </w:pPr>
            <w:r>
              <w:rPr>
                <w:rFonts w:ascii="Arial" w:cs="Arial" w:eastAsia="Arial" w:hAnsi="Arial"/>
                <w:sz w:val="12"/>
                <w:szCs w:val="12"/>
                <w:b w:val="1"/>
                <w:bCs w:val="1"/>
                <w:color w:val="auto"/>
                <w:w w:val="84"/>
              </w:rPr>
              <w:t>Second lien,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400"/>
              <w:spacing w:after="0" w:line="135" w:lineRule="exact"/>
              <w:rPr>
                <w:sz w:val="20"/>
                <w:szCs w:val="20"/>
                <w:color w:val="auto"/>
              </w:rPr>
            </w:pPr>
            <w:r>
              <w:rPr>
                <w:rFonts w:ascii="Arial" w:cs="Arial" w:eastAsia="Arial" w:hAnsi="Arial"/>
                <w:sz w:val="12"/>
                <w:szCs w:val="12"/>
                <w:b w:val="1"/>
                <w:bCs w:val="1"/>
                <w:color w:val="auto"/>
                <w:w w:val="86"/>
              </w:rPr>
              <w:t>subordinated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Description</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400"/>
              <w:spacing w:after="0" w:line="135" w:lineRule="exact"/>
              <w:rPr>
                <w:sz w:val="20"/>
                <w:szCs w:val="20"/>
                <w:color w:val="auto"/>
              </w:rPr>
            </w:pPr>
            <w:r>
              <w:rPr>
                <w:rFonts w:ascii="Arial" w:cs="Arial" w:eastAsia="Arial" w:hAnsi="Arial"/>
                <w:sz w:val="12"/>
                <w:szCs w:val="12"/>
                <w:b w:val="1"/>
                <w:bCs w:val="1"/>
                <w:color w:val="auto"/>
                <w:w w:val="87"/>
              </w:rPr>
              <w:t>debt and equity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First Lien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2"/>
              </w:rPr>
              <w:t>investments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18,836,653</w:t>
            </w:r>
          </w:p>
        </w:tc>
        <w:tc>
          <w:tcPr>
            <w:tcW w:w="2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169,046,400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80"/>
              <w:spacing w:after="0" w:line="149" w:lineRule="exact"/>
              <w:rPr>
                <w:sz w:val="20"/>
                <w:szCs w:val="20"/>
                <w:color w:val="auto"/>
              </w:rPr>
            </w:pPr>
            <w:r>
              <w:rPr>
                <w:rFonts w:ascii="Arial" w:cs="Arial" w:eastAsia="Arial" w:hAnsi="Arial"/>
                <w:sz w:val="14"/>
                <w:szCs w:val="14"/>
                <w:color w:val="auto"/>
              </w:rPr>
              <w:t>Realized gains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1,806,088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1,768,848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3,574,936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Unrealized depreciation</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(165,636)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(1,068,579)</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(1,234,215)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80"/>
              <w:spacing w:after="0" w:line="149" w:lineRule="exact"/>
              <w:rPr>
                <w:sz w:val="20"/>
                <w:szCs w:val="20"/>
                <w:color w:val="auto"/>
              </w:rPr>
            </w:pPr>
            <w:r>
              <w:rPr>
                <w:rFonts w:ascii="Arial" w:cs="Arial" w:eastAsia="Arial" w:hAnsi="Arial"/>
                <w:sz w:val="14"/>
                <w:szCs w:val="14"/>
                <w:color w:val="auto"/>
              </w:rPr>
              <w:t>Purchases, PIK and net discount accretion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285,042,834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33,818,899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318,861,733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repayments and exchanges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(155,846,785)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(19,071,351)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(174,918,136)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80"/>
              <w:spacing w:after="0" w:line="149" w:lineRule="exact"/>
              <w:rPr>
                <w:sz w:val="20"/>
                <w:szCs w:val="20"/>
                <w:color w:val="auto"/>
              </w:rPr>
            </w:pPr>
            <w:r>
              <w:rPr>
                <w:rFonts w:ascii="Arial" w:cs="Arial" w:eastAsia="Arial" w:hAnsi="Arial"/>
                <w:sz w:val="14"/>
                <w:szCs w:val="14"/>
                <w:color w:val="auto"/>
              </w:rPr>
              <w:t>Transfers in and/or out of Level 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(1,586,250)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(1,586,250)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281,046,248</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32,698,220</w:t>
            </w:r>
          </w:p>
        </w:tc>
        <w:tc>
          <w:tcPr>
            <w:tcW w:w="2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313,744,468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appreciation (depreciation) reported within the net change in unrealized depreciation on</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80" w:type="dxa"/>
            <w:vAlign w:val="bottom"/>
          </w:tcPr>
          <w:p>
            <w:pPr>
              <w:ind w:left="140"/>
              <w:spacing w:after="0"/>
              <w:rPr>
                <w:sz w:val="20"/>
                <w:szCs w:val="20"/>
                <w:color w:val="auto"/>
              </w:rPr>
            </w:pPr>
            <w:r>
              <w:rPr>
                <w:rFonts w:ascii="Arial" w:cs="Arial" w:eastAsia="Arial" w:hAnsi="Arial"/>
                <w:sz w:val="14"/>
                <w:szCs w:val="14"/>
                <w:color w:val="auto"/>
                <w:w w:val="93"/>
              </w:rPr>
              <w:t>investments in our Consolidated Statement of Operations attributable to our Level 3 assets still held at the reporting date.</w:t>
            </w: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1,279,203</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(2,777,703)</w:t>
            </w:r>
          </w:p>
        </w:tc>
        <w:tc>
          <w:tcPr>
            <w:tcW w:w="2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(1,498,500)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5560"/>
              <w:spacing w:after="0"/>
              <w:rPr>
                <w:sz w:val="20"/>
                <w:szCs w:val="20"/>
                <w:color w:val="auto"/>
              </w:rPr>
            </w:pPr>
            <w:r>
              <w:rPr>
                <w:rFonts w:ascii="Arial" w:cs="Arial" w:eastAsia="Arial" w:hAnsi="Arial"/>
                <w:sz w:val="14"/>
                <w:szCs w:val="14"/>
                <w:color w:val="auto"/>
              </w:rPr>
              <w:t>F-21</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7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60" w:type="dxa"/>
            <w:vAlign w:val="bottom"/>
            <w:gridSpan w:val="3"/>
          </w:tcPr>
          <w:p>
            <w:pPr>
              <w:jc w:val="right"/>
              <w:ind w:right="268"/>
              <w:spacing w:after="0"/>
              <w:rPr>
                <w:sz w:val="20"/>
                <w:szCs w:val="20"/>
                <w:color w:val="auto"/>
              </w:rPr>
            </w:pPr>
            <w:r>
              <w:rPr>
                <w:rFonts w:ascii="Arial" w:cs="Arial" w:eastAsia="Arial" w:hAnsi="Arial"/>
                <w:sz w:val="12"/>
                <w:szCs w:val="12"/>
                <w:b w:val="1"/>
                <w:bCs w:val="1"/>
                <w:color w:val="auto"/>
              </w:rPr>
              <w:t>Carrying/Fair Value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1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Long-Term Credit Facility</w:t>
            </w:r>
          </w:p>
        </w:tc>
        <w:tc>
          <w:tcPr>
            <w:tcW w:w="46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2"/>
                <w:szCs w:val="12"/>
                <w:b w:val="1"/>
                <w:bCs w:val="1"/>
                <w:color w:val="auto"/>
              </w:rPr>
              <w:t>Year Ended September 30,</w:t>
            </w: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18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jc w:val="right"/>
              <w:ind w:right="713"/>
              <w:spacing w:after="0" w:line="129" w:lineRule="exact"/>
              <w:rPr>
                <w:sz w:val="20"/>
                <w:szCs w:val="20"/>
                <w:color w:val="auto"/>
              </w:rPr>
            </w:pPr>
            <w:r>
              <w:rPr>
                <w:rFonts w:ascii="Arial" w:cs="Arial" w:eastAsia="Arial" w:hAnsi="Arial"/>
                <w:sz w:val="12"/>
                <w:szCs w:val="12"/>
                <w:b w:val="1"/>
                <w:bCs w:val="1"/>
                <w:color w:val="auto"/>
              </w:rPr>
              <w:t>2014</w:t>
            </w: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tcPr>
          <w:p>
            <w:pPr>
              <w:jc w:val="right"/>
              <w:ind w:right="710"/>
              <w:spacing w:after="0" w:line="129" w:lineRule="exact"/>
              <w:rPr>
                <w:sz w:val="20"/>
                <w:szCs w:val="20"/>
                <w:color w:val="auto"/>
              </w:rPr>
            </w:pPr>
            <w:r>
              <w:rPr>
                <w:rFonts w:ascii="Arial" w:cs="Arial" w:eastAsia="Arial" w:hAnsi="Arial"/>
                <w:sz w:val="12"/>
                <w:szCs w:val="12"/>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$99,600,000 and $75,500,000, respectively)</w:t>
            </w:r>
          </w:p>
        </w:tc>
        <w:tc>
          <w:tcPr>
            <w:tcW w:w="4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99,600,000</w:t>
            </w:r>
          </w:p>
        </w:tc>
        <w:tc>
          <w:tcPr>
            <w:tcW w:w="5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36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110"/>
              <w:spacing w:after="0" w:line="142" w:lineRule="exact"/>
              <w:rPr>
                <w:sz w:val="20"/>
                <w:szCs w:val="20"/>
                <w:color w:val="auto"/>
              </w:rPr>
            </w:pPr>
            <w:r>
              <w:rPr>
                <w:rFonts w:ascii="Arial" w:cs="Arial" w:eastAsia="Arial" w:hAnsi="Arial"/>
                <w:sz w:val="14"/>
                <w:szCs w:val="14"/>
                <w:color w:val="auto"/>
              </w:rPr>
              <w:t>75,122,500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Total unrealized appreciation included in earnings</w:t>
            </w:r>
          </w:p>
        </w:tc>
        <w:tc>
          <w:tcPr>
            <w:tcW w:w="460" w:type="dxa"/>
            <w:vAlign w:val="bottom"/>
          </w:tcPr>
          <w:p>
            <w:pPr>
              <w:spacing w:after="0"/>
              <w:rPr>
                <w:sz w:val="12"/>
                <w:szCs w:val="12"/>
                <w:color w:val="auto"/>
              </w:rPr>
            </w:pPr>
          </w:p>
        </w:tc>
        <w:tc>
          <w:tcPr>
            <w:tcW w:w="134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549,000</w:t>
            </w: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377,500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Borrowings</w:t>
            </w:r>
          </w:p>
        </w:tc>
        <w:tc>
          <w:tcPr>
            <w:tcW w:w="46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148,200,000</w:t>
            </w:r>
          </w:p>
        </w:tc>
        <w:tc>
          <w:tcPr>
            <w:tcW w:w="5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235,350,000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Repayments</w:t>
            </w:r>
          </w:p>
        </w:tc>
        <w:tc>
          <w:tcPr>
            <w:tcW w:w="460" w:type="dxa"/>
            <w:vAlign w:val="bottom"/>
          </w:tcPr>
          <w:p>
            <w:pPr>
              <w:spacing w:after="0"/>
              <w:rPr>
                <w:sz w:val="12"/>
                <w:szCs w:val="12"/>
                <w:color w:val="auto"/>
              </w:rPr>
            </w:pPr>
          </w:p>
        </w:tc>
        <w:tc>
          <w:tcPr>
            <w:tcW w:w="13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(101,400,000)</w:t>
            </w: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jc w:val="right"/>
              <w:ind w:right="70"/>
              <w:spacing w:after="0" w:line="149" w:lineRule="exact"/>
              <w:rPr>
                <w:sz w:val="20"/>
                <w:szCs w:val="20"/>
                <w:color w:val="auto"/>
              </w:rPr>
            </w:pPr>
            <w:r>
              <w:rPr>
                <w:rFonts w:ascii="Arial" w:cs="Arial" w:eastAsia="Arial" w:hAnsi="Arial"/>
                <w:sz w:val="14"/>
                <w:szCs w:val="14"/>
                <w:color w:val="auto"/>
              </w:rPr>
              <w:t>(211,250,000)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46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18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$146,400,000 and $99,600,000, respectively)</w:t>
            </w:r>
          </w:p>
        </w:tc>
        <w:tc>
          <w:tcPr>
            <w:tcW w:w="4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color w:val="auto"/>
              </w:rPr>
              <w:t>146,949,000</w:t>
            </w:r>
          </w:p>
        </w:tc>
        <w:tc>
          <w:tcPr>
            <w:tcW w:w="54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99,600,000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685"/>
        <w:spacing w:after="0" w:line="244"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$0.7 million, $0.4 million and $0.3 million relating to amendment fees on the Credit Facility during the years ended September 30, 2014, 2013 and 2012,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2014 and 2013, our Credit Facility had a net change in unrealized appreciation of $0.5 million and $0.4 million, respectively. As of September 30, 2014 and 2013, the net unrealized appreciation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Year Ended September 30,</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5040" w:type="dxa"/>
            <w:vAlign w:val="bottom"/>
          </w:tcPr>
          <w:p>
            <w:pPr>
              <w:spacing w:after="0"/>
              <w:rPr>
                <w:sz w:val="12"/>
                <w:szCs w:val="12"/>
                <w:color w:val="auto"/>
              </w:rPr>
            </w:pPr>
          </w:p>
        </w:tc>
        <w:tc>
          <w:tcPr>
            <w:tcW w:w="22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2014</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ind w:right="573"/>
              <w:spacing w:after="0"/>
              <w:rPr>
                <w:sz w:val="20"/>
                <w:szCs w:val="20"/>
                <w:color w:val="auto"/>
              </w:rPr>
            </w:pPr>
            <w:r>
              <w:rPr>
                <w:rFonts w:ascii="Arial" w:cs="Arial" w:eastAsia="Arial" w:hAnsi="Arial"/>
                <w:sz w:val="12"/>
                <w:szCs w:val="12"/>
                <w:b w:val="1"/>
                <w:bCs w:val="1"/>
                <w:color w:val="auto"/>
              </w:rPr>
              <w:t>2013</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71"/>
              <w:spacing w:after="0"/>
              <w:rPr>
                <w:sz w:val="20"/>
                <w:szCs w:val="20"/>
                <w:color w:val="auto"/>
              </w:rPr>
            </w:pPr>
            <w:r>
              <w:rPr>
                <w:rFonts w:ascii="Arial" w:cs="Arial" w:eastAsia="Arial" w:hAnsi="Arial"/>
                <w:sz w:val="12"/>
                <w:szCs w:val="12"/>
                <w:b w:val="1"/>
                <w:bCs w:val="1"/>
                <w:color w:val="auto"/>
              </w:rPr>
              <w:t>2012</w:t>
            </w:r>
          </w:p>
        </w:tc>
        <w:tc>
          <w:tcPr>
            <w:tcW w:w="100" w:type="dxa"/>
            <w:vAlign w:val="bottom"/>
          </w:tcPr>
          <w:p>
            <w:pPr>
              <w:spacing w:after="0"/>
              <w:rPr>
                <w:sz w:val="12"/>
                <w:szCs w:val="12"/>
                <w:color w:val="auto"/>
              </w:rPr>
            </w:pPr>
          </w:p>
        </w:tc>
      </w:tr>
      <w:tr>
        <w:trPr>
          <w:trHeight w:val="142"/>
        </w:trPr>
        <w:tc>
          <w:tcPr>
            <w:tcW w:w="5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13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72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20,513,971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11,984,818</w:t>
            </w: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11,960,878</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8"/>
              </w:rPr>
              <w:t>14,898,056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9,587,877</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6,850,667</w:t>
            </w:r>
          </w:p>
        </w:tc>
        <w:tc>
          <w:tcPr>
            <w:tcW w:w="100" w:type="dxa"/>
            <w:vAlign w:val="bottom"/>
          </w:tcPr>
          <w:p>
            <w:pPr>
              <w:spacing w:after="0"/>
              <w:rPr>
                <w:sz w:val="12"/>
                <w:szCs w:val="12"/>
                <w:color w:val="auto"/>
              </w:rPr>
            </w:pPr>
          </w:p>
        </w:tc>
      </w:tr>
      <w:tr>
        <w:trPr>
          <w:trHeight w:val="149"/>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2220" w:type="dxa"/>
            <w:vAlign w:val="bottom"/>
            <w:gridSpan w:val="2"/>
            <w:shd w:val="clear" w:color="auto" w:fill="CCEEFF"/>
          </w:tcPr>
          <w:p>
            <w:pPr>
              <w:jc w:val="right"/>
              <w:ind w:right="72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w:t>
            </w:r>
          </w:p>
        </w:tc>
        <w:tc>
          <w:tcPr>
            <w:tcW w:w="3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w:t>
            </w:r>
          </w:p>
        </w:tc>
      </w:tr>
      <w:tr>
        <w:trPr>
          <w:trHeight w:val="312"/>
        </w:trPr>
        <w:tc>
          <w:tcPr>
            <w:tcW w:w="5040" w:type="dxa"/>
            <w:vAlign w:val="bottom"/>
          </w:tcPr>
          <w:p>
            <w:pPr>
              <w:spacing w:after="0"/>
              <w:rPr>
                <w:sz w:val="24"/>
                <w:szCs w:val="24"/>
                <w:color w:val="auto"/>
              </w:rPr>
            </w:pPr>
          </w:p>
        </w:tc>
        <w:tc>
          <w:tcPr>
            <w:tcW w:w="2220" w:type="dxa"/>
            <w:vAlign w:val="bottom"/>
            <w:gridSpan w:val="2"/>
          </w:tcPr>
          <w:p>
            <w:pPr>
              <w:jc w:val="right"/>
              <w:ind w:right="1328"/>
              <w:spacing w:after="0"/>
              <w:rPr>
                <w:sz w:val="20"/>
                <w:szCs w:val="20"/>
                <w:color w:val="auto"/>
              </w:rPr>
            </w:pPr>
            <w:r>
              <w:rPr>
                <w:rFonts w:ascii="Arial" w:cs="Arial" w:eastAsia="Arial" w:hAnsi="Arial"/>
                <w:sz w:val="14"/>
                <w:szCs w:val="14"/>
                <w:color w:val="auto"/>
              </w:rPr>
              <w:t>F-22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TAXES AND DISTRIBUTIONS</w:t>
      </w:r>
    </w:p>
    <w:p>
      <w:pPr>
        <w:spacing w:after="0" w:line="140" w:lineRule="exact"/>
        <w:rPr>
          <w:sz w:val="20"/>
          <w:szCs w:val="20"/>
          <w:color w:val="auto"/>
        </w:rPr>
      </w:pPr>
    </w:p>
    <w:p>
      <w:pPr>
        <w:ind w:right="80" w:firstLine="685"/>
        <w:spacing w:after="0" w:line="234" w:lineRule="auto"/>
        <w:rPr>
          <w:sz w:val="20"/>
          <w:szCs w:val="20"/>
          <w:color w:val="auto"/>
        </w:rPr>
      </w:pPr>
      <w:r>
        <w:rPr>
          <w:rFonts w:ascii="Arial" w:cs="Arial" w:eastAsia="Arial" w:hAnsi="Arial"/>
          <w:sz w:val="14"/>
          <w:szCs w:val="14"/>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Dividends from net realized capital gains, if any, are normally declared and paid annually, but the Company may make distributions on a more frequent basis to comply with the distribution requirements for RICs under the Code.</w:t>
      </w:r>
    </w:p>
    <w:p>
      <w:pPr>
        <w:spacing w:after="0" w:line="142" w:lineRule="exact"/>
        <w:rPr>
          <w:sz w:val="20"/>
          <w:szCs w:val="20"/>
          <w:color w:val="auto"/>
        </w:rPr>
      </w:pPr>
    </w:p>
    <w:p>
      <w:pPr>
        <w:ind w:right="580" w:firstLine="685"/>
        <w:spacing w:after="0" w:line="253" w:lineRule="auto"/>
        <w:rPr>
          <w:sz w:val="20"/>
          <w:szCs w:val="20"/>
          <w:color w:val="auto"/>
        </w:rPr>
      </w:pPr>
      <w:r>
        <w:rPr>
          <w:rFonts w:ascii="Arial" w:cs="Arial" w:eastAsia="Arial" w:hAnsi="Arial"/>
          <w:sz w:val="14"/>
          <w:szCs w:val="14"/>
          <w:color w:val="auto"/>
        </w:rPr>
        <w:t>As of September 30, 2014 and 2013, the cost of investments for federal income tax purposes was $348.4 million and $319.3 million, respectively, resulting in a gross unrealized appreciation of $3.8 million and $3.7 million, respectively, and depreciation of $3.7 million and $5.2 million, respectively.</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permanent differences were reclassified for tax purposes for the years ended September 30, 2014, 2013 and 2012: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9"/>
              </w:rPr>
              <w:t>Year Ended September 30,</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r>
      <w:tr>
        <w:trPr>
          <w:trHeight w:val="142"/>
        </w:trPr>
        <w:tc>
          <w:tcPr>
            <w:tcW w:w="4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Decrease in paid-in capital</w:t>
            </w:r>
          </w:p>
        </w:tc>
        <w:tc>
          <w:tcPr>
            <w:tcW w:w="1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88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254,753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(81,503)</w:t>
            </w: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(3,952)</w:t>
            </w:r>
          </w:p>
        </w:tc>
        <w:tc>
          <w:tcPr>
            <w:tcW w:w="460" w:type="dxa"/>
            <w:vAlign w:val="bottom"/>
            <w:shd w:val="clear" w:color="auto" w:fill="CCEEFF"/>
          </w:tcPr>
          <w:p>
            <w:pPr>
              <w:spacing w:after="0"/>
              <w:rPr>
                <w:sz w:val="12"/>
                <w:szCs w:val="12"/>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Increase (decrease) in accumulated net realized gain</w:t>
            </w: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9,384</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(1,223,913)</w:t>
            </w:r>
          </w:p>
        </w:tc>
        <w:tc>
          <w:tcPr>
            <w:tcW w:w="360" w:type="dxa"/>
            <w:vAlign w:val="bottom"/>
          </w:tcPr>
          <w:p>
            <w:pPr>
              <w:spacing w:after="0"/>
              <w:rPr>
                <w:sz w:val="12"/>
                <w:szCs w:val="12"/>
                <w:color w:val="auto"/>
              </w:rPr>
            </w:pPr>
          </w:p>
        </w:tc>
        <w:tc>
          <w:tcPr>
            <w:tcW w:w="1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undistributed net investment income</w:t>
            </w:r>
          </w:p>
        </w:tc>
        <w:tc>
          <w:tcPr>
            <w:tcW w:w="1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245,369</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1,305,416</w:t>
            </w:r>
          </w:p>
        </w:tc>
        <w:tc>
          <w:tcPr>
            <w:tcW w:w="3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3,952</w:t>
            </w:r>
          </w:p>
        </w:tc>
      </w:tr>
    </w:tbl>
    <w:p>
      <w:pPr>
        <w:spacing w:after="0" w:line="19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8"/>
              </w:rPr>
              <w:t>Year Ended September 30,</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in net assets resulting from operations</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8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20,513,971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11,984,818</w:t>
            </w: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11,960,878</w:t>
            </w: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w w:val="97"/>
              </w:rPr>
              <w:t>Net change in unrealized (appreciation) depreciation on investments and Credit Facility</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(1,004,771)</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2,113,465</w:t>
            </w:r>
          </w:p>
        </w:tc>
        <w:tc>
          <w:tcPr>
            <w:tcW w:w="360" w:type="dxa"/>
            <w:vAlign w:val="bottom"/>
          </w:tcPr>
          <w:p>
            <w:pPr>
              <w:spacing w:after="0"/>
              <w:rPr>
                <w:sz w:val="12"/>
                <w:szCs w:val="12"/>
                <w:color w:val="auto"/>
              </w:rPr>
            </w:pPr>
          </w:p>
        </w:tc>
        <w:tc>
          <w:tcPr>
            <w:tcW w:w="1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(4,739,272)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temporary book-to-tax differences</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(505,752)</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(380,461)</w:t>
            </w:r>
          </w:p>
        </w:tc>
        <w:tc>
          <w:tcPr>
            <w:tcW w:w="3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307,975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Other non-deductible expenses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1,251,555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917,665</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42,027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income before deductions for distribution</w:t>
            </w:r>
          </w:p>
        </w:tc>
        <w:tc>
          <w:tcPr>
            <w:tcW w:w="1200" w:type="dxa"/>
            <w:vAlign w:val="bottom"/>
            <w:gridSpan w:val="2"/>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20,255,003</w:t>
            </w:r>
          </w:p>
        </w:tc>
        <w:tc>
          <w:tcPr>
            <w:tcW w:w="50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14,635,487</w:t>
            </w:r>
          </w:p>
        </w:tc>
        <w:tc>
          <w:tcPr>
            <w:tcW w:w="3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1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7,571,608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components of undistributed taxable income on a tax basis and reconciliation to accumulated surplus on a book basis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93"/>
              </w:rPr>
              <w:t>As of September 30,</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Undistributed ordinary income – tax basis</w:t>
            </w: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0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10,097,482</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4,931,935</w:t>
            </w: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2,035,854</w:t>
            </w: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Undistributed long-term capital gain</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1,652,842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2,578,795</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103,884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undistributed taxable income</w:t>
            </w: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11,750,324</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7,510,730</w:t>
            </w: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2,139,738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Dividends payable and other book to tax differences</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94"/>
              </w:rPr>
              <w:t>(3,989,324)</w:t>
            </w:r>
          </w:p>
        </w:tc>
        <w:tc>
          <w:tcPr>
            <w:tcW w:w="140" w:type="dxa"/>
            <w:vAlign w:val="bottom"/>
          </w:tcPr>
          <w:p>
            <w:pPr>
              <w:spacing w:after="0"/>
              <w:rPr>
                <w:sz w:val="12"/>
                <w:szCs w:val="12"/>
                <w:color w:val="auto"/>
              </w:rPr>
            </w:pPr>
          </w:p>
        </w:tc>
        <w:tc>
          <w:tcPr>
            <w:tcW w:w="1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(3,461,027)</w:t>
            </w:r>
          </w:p>
        </w:tc>
        <w:tc>
          <w:tcPr>
            <w:tcW w:w="360" w:type="dxa"/>
            <w:vAlign w:val="bottom"/>
          </w:tcPr>
          <w:p>
            <w:pPr>
              <w:spacing w:after="0"/>
              <w:rPr>
                <w:sz w:val="12"/>
                <w:szCs w:val="12"/>
                <w:color w:val="auto"/>
              </w:rPr>
            </w:pPr>
          </w:p>
        </w:tc>
        <w:tc>
          <w:tcPr>
            <w:tcW w:w="1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(2,228,826)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of investments and Credit Facility</w:t>
            </w: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(474,803)</w:t>
            </w:r>
          </w:p>
        </w:tc>
        <w:tc>
          <w:tcPr>
            <w:tcW w:w="1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(1,479,574)</w:t>
            </w:r>
          </w:p>
        </w:tc>
        <w:tc>
          <w:tcPr>
            <w:tcW w:w="3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633,891</w:t>
            </w:r>
          </w:p>
        </w:tc>
        <w:tc>
          <w:tcPr>
            <w:tcW w:w="0" w:type="dxa"/>
            <w:vAlign w:val="bottom"/>
          </w:tcPr>
          <w:p>
            <w:pPr>
              <w:spacing w:after="0"/>
              <w:rPr>
                <w:sz w:val="1"/>
                <w:szCs w:val="1"/>
                <w:color w:val="auto"/>
              </w:rPr>
            </w:pPr>
          </w:p>
        </w:tc>
      </w:tr>
      <w:tr>
        <w:trPr>
          <w:trHeight w:val="156"/>
        </w:trPr>
        <w:tc>
          <w:tcPr>
            <w:tcW w:w="5560" w:type="dxa"/>
            <w:vAlign w:val="bottom"/>
            <w:gridSpan w:val="2"/>
          </w:tcPr>
          <w:p>
            <w:pPr>
              <w:spacing w:after="0" w:line="155" w:lineRule="exact"/>
              <w:rPr>
                <w:sz w:val="20"/>
                <w:szCs w:val="20"/>
                <w:color w:val="auto"/>
              </w:rPr>
            </w:pPr>
            <w:r>
              <w:rPr>
                <w:rFonts w:ascii="Arial" w:cs="Arial" w:eastAsia="Arial" w:hAnsi="Arial"/>
                <w:sz w:val="14"/>
                <w:szCs w:val="14"/>
                <w:color w:val="auto"/>
              </w:rPr>
              <w:t>Total accumulated surplus – book basis</w:t>
            </w:r>
          </w:p>
        </w:tc>
        <w:tc>
          <w:tcPr>
            <w:tcW w:w="2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7,286,197</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2,570,129</w:t>
            </w:r>
          </w:p>
        </w:tc>
        <w:tc>
          <w:tcPr>
            <w:tcW w:w="3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544,803</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tax characteristics of distributions declared, in accordance with Section 19(a) under the 1940 Act,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September 30,</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Ordinary income</w:t>
            </w:r>
          </w:p>
        </w:tc>
        <w:tc>
          <w:tcPr>
            <w:tcW w:w="19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8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13,473,860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9,937,113</w:t>
            </w: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6,234,106</w:t>
            </w: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Long-term capital gain</w:t>
            </w:r>
          </w:p>
        </w:tc>
        <w:tc>
          <w:tcPr>
            <w:tcW w:w="1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2,578,795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103,884</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w:t>
            </w:r>
          </w:p>
        </w:tc>
        <w:tc>
          <w:tcPr>
            <w:tcW w:w="2920" w:type="dxa"/>
            <w:vAlign w:val="bottom"/>
            <w:gridSpan w:val="2"/>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16,052,655</w:t>
            </w:r>
          </w:p>
        </w:tc>
        <w:tc>
          <w:tcPr>
            <w:tcW w:w="5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10,040,997</w:t>
            </w:r>
          </w:p>
        </w:tc>
        <w:tc>
          <w:tcPr>
            <w:tcW w:w="3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1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6,234,106</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4"/>
                <w:szCs w:val="14"/>
                <w:color w:val="auto"/>
              </w:rPr>
              <w:t>Total distributions per share</w:t>
            </w:r>
          </w:p>
        </w:tc>
        <w:tc>
          <w:tcPr>
            <w:tcW w:w="1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8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1.05</w:t>
            </w:r>
          </w:p>
        </w:tc>
        <w:tc>
          <w:tcPr>
            <w:tcW w:w="30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0.91</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jc w:val="right"/>
              <w:ind w:right="568"/>
              <w:spacing w:after="0"/>
              <w:rPr>
                <w:sz w:val="20"/>
                <w:szCs w:val="20"/>
                <w:color w:val="auto"/>
              </w:rPr>
            </w:pPr>
            <w:r>
              <w:rPr>
                <w:rFonts w:ascii="Arial" w:cs="Arial" w:eastAsia="Arial" w:hAnsi="Arial"/>
                <w:sz w:val="14"/>
                <w:szCs w:val="14"/>
                <w:color w:val="auto"/>
                <w:w w:val="97"/>
              </w:rPr>
              <w:t>F-23</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EQUIVALENTS</w:t>
      </w:r>
    </w:p>
    <w:p>
      <w:pPr>
        <w:spacing w:after="0" w:line="181" w:lineRule="exact"/>
        <w:rPr>
          <w:sz w:val="20"/>
          <w:szCs w:val="20"/>
          <w:color w:val="auto"/>
        </w:rPr>
      </w:pPr>
    </w:p>
    <w:p>
      <w:pPr>
        <w:ind w:right="80" w:firstLine="685"/>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2014 and 2013, cash equivalents consisted of money market funds in the amounts of $13.1 million and $4.6 million,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Below are the financial highlights: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For the period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91"/>
              </w:rPr>
              <w:t>from March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4"/>
            <w:vMerge w:val="restart"/>
          </w:tcPr>
          <w:p>
            <w:pPr>
              <w:jc w:val="right"/>
              <w:ind w:right="280"/>
              <w:spacing w:after="0"/>
              <w:rPr>
                <w:sz w:val="20"/>
                <w:szCs w:val="20"/>
                <w:color w:val="auto"/>
              </w:rPr>
            </w:pPr>
            <w:r>
              <w:rPr>
                <w:rFonts w:ascii="Arial" w:cs="Arial" w:eastAsia="Arial" w:hAnsi="Arial"/>
                <w:sz w:val="12"/>
                <w:szCs w:val="12"/>
                <w:b w:val="1"/>
                <w:bCs w:val="1"/>
                <w:color w:val="auto"/>
                <w:w w:val="92"/>
              </w:rPr>
              <w:t>Year Ended September 30,</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91"/>
              <w:spacing w:after="0" w:line="135" w:lineRule="exact"/>
              <w:rPr>
                <w:sz w:val="20"/>
                <w:szCs w:val="20"/>
                <w:color w:val="auto"/>
              </w:rPr>
            </w:pPr>
            <w:r>
              <w:rPr>
                <w:rFonts w:ascii="Arial" w:cs="Arial" w:eastAsia="Arial" w:hAnsi="Arial"/>
                <w:sz w:val="12"/>
                <w:szCs w:val="12"/>
                <w:b w:val="1"/>
                <w:bCs w:val="1"/>
                <w:color w:val="auto"/>
                <w:w w:val="82"/>
              </w:rPr>
              <w:t>2011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0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4"/>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gridSpan w:val="2"/>
            <w:vMerge w:val="restart"/>
          </w:tcPr>
          <w:p>
            <w:pPr>
              <w:jc w:val="center"/>
              <w:ind w:right="380"/>
              <w:spacing w:after="0" w:line="135" w:lineRule="exact"/>
              <w:rPr>
                <w:sz w:val="20"/>
                <w:szCs w:val="20"/>
                <w:color w:val="auto"/>
              </w:rPr>
            </w:pPr>
            <w:r>
              <w:rPr>
                <w:rFonts w:ascii="Arial" w:cs="Arial" w:eastAsia="Arial" w:hAnsi="Arial"/>
                <w:sz w:val="12"/>
                <w:szCs w:val="12"/>
                <w:b w:val="1"/>
                <w:bCs w:val="1"/>
                <w:color w:val="auto"/>
                <w:w w:val="85"/>
              </w:rPr>
              <w:t>(commencement of</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380"/>
              <w:spacing w:after="0" w:line="135" w:lineRule="exact"/>
              <w:rPr>
                <w:sz w:val="20"/>
                <w:szCs w:val="20"/>
                <w:color w:val="auto"/>
              </w:rPr>
            </w:pPr>
            <w:r>
              <w:rPr>
                <w:rFonts w:ascii="Arial" w:cs="Arial" w:eastAsia="Arial" w:hAnsi="Arial"/>
                <w:sz w:val="12"/>
                <w:szCs w:val="12"/>
                <w:b w:val="1"/>
                <w:bCs w:val="1"/>
                <w:color w:val="auto"/>
                <w:w w:val="87"/>
              </w:rPr>
              <w:t>operations) to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87"/>
              </w:rPr>
              <w:t>September 30,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9"/>
              <w:spacing w:after="0"/>
              <w:rPr>
                <w:sz w:val="20"/>
                <w:szCs w:val="20"/>
                <w:color w:val="auto"/>
              </w:rPr>
            </w:pPr>
            <w:r>
              <w:rPr>
                <w:rFonts w:ascii="Arial" w:cs="Arial" w:eastAsia="Arial" w:hAnsi="Arial"/>
                <w:sz w:val="12"/>
                <w:szCs w:val="12"/>
                <w:b w:val="1"/>
                <w:bCs w:val="1"/>
                <w:color w:val="auto"/>
              </w:rPr>
              <w:t>2014</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9"/>
              <w:spacing w:after="0"/>
              <w:rPr>
                <w:sz w:val="20"/>
                <w:szCs w:val="20"/>
                <w:color w:val="auto"/>
              </w:rPr>
            </w:pPr>
            <w:r>
              <w:rPr>
                <w:rFonts w:ascii="Arial" w:cs="Arial" w:eastAsia="Arial" w:hAnsi="Arial"/>
                <w:sz w:val="12"/>
                <w:szCs w:val="12"/>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91"/>
              <w:spacing w:after="0"/>
              <w:rPr>
                <w:sz w:val="20"/>
                <w:szCs w:val="20"/>
                <w:color w:val="auto"/>
              </w:rPr>
            </w:pPr>
            <w:r>
              <w:rPr>
                <w:rFonts w:ascii="Arial" w:cs="Arial" w:eastAsia="Arial" w:hAnsi="Arial"/>
                <w:sz w:val="12"/>
                <w:szCs w:val="12"/>
                <w:b w:val="1"/>
                <w:bCs w:val="1"/>
                <w:color w:val="auto"/>
                <w:w w:val="82"/>
              </w:rPr>
              <w:t>2011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14.10</w:t>
            </w:r>
          </w:p>
        </w:tc>
        <w:tc>
          <w:tcPr>
            <w:tcW w:w="5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13.98</w:t>
            </w:r>
          </w:p>
        </w:tc>
        <w:tc>
          <w:tcPr>
            <w:tcW w:w="38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13.44</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12"/>
                <w:szCs w:val="12"/>
                <w:color w:val="auto"/>
              </w:rPr>
              <w:t>(1)</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0.92</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Net change in realized and unrealized gain (loss)</w:t>
            </w:r>
            <w:r>
              <w:rPr>
                <w:rFonts w:ascii="Arial" w:cs="Arial" w:eastAsia="Arial" w:hAnsi="Arial"/>
                <w:sz w:val="12"/>
                <w:szCs w:val="12"/>
                <w:color w:val="auto"/>
              </w:rPr>
              <w:t>(1)</w:t>
            </w:r>
          </w:p>
        </w:tc>
        <w:tc>
          <w:tcPr>
            <w:tcW w:w="2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0.15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0.83</w:t>
            </w:r>
          </w:p>
        </w:tc>
        <w:tc>
          <w:tcPr>
            <w:tcW w:w="160" w:type="dxa"/>
            <w:vAlign w:val="bottom"/>
          </w:tcPr>
          <w:p>
            <w:pPr>
              <w:spacing w:after="0"/>
              <w:rPr>
                <w:sz w:val="12"/>
                <w:szCs w:val="12"/>
                <w:color w:val="auto"/>
              </w:rPr>
            </w:pPr>
          </w:p>
        </w:tc>
        <w:tc>
          <w:tcPr>
            <w:tcW w:w="1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r>
              <w:rPr>
                <w:rFonts w:ascii="Arial" w:cs="Arial" w:eastAsia="Arial" w:hAnsi="Arial"/>
                <w:sz w:val="12"/>
                <w:szCs w:val="12"/>
                <w:color w:val="auto"/>
              </w:rPr>
              <w:t>(1)</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1.75</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Distributions to stockholders</w:t>
            </w:r>
            <w:r>
              <w:rPr>
                <w:rFonts w:ascii="Arial" w:cs="Arial" w:eastAsia="Arial" w:hAnsi="Arial"/>
                <w:sz w:val="12"/>
                <w:szCs w:val="12"/>
                <w:color w:val="auto"/>
              </w:rPr>
              <w:t>(1),(2)</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Distribution of net investment income</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(0.84)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(0.95)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(0.86)</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ind w:left="160"/>
              <w:spacing w:after="0" w:line="149" w:lineRule="exact"/>
              <w:rPr>
                <w:sz w:val="20"/>
                <w:szCs w:val="20"/>
                <w:color w:val="auto"/>
              </w:rPr>
            </w:pPr>
            <w:r>
              <w:rPr>
                <w:rFonts w:ascii="Arial" w:cs="Arial" w:eastAsia="Arial" w:hAnsi="Arial"/>
                <w:sz w:val="14"/>
                <w:szCs w:val="14"/>
                <w:color w:val="auto"/>
              </w:rPr>
              <w:t>Distribution of realized gains</w:t>
            </w:r>
          </w:p>
        </w:tc>
        <w:tc>
          <w:tcPr>
            <w:tcW w:w="2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(0.24)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(0.05)</w:t>
            </w:r>
          </w:p>
        </w:tc>
        <w:tc>
          <w:tcPr>
            <w:tcW w:w="16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distributions to stockholders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(0.91)</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Initial issuance of common stock</w:t>
            </w:r>
          </w:p>
        </w:tc>
        <w:tc>
          <w:tcPr>
            <w:tcW w:w="2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offering costs</w:t>
            </w:r>
            <w:r>
              <w:rPr>
                <w:rFonts w:ascii="Arial" w:cs="Arial" w:eastAsia="Arial" w:hAnsi="Arial"/>
                <w:sz w:val="12"/>
                <w:szCs w:val="12"/>
                <w:color w:val="auto"/>
              </w:rPr>
              <w:t>(1)</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(0.08)</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(0.30)</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63"/>
        </w:trPr>
        <w:tc>
          <w:tcPr>
            <w:tcW w:w="5060" w:type="dxa"/>
            <w:vAlign w:val="bottom"/>
            <w:gridSpan w:val="2"/>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13.98</w:t>
            </w:r>
          </w:p>
        </w:tc>
        <w:tc>
          <w:tcPr>
            <w:tcW w:w="4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share market value, end of period</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13.78</w:t>
            </w:r>
          </w:p>
        </w:tc>
        <w:tc>
          <w:tcPr>
            <w:tcW w:w="5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13.78</w:t>
            </w:r>
          </w:p>
        </w:tc>
        <w:tc>
          <w:tcPr>
            <w:tcW w:w="38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12.67</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4"/>
                <w:szCs w:val="14"/>
                <w:color w:val="auto"/>
              </w:rPr>
              <w:t>Total return*</w:t>
            </w:r>
            <w:r>
              <w:rPr>
                <w:rFonts w:ascii="Arial" w:cs="Arial" w:eastAsia="Arial" w:hAnsi="Arial"/>
                <w:sz w:val="12"/>
                <w:szCs w:val="12"/>
                <w:color w:val="auto"/>
              </w:rPr>
              <w:t>(3)</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8.05%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17.17%</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29.43%</w:t>
            </w:r>
          </w:p>
        </w:tc>
        <w:tc>
          <w:tcPr>
            <w:tcW w:w="160" w:type="dxa"/>
            <w:vAlign w:val="bottom"/>
          </w:tcPr>
          <w:p>
            <w:pPr>
              <w:spacing w:after="0"/>
              <w:rPr>
                <w:sz w:val="13"/>
                <w:szCs w:val="13"/>
                <w:color w:val="auto"/>
              </w:rPr>
            </w:pPr>
          </w:p>
        </w:tc>
        <w:tc>
          <w:tcPr>
            <w:tcW w:w="1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14,898,056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14,898,056</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6,850,667</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6,850,667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Ratios / Supplemental Data*:</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operating expenses to average net assets</w:t>
            </w:r>
            <w:r>
              <w:rPr>
                <w:rFonts w:ascii="Arial" w:cs="Arial" w:eastAsia="Arial" w:hAnsi="Arial"/>
                <w:sz w:val="12"/>
                <w:szCs w:val="12"/>
                <w:color w:val="auto"/>
              </w:rPr>
              <w:t>(4)</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4.20%</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Ratio of Credit Facility related expenses to average net assets</w:t>
            </w:r>
            <w:r>
              <w:rPr>
                <w:rFonts w:ascii="Arial" w:cs="Arial" w:eastAsia="Arial" w:hAnsi="Arial"/>
                <w:sz w:val="12"/>
                <w:szCs w:val="12"/>
                <w:color w:val="auto"/>
              </w:rPr>
              <w:t>(5)</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1.89%</w:t>
            </w:r>
          </w:p>
        </w:tc>
        <w:tc>
          <w:tcPr>
            <w:tcW w:w="160" w:type="dxa"/>
            <w:vAlign w:val="bottom"/>
          </w:tcPr>
          <w:p>
            <w:pPr>
              <w:spacing w:after="0"/>
              <w:rPr>
                <w:sz w:val="12"/>
                <w:szCs w:val="12"/>
                <w:color w:val="auto"/>
              </w:rPr>
            </w:pPr>
          </w:p>
        </w:tc>
        <w:tc>
          <w:tcPr>
            <w:tcW w:w="1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total expenses to average net assets</w:t>
            </w:r>
            <w:r>
              <w:rPr>
                <w:rFonts w:ascii="Arial" w:cs="Arial" w:eastAsia="Arial" w:hAnsi="Arial"/>
                <w:sz w:val="12"/>
                <w:szCs w:val="12"/>
                <w:color w:val="auto"/>
              </w:rPr>
              <w:t>(5)</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6.09%</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r>
              <w:rPr>
                <w:rFonts w:ascii="Arial" w:cs="Arial" w:eastAsia="Arial" w:hAnsi="Arial"/>
                <w:sz w:val="12"/>
                <w:szCs w:val="12"/>
                <w:color w:val="auto"/>
              </w:rPr>
              <w:t>(5)</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6.64%</w:t>
            </w:r>
          </w:p>
        </w:tc>
        <w:tc>
          <w:tcPr>
            <w:tcW w:w="160" w:type="dxa"/>
            <w:vAlign w:val="bottom"/>
          </w:tcPr>
          <w:p>
            <w:pPr>
              <w:spacing w:after="0"/>
              <w:rPr>
                <w:sz w:val="12"/>
                <w:szCs w:val="12"/>
                <w:color w:val="auto"/>
              </w:rPr>
            </w:pPr>
          </w:p>
        </w:tc>
        <w:tc>
          <w:tcPr>
            <w:tcW w:w="1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period</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214,527,710</w:t>
            </w:r>
          </w:p>
        </w:tc>
        <w:tc>
          <w:tcPr>
            <w:tcW w:w="2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210,066,394</w:t>
            </w:r>
          </w:p>
        </w:tc>
        <w:tc>
          <w:tcPr>
            <w:tcW w:w="38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95,743,877</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060" w:type="dxa"/>
            <w:vAlign w:val="bottom"/>
            <w:gridSpan w:val="2"/>
          </w:tcPr>
          <w:p>
            <w:pPr>
              <w:spacing w:after="0" w:line="155" w:lineRule="exact"/>
              <w:rPr>
                <w:sz w:val="20"/>
                <w:szCs w:val="20"/>
                <w:color w:val="auto"/>
              </w:rPr>
            </w:pPr>
            <w:r>
              <w:rPr>
                <w:rFonts w:ascii="Arial" w:cs="Arial" w:eastAsia="Arial" w:hAnsi="Arial"/>
                <w:sz w:val="14"/>
                <w:szCs w:val="14"/>
                <w:color w:val="auto"/>
              </w:rPr>
              <w:t>Average debt outstanding</w:t>
            </w: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147,599,452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71,678,836</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46,133,607</w:t>
            </w:r>
          </w:p>
        </w:tc>
        <w:tc>
          <w:tcPr>
            <w:tcW w:w="4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7,550,877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debt per share</w:t>
            </w:r>
            <w:r>
              <w:rPr>
                <w:rFonts w:ascii="Arial" w:cs="Arial" w:eastAsia="Arial" w:hAnsi="Arial"/>
                <w:sz w:val="12"/>
                <w:szCs w:val="12"/>
                <w:color w:val="auto"/>
              </w:rPr>
              <w:t>(1)</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9.91</w:t>
            </w:r>
          </w:p>
        </w:tc>
        <w:tc>
          <w:tcPr>
            <w:tcW w:w="5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7.48</w:t>
            </w:r>
          </w:p>
        </w:tc>
        <w:tc>
          <w:tcPr>
            <w:tcW w:w="38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6.73</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Asset coverage per unit</w:t>
            </w:r>
            <w:r>
              <w:rPr>
                <w:rFonts w:ascii="Arial" w:cs="Arial" w:eastAsia="Arial" w:hAnsi="Arial"/>
                <w:sz w:val="12"/>
                <w:szCs w:val="12"/>
                <w:color w:val="auto"/>
              </w:rPr>
              <w:t>(6)</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2,460</w:t>
            </w:r>
          </w:p>
        </w:tc>
        <w:tc>
          <w:tcPr>
            <w:tcW w:w="5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3,109</w:t>
            </w:r>
          </w:p>
        </w:tc>
        <w:tc>
          <w:tcPr>
            <w:tcW w:w="38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2,275</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62.74%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81.89%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50.68%</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5151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36" w:lineRule="exact"/>
        <w:rPr>
          <w:sz w:val="20"/>
          <w:szCs w:val="20"/>
          <w:color w:val="auto"/>
        </w:rPr>
      </w:pPr>
    </w:p>
    <w:p>
      <w:pPr>
        <w:ind w:left="1040" w:hanging="1032"/>
        <w:spacing w:after="0"/>
        <w:tabs>
          <w:tab w:leader="none" w:pos="10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Not annualized for periods less than one year.</w:t>
      </w:r>
    </w:p>
    <w:p>
      <w:pPr>
        <w:ind w:left="1040" w:hanging="1032"/>
        <w:spacing w:after="0" w:line="221" w:lineRule="auto"/>
        <w:tabs>
          <w:tab w:leader="none" w:pos="1040" w:val="left"/>
        </w:tabs>
        <w:numPr>
          <w:ilvl w:val="0"/>
          <w:numId w:val="86"/>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1040" w:right="140" w:hanging="1032"/>
        <w:spacing w:after="0" w:line="221" w:lineRule="auto"/>
        <w:tabs>
          <w:tab w:leader="none" w:pos="1040" w:val="left"/>
        </w:tabs>
        <w:numPr>
          <w:ilvl w:val="0"/>
          <w:numId w:val="86"/>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1040" w:hanging="1032"/>
        <w:spacing w:after="0"/>
        <w:tabs>
          <w:tab w:leader="none" w:pos="1040" w:val="left"/>
        </w:tabs>
        <w:numPr>
          <w:ilvl w:val="0"/>
          <w:numId w:val="86"/>
        </w:numPr>
        <w:rPr>
          <w:rFonts w:ascii="Arial" w:cs="Arial" w:eastAsia="Arial" w:hAnsi="Arial"/>
          <w:sz w:val="11"/>
          <w:szCs w:val="11"/>
          <w:color w:val="auto"/>
        </w:rPr>
      </w:pPr>
      <w:r>
        <w:rPr>
          <w:rFonts w:ascii="Arial" w:cs="Arial" w:eastAsia="Arial" w:hAnsi="Arial"/>
          <w:sz w:val="13"/>
          <w:szCs w:val="13"/>
          <w:color w:val="auto"/>
        </w:rPr>
        <w:t>Based on the change in market price per share during the period and takes into account distributions, if any, reinvested in accordance with our dividend reinvestment plan.</w:t>
      </w:r>
    </w:p>
    <w:p>
      <w:pPr>
        <w:ind w:left="1040" w:hanging="1032"/>
        <w:spacing w:after="0" w:line="221" w:lineRule="auto"/>
        <w:tabs>
          <w:tab w:leader="none" w:pos="1040" w:val="left"/>
        </w:tabs>
        <w:numPr>
          <w:ilvl w:val="0"/>
          <w:numId w:val="86"/>
        </w:numPr>
        <w:rPr>
          <w:rFonts w:ascii="Arial" w:cs="Arial" w:eastAsia="Arial" w:hAnsi="Arial"/>
          <w:sz w:val="12"/>
          <w:szCs w:val="12"/>
          <w:color w:val="auto"/>
        </w:rPr>
      </w:pPr>
      <w:r>
        <w:rPr>
          <w:rFonts w:ascii="Arial" w:cs="Arial" w:eastAsia="Arial" w:hAnsi="Arial"/>
          <w:sz w:val="14"/>
          <w:szCs w:val="14"/>
          <w:color w:val="auto"/>
        </w:rPr>
        <w:t>Operating expenses exclude Credit Facility related costs.</w:t>
      </w:r>
    </w:p>
    <w:p>
      <w:pPr>
        <w:ind w:left="1040" w:hanging="1032"/>
        <w:spacing w:after="0" w:line="221" w:lineRule="auto"/>
        <w:tabs>
          <w:tab w:leader="none" w:pos="1040" w:val="left"/>
        </w:tabs>
        <w:numPr>
          <w:ilvl w:val="0"/>
          <w:numId w:val="86"/>
        </w:numPr>
        <w:rPr>
          <w:rFonts w:ascii="Arial" w:cs="Arial" w:eastAsia="Arial" w:hAnsi="Arial"/>
          <w:sz w:val="12"/>
          <w:szCs w:val="12"/>
          <w:color w:val="auto"/>
        </w:rPr>
      </w:pPr>
      <w:r>
        <w:rPr>
          <w:rFonts w:ascii="Arial" w:cs="Arial" w:eastAsia="Arial" w:hAnsi="Arial"/>
          <w:sz w:val="14"/>
          <w:szCs w:val="14"/>
          <w:color w:val="auto"/>
        </w:rPr>
        <w:t>Credit Facility amendment costs, if any, are not annualized.</w:t>
      </w:r>
    </w:p>
    <w:p>
      <w:pPr>
        <w:ind w:left="1040" w:right="160" w:hanging="1032"/>
        <w:spacing w:after="0" w:line="314" w:lineRule="auto"/>
        <w:tabs>
          <w:tab w:leader="none" w:pos="1040" w:val="left"/>
        </w:tabs>
        <w:numPr>
          <w:ilvl w:val="0"/>
          <w:numId w:val="86"/>
        </w:numPr>
        <w:rPr>
          <w:rFonts w:ascii="Arial" w:cs="Arial" w:eastAsia="Arial" w:hAnsi="Arial"/>
          <w:sz w:val="11"/>
          <w:szCs w:val="11"/>
          <w:color w:val="auto"/>
        </w:rPr>
      </w:pPr>
      <w:r>
        <w:rPr>
          <w:rFonts w:ascii="Arial" w:cs="Arial" w:eastAsia="Arial" w:hAnsi="Arial"/>
          <w:sz w:val="12"/>
          <w:szCs w:val="12"/>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181" w:lineRule="exact"/>
        <w:rPr>
          <w:sz w:val="20"/>
          <w:szCs w:val="20"/>
          <w:color w:val="auto"/>
        </w:rPr>
      </w:pPr>
    </w:p>
    <w:p>
      <w:pPr>
        <w:ind w:right="80" w:firstLine="685"/>
        <w:spacing w:after="0" w:line="231" w:lineRule="auto"/>
        <w:rPr>
          <w:sz w:val="20"/>
          <w:szCs w:val="20"/>
          <w:color w:val="auto"/>
        </w:rPr>
      </w:pPr>
      <w:r>
        <w:rPr>
          <w:rFonts w:ascii="Arial" w:cs="Arial" w:eastAsia="Arial" w:hAnsi="Arial"/>
          <w:sz w:val="14"/>
          <w:szCs w:val="14"/>
          <w:color w:val="auto"/>
        </w:rPr>
        <w:t>Funding I’s Credit Facility with the Lenders is $200 million, subject to satisfaction of certain conditions and the regulatory restrictions that the 1940 Act imposes on us as a BDC, has an interest rate spread above LIBOR of 200 basis points, a maturity date of May 2018 and a revolving period that ends in May 2016. As of September 30, 2014 and September 30, 2013, Funding I had $146.4 million and $99.6 million of outstanding borrowings under the Credit Facility, respectively, and carried an interest rate of 2.16% and 2.18%, respectively, excluding the 0.375% undrawn commitment fee. The weighted average cost of debt for the years ended September 30, 2014, 2013 and 2012, inclusive of the fee on the undrawn commitment on the Credit Facility but excluding amendment costs, was 2.35%, 2.59% and 3.21%, respectively.</w:t>
      </w:r>
    </w:p>
    <w:p>
      <w:pPr>
        <w:spacing w:after="0" w:line="144" w:lineRule="exact"/>
        <w:rPr>
          <w:sz w:val="20"/>
          <w:szCs w:val="20"/>
          <w:color w:val="auto"/>
        </w:rPr>
      </w:pPr>
    </w:p>
    <w:p>
      <w:pPr>
        <w:ind w:right="460" w:firstLine="685"/>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28" w:lineRule="exact"/>
        <w:rPr>
          <w:sz w:val="20"/>
          <w:szCs w:val="20"/>
          <w:color w:val="auto"/>
        </w:rPr>
      </w:pPr>
    </w:p>
    <w:p>
      <w:pPr>
        <w:ind w:right="120" w:firstLine="685"/>
        <w:spacing w:after="0" w:line="256"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2014, we were in compliance with the covenants relating to our Credit Facility.</w:t>
      </w:r>
    </w:p>
    <w:p>
      <w:pPr>
        <w:spacing w:after="0" w:line="145" w:lineRule="exact"/>
        <w:rPr>
          <w:sz w:val="20"/>
          <w:szCs w:val="20"/>
          <w:color w:val="auto"/>
        </w:rPr>
      </w:pPr>
    </w:p>
    <w:p>
      <w:pPr>
        <w:jc w:val="both"/>
        <w:ind w:right="180" w:firstLine="685"/>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2" w:lineRule="exact"/>
        <w:rPr>
          <w:sz w:val="20"/>
          <w:szCs w:val="20"/>
          <w:color w:val="auto"/>
        </w:rPr>
      </w:pPr>
    </w:p>
    <w:p>
      <w:pPr>
        <w:ind w:right="140" w:firstLine="685"/>
        <w:spacing w:after="0" w:line="234"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67"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and/or revolving lines of credit, if any.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1."/>
      <w:numFmt w:val="decimal"/>
      <w:start w:val="820"/>
    </w:lvl>
  </w:abstractNum>
  <w:abstractNum w:abstractNumId="7">
    <w:nsid w:val="6DE91B18"/>
    <w:multiLevelType w:val="hybridMultilevel"/>
    <w:lvl w:ilvl="0">
      <w:lvlJc w:val="left"/>
      <w:lvlText w:val="%1."/>
      <w:numFmt w:val="decimal"/>
      <w:start w:val="1"/>
    </w:lvl>
  </w:abstractNum>
  <w:abstractNum w:abstractNumId="8">
    <w:nsid w:val="38437FDB"/>
    <w:multiLevelType w:val="hybridMultilevel"/>
    <w:lvl w:ilvl="0">
      <w:lvlJc w:val="left"/>
      <w:lvlText w:val="%1."/>
      <w:numFmt w:val="decimal"/>
      <w:start w:val="2"/>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1)"/>
      <w:numFmt w:val="decimal"/>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1"/>
    </w:lvl>
  </w:abstractNum>
  <w:abstractNum w:abstractNumId="19">
    <w:nsid w:val="70C6A529"/>
    <w:multiLevelType w:val="hybridMultilevel"/>
    <w:lvl w:ilvl="0">
      <w:lvlJc w:val="left"/>
      <w:lvlText w:val="(%1)"/>
      <w:numFmt w:val="decimal"/>
      <w:start w:val="5"/>
    </w:lvl>
  </w:abstractNum>
  <w:abstractNum w:abstractNumId="20">
    <w:nsid w:val="520EEDD1"/>
    <w:multiLevelType w:val="hybridMultilevel"/>
    <w:lvl w:ilvl="0">
      <w:lvlJc w:val="left"/>
      <w:lvlText w:val="(%1)"/>
      <w:numFmt w:val="decimal"/>
      <w:start w:val="1"/>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1)"/>
      <w:numFmt w:val="decimal"/>
      <w:start w:val="2"/>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1)"/>
      <w:numFmt w:val="lowerLetter"/>
      <w:start w:val="2"/>
    </w:lvl>
    <w:lvl w:ilvl="1">
      <w:lvlJc w:val="left"/>
      <w:lvlText w:val="•"/>
      <w:numFmt w:val="bullet"/>
      <w:start w:val="1"/>
    </w:lvl>
  </w:abstractNum>
  <w:abstractNum w:abstractNumId="27">
    <w:nsid w:val="1CF10FD8"/>
    <w:multiLevelType w:val="hybridMultilevel"/>
    <w:lvl w:ilvl="0">
      <w:lvlJc w:val="left"/>
      <w:lvlText w:val="%1)"/>
      <w:numFmt w:val="lowerLetter"/>
      <w:start w:val="1"/>
    </w:lvl>
  </w:abstractNum>
  <w:abstractNum w:abstractNumId="28">
    <w:nsid w:val="180115BE"/>
    <w:multiLevelType w:val="hybridMultilevel"/>
    <w:lvl w:ilvl="0">
      <w:lvlJc w:val="left"/>
      <w:lvlText w:val="%1)"/>
      <w:numFmt w:val="lowerLetter"/>
      <w:start w:val="2"/>
    </w:lvl>
  </w:abstractNum>
  <w:abstractNum w:abstractNumId="29">
    <w:nsid w:val="235BA861"/>
    <w:multiLevelType w:val="hybridMultilevel"/>
    <w:lvl w:ilvl="0">
      <w:lvlJc w:val="left"/>
      <w:lvlText w:val="%1)"/>
      <w:numFmt w:val="lowerLetter"/>
      <w:start w:val="3"/>
    </w:lvl>
  </w:abstractNum>
  <w:abstractNum w:abstractNumId="30">
    <w:nsid w:val="47398C89"/>
    <w:multiLevelType w:val="hybridMultilevel"/>
    <w:lvl w:ilvl="0">
      <w:lvlJc w:val="left"/>
      <w:lvlText w:val="%1)"/>
      <w:numFmt w:val="lowerLetter"/>
      <w:start w:val="4"/>
    </w:lvl>
  </w:abstractNum>
  <w:abstractNum w:abstractNumId="31">
    <w:nsid w:val="354FE9F9"/>
    <w:multiLevelType w:val="hybridMultilevel"/>
    <w:lvl w:ilvl="0">
      <w:lvlJc w:val="left"/>
      <w:lvlText w:val="%1)"/>
      <w:numFmt w:val="lowerLetter"/>
      <w:start w:val="5"/>
    </w:lvl>
  </w:abstractNum>
  <w:abstractNum w:abstractNumId="32">
    <w:nsid w:val="15B5AF5C"/>
    <w:multiLevelType w:val="hybridMultilevel"/>
    <w:lvl w:ilvl="0">
      <w:lvlJc w:val="left"/>
      <w:lvlText w:val="%1)"/>
      <w:numFmt w:val="lowerLetter"/>
      <w:start w:val="6"/>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1)"/>
      <w:numFmt w:val="decimal"/>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1)"/>
      <w:numFmt w:val="lowerLetter"/>
      <w:start w:val="2"/>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
      <w:numFmt w:val="bullet"/>
      <w:start w:val="1"/>
    </w:lvl>
    <w:lvl w:ilvl="1">
      <w:lvlJc w:val="left"/>
      <w:lvlText w:val="%2)"/>
      <w:numFmt w:val="decimal"/>
      <w:start w:val="1"/>
    </w:lvl>
  </w:abstractNum>
  <w:abstractNum w:abstractNumId="77">
    <w:nsid w:val="14330624"/>
    <w:multiLevelType w:val="hybridMultilevel"/>
    <w:lvl w:ilvl="0">
      <w:lvlJc w:val="left"/>
      <w:lvlText w:val="(%1)"/>
      <w:numFmt w:val="decimal"/>
      <w:start w:val="1"/>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1)"/>
      <w:numFmt w:val="lowerLetter"/>
      <w:start w:val="1"/>
    </w:lvl>
  </w:abstractNum>
  <w:abstractNum w:abstractNumId="80">
    <w:nsid w:val="71EA1109"/>
    <w:multiLevelType w:val="hybridMultilevel"/>
    <w:lvl w:ilvl="0">
      <w:lvlJc w:val="left"/>
      <w:lvlText w:val="(%1)"/>
      <w:numFmt w:val="decimal"/>
      <w:start w:val="1"/>
    </w:lvl>
  </w:abstractNum>
  <w:abstractNum w:abstractNumId="81">
    <w:nsid w:val="100F59DC"/>
    <w:multiLevelType w:val="hybridMultilevel"/>
    <w:lvl w:ilvl="0">
      <w:lvlJc w:val="left"/>
      <w:lvlText w:val="(%1)"/>
      <w:numFmt w:val="decimal"/>
      <w:start w:val="1"/>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decimal"/>
      <w:start w:val="4"/>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2019-12-08T23:00:04Z</dcterms:created>
  <dcterms:modified xsi:type="dcterms:W3CDTF">2019-12-08T23:00:04Z</dcterms:modified>
</cp:coreProperties>
</file>