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60"/>
        <w:spacing w:after="0"/>
        <w:rPr>
          <w:sz w:val="20"/>
          <w:szCs w:val="20"/>
          <w:color w:val="auto"/>
        </w:rPr>
      </w:pPr>
      <w:r>
        <w:rPr>
          <w:rFonts w:ascii="Arial" w:cs="Arial" w:eastAsia="Arial" w:hAnsi="Arial"/>
          <w:sz w:val="18"/>
          <w:szCs w:val="18"/>
          <w:b w:val="1"/>
          <w:bCs w:val="1"/>
          <w:color w:val="auto"/>
        </w:rPr>
        <w:t>As filed with the Securities and Exchange Commission on February 16,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333-215111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jc w:val="center"/>
        <w:spacing w:after="0" w:line="229" w:lineRule="auto"/>
        <w:rPr>
          <w:sz w:val="20"/>
          <w:szCs w:val="20"/>
          <w:color w:val="auto"/>
        </w:rPr>
      </w:pPr>
      <w:r>
        <w:rPr>
          <w:rFonts w:ascii="Arial" w:cs="Arial" w:eastAsia="Arial" w:hAnsi="Arial"/>
          <w:sz w:val="22"/>
          <w:szCs w:val="22"/>
          <w:b w:val="1"/>
          <w:bCs w:val="1"/>
          <w:i w:val="1"/>
          <w:iCs w:val="1"/>
          <w:color w:val="auto"/>
        </w:rPr>
        <w:t>the Securities Act Of 1933</w:t>
      </w:r>
    </w:p>
    <w:p>
      <w:pPr>
        <w:spacing w:after="0" w:line="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1 </w:t>
      </w:r>
      <w:r>
        <w:rPr>
          <w:rFonts w:ascii="MS PGothic" w:cs="MS PGothic" w:eastAsia="MS PGothic" w:hAnsi="MS PGothic"/>
          <w:sz w:val="18"/>
          <w:szCs w:val="18"/>
          <w:color w:val="auto"/>
        </w:rPr>
        <w:t>☒</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Pre-Effective Amendment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PennantPark Floating Rate Capital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Friedmann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20006-1110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17" w:lineRule="exact"/>
        <w:rPr>
          <w:sz w:val="24"/>
          <w:szCs w:val="24"/>
          <w:color w:val="auto"/>
        </w:rPr>
      </w:pPr>
    </w:p>
    <w:p>
      <w:pPr>
        <w:ind w:left="460" w:right="7240" w:firstLine="4"/>
        <w:spacing w:after="0" w:line="258" w:lineRule="auto"/>
        <w:tabs>
          <w:tab w:leader="none" w:pos="66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 If appropriate, check the following box:</w:t>
      </w:r>
    </w:p>
    <w:p>
      <w:pPr>
        <w:spacing w:after="0" w:line="1" w:lineRule="exact"/>
        <w:rPr>
          <w:rFonts w:ascii="MS PGothic" w:cs="MS PGothic" w:eastAsia="MS PGothic" w:hAnsi="MS PGothic"/>
          <w:sz w:val="18"/>
          <w:szCs w:val="18"/>
          <w:color w:val="auto"/>
        </w:rPr>
      </w:pPr>
    </w:p>
    <w:p>
      <w:pPr>
        <w:ind w:left="660" w:hanging="19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This amendment designates a new effective date for a previously filed registration statement.</w:t>
      </w:r>
    </w:p>
    <w:p>
      <w:pPr>
        <w:spacing w:after="0" w:line="10" w:lineRule="exact"/>
        <w:rPr>
          <w:rFonts w:ascii="MS PGothic" w:cs="MS PGothic" w:eastAsia="MS PGothic" w:hAnsi="MS PGothic"/>
          <w:sz w:val="18"/>
          <w:szCs w:val="18"/>
          <w:color w:val="auto"/>
        </w:rPr>
      </w:pPr>
    </w:p>
    <w:p>
      <w:pPr>
        <w:ind w:right="120" w:firstLine="464"/>
        <w:spacing w:after="0" w:line="259"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Post-Effective Amendment No. 1 to the Registration Statement on Form N-2 (File No. 333-215111) of PennantPark Floating Rate Capital Ltd., or the Registration Statement, is being filed pursuant to Rule 462(d) under the Securities Act of 1933, as amended, or the Securities Act, solely for the purpose of filing exhibits to the Registration Statement. Accordingly, this Post-Effective Amendment No. 1 consists only of a facing page, this explanatory note and Part C of the Registration Statement setting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Financial statements and exhibits</w:t>
      </w:r>
    </w:p>
    <w:p>
      <w:pPr>
        <w:spacing w:after="0" w:line="121"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33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60" w:lineRule="exact"/>
        <w:rPr>
          <w:rFonts w:ascii="Arial" w:cs="Arial" w:eastAsia="Arial" w:hAnsi="Arial"/>
          <w:sz w:val="18"/>
          <w:szCs w:val="18"/>
          <w:color w:val="auto"/>
        </w:rPr>
      </w:pPr>
    </w:p>
    <w:p>
      <w:pPr>
        <w:ind w:left="1040" w:right="640" w:hanging="651"/>
        <w:spacing w:after="0" w:line="308" w:lineRule="auto"/>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38" w:lineRule="exact"/>
        <w:rPr>
          <w:rFonts w:ascii="Arial" w:cs="Arial" w:eastAsia="Arial" w:hAnsi="Arial"/>
          <w:sz w:val="17"/>
          <w:szCs w:val="17"/>
          <w:color w:val="auto"/>
        </w:rPr>
      </w:pPr>
    </w:p>
    <w:p>
      <w:pPr>
        <w:ind w:left="1040" w:right="20" w:hanging="661"/>
        <w:spacing w:after="0" w:line="277"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814-00891), filed on December 2, 2015).</w:t>
      </w:r>
    </w:p>
    <w:p>
      <w:pPr>
        <w:spacing w:after="0" w:line="62" w:lineRule="exact"/>
        <w:rPr>
          <w:sz w:val="20"/>
          <w:szCs w:val="20"/>
          <w:color w:val="auto"/>
        </w:rPr>
      </w:pPr>
    </w:p>
    <w:p>
      <w:pPr>
        <w:ind w:left="1040" w:right="220" w:hanging="879"/>
        <w:spacing w:after="0" w:line="277" w:lineRule="auto"/>
        <w:tabs>
          <w:tab w:leader="none" w:pos="102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Share Certificate (Incorporated by reference to Exhibit 99(D) to the Registrant’s Pre-Effective Amendment No. 5 to the Registration Statement on Form N-2 (File No. 333-170243), filed on April 5, 2011).</w:t>
      </w:r>
    </w:p>
    <w:p>
      <w:pPr>
        <w:spacing w:after="0" w:line="62" w:lineRule="exact"/>
        <w:rPr>
          <w:sz w:val="20"/>
          <w:szCs w:val="20"/>
          <w:color w:val="auto"/>
        </w:rPr>
      </w:pPr>
    </w:p>
    <w:p>
      <w:pPr>
        <w:ind w:left="1040" w:right="200" w:hanging="879"/>
        <w:spacing w:after="0" w:line="277" w:lineRule="auto"/>
        <w:tabs>
          <w:tab w:leader="none" w:pos="102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Subscription Certificate (Incorporated by reference to Exhibit 99(D)(2) to the Registrant’s Registration Statement on Form N-2 (File No. 333-180084), filed on March 14, 2012).</w:t>
      </w:r>
    </w:p>
    <w:p>
      <w:pPr>
        <w:spacing w:after="0" w:line="62" w:lineRule="exact"/>
        <w:rPr>
          <w:sz w:val="20"/>
          <w:szCs w:val="20"/>
          <w:color w:val="auto"/>
        </w:rPr>
      </w:pPr>
    </w:p>
    <w:p>
      <w:pPr>
        <w:ind w:left="1040" w:right="1220" w:hanging="879"/>
        <w:spacing w:after="0" w:line="277" w:lineRule="auto"/>
        <w:tabs>
          <w:tab w:leader="none" w:pos="102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Form of Indenture (Incorporated by reference to Exhibit 99(D)(3) to the Registrant’s Registration Statement on Form N-2 (File No. 333-180084), filed on March 14, 2012).</w:t>
      </w:r>
    </w:p>
    <w:p>
      <w:pPr>
        <w:spacing w:after="0" w:line="62" w:lineRule="exact"/>
        <w:rPr>
          <w:sz w:val="20"/>
          <w:szCs w:val="20"/>
          <w:color w:val="auto"/>
        </w:rPr>
      </w:pPr>
    </w:p>
    <w:p>
      <w:pPr>
        <w:ind w:left="1040" w:right="60" w:hanging="879"/>
        <w:spacing w:after="0" w:line="277" w:lineRule="auto"/>
        <w:tabs>
          <w:tab w:leader="none" w:pos="102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Subscription Agent Agreement (Incorporated by reference to Exhibit 99(D)(4) to the Registrant’s Registration Statement on Form N-2 (File No. 333-180084), filed on March 14, 2012).</w:t>
      </w:r>
    </w:p>
    <w:p>
      <w:pPr>
        <w:spacing w:after="0" w:line="62" w:lineRule="exact"/>
        <w:rPr>
          <w:sz w:val="20"/>
          <w:szCs w:val="20"/>
          <w:color w:val="auto"/>
        </w:rPr>
      </w:pPr>
    </w:p>
    <w:p>
      <w:pPr>
        <w:ind w:left="1040" w:right="500" w:hanging="879"/>
        <w:spacing w:after="0" w:line="277" w:lineRule="auto"/>
        <w:tabs>
          <w:tab w:leader="none" w:pos="102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Warrant Agreement (Incorporated by reference to Exhibit 99(D)(5) to the Registrant’s Registration Statement on Form N-2 (File No. 333-180084), filed on March 14, 2012).</w:t>
      </w:r>
    </w:p>
    <w:p>
      <w:pPr>
        <w:spacing w:after="0" w:line="62" w:lineRule="exact"/>
        <w:rPr>
          <w:sz w:val="20"/>
          <w:szCs w:val="20"/>
          <w:color w:val="auto"/>
        </w:rPr>
      </w:pPr>
    </w:p>
    <w:p>
      <w:pPr>
        <w:ind w:left="1040" w:right="460" w:hanging="879"/>
        <w:spacing w:after="0" w:line="277" w:lineRule="auto"/>
        <w:tabs>
          <w:tab w:leader="none" w:pos="102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T-1 Statement of Eligibility with respect to the Form of Indenture (Incorporated by reference to Exhibit 99(D)(6) to the Registrant’s Registration Statement on Form N-2 (File No. 333-180084), filed on March 14, 2012).</w:t>
      </w:r>
    </w:p>
    <w:p>
      <w:pPr>
        <w:spacing w:after="0" w:line="62" w:lineRule="exact"/>
        <w:rPr>
          <w:sz w:val="20"/>
          <w:szCs w:val="20"/>
          <w:color w:val="auto"/>
        </w:rPr>
      </w:pPr>
    </w:p>
    <w:p>
      <w:pPr>
        <w:ind w:left="1040" w:right="220" w:hanging="879"/>
        <w:spacing w:after="0" w:line="277" w:lineRule="auto"/>
        <w:tabs>
          <w:tab w:leader="none" w:pos="102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Articles Supplementary (Incorporated by reference to Exhibit 99(D)(7) to the Registrant’s Registration Statement on Form N-2 (File No. 333-180084), filed on March 14, 2012).</w:t>
      </w:r>
    </w:p>
    <w:p>
      <w:pPr>
        <w:spacing w:after="0" w:line="62" w:lineRule="exact"/>
        <w:rPr>
          <w:sz w:val="20"/>
          <w:szCs w:val="20"/>
          <w:color w:val="auto"/>
        </w:rPr>
      </w:pPr>
    </w:p>
    <w:p>
      <w:pPr>
        <w:ind w:left="1040" w:right="300" w:hanging="651"/>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of Dividend Reinvestment Plan (Incorporated by reference to Exhibit 99(E) to the Registrant’s Pre-Effective Amendment No. 3 to the Registration Statement on Form N-2 (File No. 333-170243), filed on March 29, 2011).</w:t>
      </w:r>
    </w:p>
    <w:p>
      <w:pPr>
        <w:spacing w:after="0" w:line="62" w:lineRule="exact"/>
        <w:rPr>
          <w:sz w:val="20"/>
          <w:szCs w:val="20"/>
          <w:color w:val="auto"/>
        </w:rPr>
      </w:pPr>
    </w:p>
    <w:p>
      <w:pPr>
        <w:ind w:left="1040" w:hanging="661"/>
        <w:spacing w:after="0" w:line="29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Second Amended and Restated Investment Advisory Agreement, dated as of February 2, 2016, between PennantPark Floating Rate Capital Ltd. and PennantPark Investment Advisers, LLC (Incorporated by reference to the Registrant’s Quarterly Report on Form 10-Q (File</w:t>
      </w:r>
    </w:p>
    <w:p>
      <w:pPr>
        <w:ind w:left="1040"/>
        <w:spacing w:after="0"/>
        <w:rPr>
          <w:rFonts w:ascii="Arial" w:cs="Arial" w:eastAsia="Arial" w:hAnsi="Arial"/>
          <w:sz w:val="16"/>
          <w:szCs w:val="16"/>
          <w:color w:val="auto"/>
        </w:rPr>
      </w:pPr>
      <w:r>
        <w:rPr>
          <w:rFonts w:ascii="Arial" w:cs="Arial" w:eastAsia="Arial" w:hAnsi="Arial"/>
          <w:sz w:val="18"/>
          <w:szCs w:val="18"/>
          <w:color w:val="auto"/>
        </w:rPr>
        <w:t>No. 814-00891), filed on February 4, 2016).</w:t>
      </w:r>
    </w:p>
    <w:p>
      <w:pPr>
        <w:spacing w:after="0" w:line="103" w:lineRule="exact"/>
        <w:rPr>
          <w:sz w:val="20"/>
          <w:szCs w:val="20"/>
          <w:color w:val="auto"/>
        </w:rPr>
      </w:pPr>
    </w:p>
    <w:p>
      <w:pPr>
        <w:ind w:left="1040" w:right="60" w:hanging="879"/>
        <w:spacing w:after="0" w:line="277" w:lineRule="auto"/>
        <w:tabs>
          <w:tab w:leader="none" w:pos="102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Registration Statement on Form N-2 (File No. 333-180084), filed on March 14, 2012).</w:t>
      </w:r>
    </w:p>
    <w:p>
      <w:pPr>
        <w:spacing w:after="0" w:line="62" w:lineRule="exact"/>
        <w:rPr>
          <w:sz w:val="20"/>
          <w:szCs w:val="20"/>
          <w:color w:val="auto"/>
        </w:rPr>
      </w:pPr>
    </w:p>
    <w:p>
      <w:pPr>
        <w:ind w:left="1040" w:right="200" w:hanging="879"/>
        <w:spacing w:after="0" w:line="277" w:lineRule="auto"/>
        <w:tabs>
          <w:tab w:leader="none" w:pos="102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Registration Statement on Form N-2 (File No. 333-180084), filed on March 14, 2012).</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(h)(3)*</w:t>
      </w:r>
      <w:r>
        <w:rPr>
          <w:sz w:val="20"/>
          <w:szCs w:val="20"/>
          <w:color w:val="auto"/>
        </w:rPr>
        <w:tab/>
      </w:r>
      <w:r>
        <w:rPr>
          <w:rFonts w:ascii="Arial" w:cs="Arial" w:eastAsia="Arial" w:hAnsi="Arial"/>
          <w:sz w:val="18"/>
          <w:szCs w:val="18"/>
          <w:color w:val="auto"/>
        </w:rPr>
        <w:t>Underwriting Agreement dated February 14, 2017.</w:t>
      </w:r>
    </w:p>
    <w:p>
      <w:pPr>
        <w:spacing w:after="0" w:line="117" w:lineRule="exact"/>
        <w:rPr>
          <w:sz w:val="20"/>
          <w:szCs w:val="20"/>
          <w:color w:val="auto"/>
        </w:rPr>
      </w:pPr>
    </w:p>
    <w:p>
      <w:pPr>
        <w:ind w:left="960" w:right="260" w:hanging="621"/>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of Custodian Agreement between the Registrant and The Bank of New York Mellon (Incorporated by reference to Exhibit 99(J) to the Registrant’s Pre-Effective Amendment No. 3 to the Registration Statement on Form N-2 (File No. 333-170243), filed on March 29, 2011).</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(k)(1)</w:t>
            </w: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Form of Stock Transfer Agency Agreement between the Registrant and American Stock Transfer &amp; Trust Company, LLC (Incorporated by</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reference to Exhibit 99(K)(1) to the Registrant’s Pre-Effective Amendment No. 3 to the Registration Statement on Form N-2 (File</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No. 333-170243), filed on March 29, 2011).</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(k)(2)</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Form of Administration Agreement between the Registrant and PennantPark Investment Administration, LLC (Incorporated by reference to</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Exhibit 99(K)(2) to the Registrant’s Pre-Effective Amendment No. 3 to the Registration Statement on Form N-2 (File No. 333-170243), filed</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on March 29, 2011).</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(k)(3)</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Form of Trademark License Agreement (Incorporated by reference to Exhibit 99(K)(3) to the Registrant’s Pre-Effective Amendment No. 3 to</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the Registration Statement on Form N-2 (File No. 333-170243), filed on March 29, 2011).</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(k)(4)</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Third Amended and Restated Revolving Credit and Security Agreement, dated as of May 22, 2015, among PennantPark Floating Rate Funding</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I, LLC, as borrower, PennantPark Investment Advisers, LLC, as collateral manager, the lenders from time to time parties thereto, SunTrust</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5"/>
              </w:rPr>
              <w:t>Bank, as administrative agent, and U.S. Bank National Association, as collateral agent, as backup collateral manager, and as custodian</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10.1 to the Registrant’s Quarterly Report on Form 10-Q (File No. 814-00891), filed on August 6, 2015).</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(k)(5)</w:t>
            </w:r>
          </w:p>
        </w:tc>
        <w:tc>
          <w:tcPr>
            <w:tcW w:w="10580" w:type="dxa"/>
            <w:vAlign w:val="bottom"/>
          </w:tcPr>
          <w:p>
            <w:pPr>
              <w:ind w:left="220"/>
              <w:spacing w:after="0"/>
              <w:rPr>
                <w:sz w:val="20"/>
                <w:szCs w:val="20"/>
                <w:color w:val="auto"/>
              </w:rPr>
            </w:pPr>
            <w:r>
              <w:rPr>
                <w:rFonts w:ascii="Arial" w:cs="Arial" w:eastAsia="Arial" w:hAnsi="Arial"/>
                <w:sz w:val="18"/>
                <w:szCs w:val="18"/>
                <w:color w:val="auto"/>
                <w:w w:val="90"/>
              </w:rPr>
              <w:t>First Amendment to Third Amended and Restated Revolving Credit and Security Agreement, dated as of August 26, 2015, among PennantPark</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Floating Rate Funding I, LLC, as borrower, PennantPark Investment Advisers, LLC, as collateral manager, the lenders from time to time party</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thereto, SunTrust Bank, as administrative agent, and U.S. Bank National Association, as collateral agent, as backup collateral manager and as</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9"/>
              </w:rPr>
              <w:t>custodian (Incorporated by reference to Exhibit 10.1 to the Registrant’s Annual Report on Form 10-K (File No. 814-00891), filed on</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November 12, 2015).</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(k)(6)</w:t>
            </w:r>
          </w:p>
        </w:tc>
        <w:tc>
          <w:tcPr>
            <w:tcW w:w="10580" w:type="dxa"/>
            <w:vAlign w:val="bottom"/>
          </w:tcPr>
          <w:p>
            <w:pPr>
              <w:ind w:left="220"/>
              <w:spacing w:after="0"/>
              <w:rPr>
                <w:sz w:val="20"/>
                <w:szCs w:val="20"/>
                <w:color w:val="auto"/>
              </w:rPr>
            </w:pPr>
            <w:r>
              <w:rPr>
                <w:rFonts w:ascii="Arial" w:cs="Arial" w:eastAsia="Arial" w:hAnsi="Arial"/>
                <w:sz w:val="18"/>
                <w:szCs w:val="18"/>
                <w:color w:val="auto"/>
                <w:w w:val="98"/>
              </w:rPr>
              <w:t>Purchase and Contribution Agreement, dated as of June 23, 2011, among PennantPark Floating Rate Capital Ltd., as the seller, and</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PennantPark Floating Rate Funding I, LLC, as the buyer (Incorporated by reference to Exhibit 10.2 to the Registrant’s Periodic Report on Form</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8-K (File No. 814-00891), filed on June 29, 2011).</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(k)(7)</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Indemnification Agreement, dated as of November 15, 2016, between PennantPark Floating Rate Capital Ltd. and each of the directors and</w:t>
            </w:r>
          </w:p>
        </w:tc>
      </w:tr>
      <w:tr>
        <w:trPr>
          <w:trHeight w:val="216"/>
        </w:trPr>
        <w:tc>
          <w:tcPr>
            <w:tcW w:w="70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officers listed on Schedule A attached thereto (Incorporated by reference to Exhibit 10.6 on the Registrant’s Annual Report on Form 10-K (File</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No. 814-00891), filed on November 22, 2016).</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(l)(1)</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Opinion and Consent of Venable LLP (Incorporated by reference to Exhibit 99.(L)(1) to the Registrant’s Registration Statement on Form N-2</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(File No. 333-215111), filed on December 15, 2016).</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rPr>
              <w:t>(l)(2)</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Opinion and Consent of Dechert LLP (Incorporated by reference to Exhibit 99.(L)(2) to the Registrant’s Registration Statement on Form N-2</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(File No. 333-215111), filed on December 15, 2016).</w:t>
            </w:r>
          </w:p>
        </w:tc>
      </w:tr>
      <w:tr>
        <w:trPr>
          <w:trHeight w:val="324"/>
        </w:trPr>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(l)(3)*</w:t>
            </w:r>
          </w:p>
        </w:tc>
        <w:tc>
          <w:tcPr>
            <w:tcW w:w="10580" w:type="dxa"/>
            <w:vAlign w:val="bottom"/>
          </w:tcPr>
          <w:p>
            <w:pPr>
              <w:ind w:left="220"/>
              <w:spacing w:after="0"/>
              <w:rPr>
                <w:sz w:val="20"/>
                <w:szCs w:val="20"/>
                <w:color w:val="auto"/>
              </w:rPr>
            </w:pPr>
            <w:r>
              <w:rPr>
                <w:rFonts w:ascii="Arial" w:cs="Arial" w:eastAsia="Arial" w:hAnsi="Arial"/>
                <w:sz w:val="18"/>
                <w:szCs w:val="18"/>
                <w:color w:val="auto"/>
              </w:rPr>
              <w:t>Opinion and Consent of Venable LLP.</w:t>
            </w:r>
          </w:p>
        </w:tc>
      </w:tr>
      <w:tr>
        <w:trPr>
          <w:trHeight w:val="310"/>
        </w:trPr>
        <w:tc>
          <w:tcPr>
            <w:tcW w:w="700" w:type="dxa"/>
            <w:vAlign w:val="bottom"/>
          </w:tcPr>
          <w:p>
            <w:pPr>
              <w:jc w:val="right"/>
              <w:ind w:right="150"/>
              <w:spacing w:after="0"/>
              <w:rPr>
                <w:sz w:val="20"/>
                <w:szCs w:val="20"/>
                <w:color w:val="auto"/>
              </w:rPr>
            </w:pPr>
            <w:r>
              <w:rPr>
                <w:rFonts w:ascii="Arial" w:cs="Arial" w:eastAsia="Arial" w:hAnsi="Arial"/>
                <w:sz w:val="18"/>
                <w:szCs w:val="18"/>
                <w:color w:val="auto"/>
                <w:w w:val="99"/>
              </w:rPr>
              <w:t>(n)(1)</w:t>
            </w: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Consent of Independent Registered Public Accounting Firm (Incorporated by reference to Exhibit 99.(N)(1) to the Registrant’s Registration</w:t>
            </w:r>
          </w:p>
        </w:tc>
      </w:tr>
      <w:tr>
        <w:trPr>
          <w:trHeight w:val="230"/>
        </w:trPr>
        <w:tc>
          <w:tcPr>
            <w:tcW w:w="70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Statement on Form N-2 (File No. 333-215111), filed on December 15, 2016).</w:t>
            </w:r>
          </w:p>
        </w:tc>
      </w:tr>
    </w:tbl>
    <w:p>
      <w:pPr>
        <w:sectPr>
          <w:pgSz w:w="11900" w:h="16838" w:orient="portrait"/>
          <w:cols w:equalWidth="0" w:num="1">
            <w:col w:w="11320"/>
          </w:cols>
          <w:pgMar w:left="320" w:top="382" w:right="259" w:bottom="1440" w:gutter="0" w:footer="0" w:header="0"/>
        </w:sectPr>
      </w:pPr>
    </w:p>
    <w:bookmarkStart w:id="4" w:name="page5"/>
    <w:bookmarkEnd w:id="4"/>
    <w:p>
      <w:pPr>
        <w:ind w:left="1040" w:right="540" w:hanging="879"/>
        <w:spacing w:after="0" w:line="264" w:lineRule="auto"/>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(n)(2)</w:t>
      </w:r>
      <w:r>
        <w:rPr>
          <w:sz w:val="20"/>
          <w:szCs w:val="20"/>
          <w:color w:val="auto"/>
        </w:rPr>
        <w:tab/>
      </w:r>
      <w:r>
        <w:rPr>
          <w:rFonts w:ascii="Arial" w:cs="Arial" w:eastAsia="Arial" w:hAnsi="Arial"/>
          <w:sz w:val="18"/>
          <w:szCs w:val="18"/>
          <w:color w:val="auto"/>
        </w:rPr>
        <w:t>Report of Independent Registered Public Accounting Firm regarding senior securities table contained in the Registration Statement (Incorporated by reference to Exhibit 99.(N)(2) to the Registrant’s Registration Statement on Form N-2 (File No. 333-215111), filed on December 15, 2016).</w:t>
      </w:r>
    </w:p>
    <w:p>
      <w:pPr>
        <w:spacing w:after="0" w:line="73" w:lineRule="exact"/>
        <w:rPr>
          <w:sz w:val="20"/>
          <w:szCs w:val="20"/>
          <w:color w:val="auto"/>
        </w:rPr>
      </w:pPr>
    </w:p>
    <w:p>
      <w:pPr>
        <w:jc w:val="center"/>
        <w:ind w:left="940" w:right="340"/>
        <w:spacing w:after="0" w:line="342" w:lineRule="auto"/>
        <w:tabs>
          <w:tab w:leader="none" w:pos="440" w:val="left"/>
        </w:tabs>
        <w:rPr>
          <w:sz w:val="20"/>
          <w:szCs w:val="20"/>
          <w:color w:val="auto"/>
        </w:rPr>
      </w:pPr>
      <w:r>
        <w:rPr>
          <w:rFonts w:ascii="Arial" w:cs="Arial" w:eastAsia="Arial" w:hAnsi="Arial"/>
          <w:sz w:val="16"/>
          <w:szCs w:val="16"/>
          <w:color w:val="auto"/>
        </w:rPr>
        <w:t>(r)(1)</w:t>
      </w:r>
      <w:r>
        <w:rPr>
          <w:sz w:val="20"/>
          <w:szCs w:val="20"/>
          <w:color w:val="auto"/>
        </w:rPr>
        <w:tab/>
      </w:r>
      <w:r>
        <w:rPr>
          <w:rFonts w:ascii="Arial" w:cs="Arial" w:eastAsia="Arial" w:hAnsi="Arial"/>
          <w:sz w:val="16"/>
          <w:szCs w:val="16"/>
          <w:color w:val="auto"/>
        </w:rPr>
        <w:t>Joint Code of Ethics of the Registrant, PennantPark Investment Corporation and PennantPark Investment Advisers, LLC (Incorporated by reference to Exhibit 14.1 to the Registrant’s Annual Report on Form 10-K (File No. 814-00891), filed on November 22, 2016).</w:t>
      </w:r>
    </w:p>
    <w:p>
      <w:pPr>
        <w:spacing w:after="0" w:line="16" w:lineRule="exact"/>
        <w:rPr>
          <w:sz w:val="20"/>
          <w:szCs w:val="20"/>
          <w:color w:val="auto"/>
        </w:rPr>
      </w:pPr>
    </w:p>
    <w:p>
      <w:pPr>
        <w:ind w:left="1040" w:right="100" w:hanging="859"/>
        <w:spacing w:after="0" w:line="277" w:lineRule="auto"/>
        <w:tabs>
          <w:tab w:leader="none" w:pos="102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Form of Prospectus Supplement For Common Stock Offerings (Incorporated by reference to Exhibit 99(S)(1) to the Registrant’s Registration Statement on Form N-2 (File No. 333-180084), filed on March 14, 2012).</w:t>
      </w:r>
    </w:p>
    <w:p>
      <w:pPr>
        <w:spacing w:after="0" w:line="62" w:lineRule="exact"/>
        <w:rPr>
          <w:sz w:val="20"/>
          <w:szCs w:val="20"/>
          <w:color w:val="auto"/>
        </w:rPr>
      </w:pPr>
    </w:p>
    <w:p>
      <w:pPr>
        <w:ind w:left="1040" w:right="100" w:hanging="859"/>
        <w:spacing w:after="0" w:line="277" w:lineRule="auto"/>
        <w:tabs>
          <w:tab w:leader="none" w:pos="1020" w:val="left"/>
        </w:tabs>
        <w:rPr>
          <w:sz w:val="20"/>
          <w:szCs w:val="20"/>
          <w:color w:val="auto"/>
        </w:rPr>
      </w:pPr>
      <w:r>
        <w:rPr>
          <w:rFonts w:ascii="Arial" w:cs="Arial" w:eastAsia="Arial" w:hAnsi="Arial"/>
          <w:sz w:val="18"/>
          <w:szCs w:val="18"/>
          <w:color w:val="auto"/>
        </w:rPr>
        <w:t>(s)(2)</w:t>
      </w:r>
      <w:r>
        <w:rPr>
          <w:sz w:val="20"/>
          <w:szCs w:val="20"/>
          <w:color w:val="auto"/>
        </w:rPr>
        <w:tab/>
      </w:r>
      <w:r>
        <w:rPr>
          <w:rFonts w:ascii="Arial" w:cs="Arial" w:eastAsia="Arial" w:hAnsi="Arial"/>
          <w:sz w:val="18"/>
          <w:szCs w:val="18"/>
          <w:color w:val="auto"/>
        </w:rPr>
        <w:t>Form of Prospectus Supplement For Preferred Stock Offerings (Incorporated by reference to Exhibit 99(S)(2) to the Registrant’s Registration Statement on Form N-2 (File No. 333-180084), filed on March 14, 2012).</w:t>
      </w:r>
    </w:p>
    <w:p>
      <w:pPr>
        <w:spacing w:after="0" w:line="62" w:lineRule="exact"/>
        <w:rPr>
          <w:sz w:val="20"/>
          <w:szCs w:val="20"/>
          <w:color w:val="auto"/>
        </w:rPr>
      </w:pPr>
    </w:p>
    <w:p>
      <w:pPr>
        <w:ind w:left="1040" w:right="120" w:hanging="859"/>
        <w:spacing w:after="0" w:line="277" w:lineRule="auto"/>
        <w:tabs>
          <w:tab w:leader="none" w:pos="102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99(S)(3) to the Registrant’s Registration Statement on Form N-2 (File No. 333-180084), filed on March 14, 2012).</w:t>
      </w:r>
    </w:p>
    <w:p>
      <w:pPr>
        <w:spacing w:after="0" w:line="62" w:lineRule="exact"/>
        <w:rPr>
          <w:sz w:val="20"/>
          <w:szCs w:val="20"/>
          <w:color w:val="auto"/>
        </w:rPr>
      </w:pPr>
    </w:p>
    <w:p>
      <w:pPr>
        <w:ind w:left="1040" w:hanging="859"/>
        <w:spacing w:after="0" w:line="277" w:lineRule="auto"/>
        <w:tabs>
          <w:tab w:leader="none" w:pos="102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99(S)(4) to the Registrant’s Registration Statement on Form N-2 (File No. 333-180084), filed on March 14, 2012).</w:t>
      </w:r>
    </w:p>
    <w:p>
      <w:pPr>
        <w:spacing w:after="0" w:line="62" w:lineRule="exact"/>
        <w:rPr>
          <w:sz w:val="20"/>
          <w:szCs w:val="20"/>
          <w:color w:val="auto"/>
        </w:rPr>
      </w:pPr>
    </w:p>
    <w:p>
      <w:pPr>
        <w:ind w:left="1040" w:right="660" w:hanging="859"/>
        <w:spacing w:after="0" w:line="277" w:lineRule="auto"/>
        <w:tabs>
          <w:tab w:leader="none" w:pos="102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99(S)(5) to the Registrant’s Registration Statement on Form N-2 (File No. 333-180084), filed on March 14, 2012).</w:t>
      </w:r>
    </w:p>
    <w:p>
      <w:pPr>
        <w:spacing w:after="0" w:line="19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57,950*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NASDAQ listing fee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75,500*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251,550</w:t>
            </w:r>
          </w:p>
        </w:tc>
        <w:tc>
          <w:tcPr>
            <w:tcW w:w="10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2,000,000</w:t>
            </w:r>
          </w:p>
        </w:tc>
        <w:tc>
          <w:tcPr>
            <w:tcW w:w="10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320"/>
          </w:cols>
          <w:pgMar w:left="240" w:top="3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expenses set forth above shall be borne by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This amount has been offset against a filing fee associated with unsold securities registered under a previous registration statement.</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 with the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list sets forth each of the companies considered to be controlled by us as defined by the 1940 Act.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04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Voting Securities</w:t>
            </w:r>
          </w:p>
        </w:tc>
        <w:tc>
          <w:tcPr>
            <w:tcW w:w="0" w:type="dxa"/>
            <w:vAlign w:val="bottom"/>
          </w:tcPr>
          <w:p>
            <w:pPr>
              <w:spacing w:after="0"/>
              <w:rPr>
                <w:sz w:val="1"/>
                <w:szCs w:val="1"/>
                <w:color w:val="auto"/>
              </w:rPr>
            </w:pPr>
          </w:p>
        </w:tc>
      </w:tr>
      <w:tr>
        <w:trPr>
          <w:trHeight w:val="158"/>
        </w:trPr>
        <w:tc>
          <w:tcPr>
            <w:tcW w:w="5160" w:type="dxa"/>
            <w:vAlign w:val="bottom"/>
            <w:gridSpan w:val="2"/>
            <w:vMerge w:val="continue"/>
          </w:tcPr>
          <w:p>
            <w:pPr>
              <w:spacing w:after="0"/>
              <w:rPr>
                <w:sz w:val="13"/>
                <w:szCs w:val="13"/>
                <w:color w:val="auto"/>
              </w:rPr>
            </w:pPr>
          </w:p>
        </w:tc>
        <w:tc>
          <w:tcPr>
            <w:tcW w:w="2600" w:type="dxa"/>
            <w:vAlign w:val="bottom"/>
            <w:gridSpan w:val="3"/>
          </w:tcPr>
          <w:p>
            <w:pPr>
              <w:jc w:val="center"/>
              <w:ind w:left="513"/>
              <w:spacing w:after="0" w:line="158" w:lineRule="exact"/>
              <w:rPr>
                <w:sz w:val="20"/>
                <w:szCs w:val="20"/>
                <w:color w:val="auto"/>
              </w:rPr>
            </w:pPr>
            <w:r>
              <w:rPr>
                <w:rFonts w:ascii="Arial" w:cs="Arial" w:eastAsia="Arial" w:hAnsi="Arial"/>
                <w:sz w:val="14"/>
                <w:szCs w:val="14"/>
                <w:b w:val="1"/>
                <w:bCs w:val="1"/>
                <w:color w:val="auto"/>
                <w:w w:val="91"/>
              </w:rPr>
              <w:t>Owned Percentage</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PennantPark Floating Rate Funding I, LLC (Delaware)</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PFLT Funding II, LLC (Delaware)</w:t>
            </w:r>
          </w:p>
        </w:tc>
        <w:tc>
          <w:tcPr>
            <w:tcW w:w="2600" w:type="dxa"/>
            <w:vAlign w:val="bottom"/>
            <w:gridSpan w:val="3"/>
          </w:tcPr>
          <w:p>
            <w:pPr>
              <w:ind w:left="19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Investment Holdings, LLC (Delaware)</w:t>
            </w:r>
          </w:p>
        </w:tc>
        <w:tc>
          <w:tcPr>
            <w:tcW w:w="260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GMC Television Broadcasting Holdings, Inc. (Delaware)</w:t>
            </w:r>
          </w:p>
        </w:tc>
        <w:tc>
          <w:tcPr>
            <w:tcW w:w="2600" w:type="dxa"/>
            <w:vAlign w:val="bottom"/>
            <w:gridSpan w:val="3"/>
          </w:tcPr>
          <w:p>
            <w:pPr>
              <w:ind w:left="1920"/>
              <w:spacing w:after="0"/>
              <w:rPr>
                <w:sz w:val="20"/>
                <w:szCs w:val="20"/>
                <w:color w:val="auto"/>
              </w:rPr>
            </w:pPr>
            <w:r>
              <w:rPr>
                <w:rFonts w:ascii="Arial" w:cs="Arial" w:eastAsia="Arial" w:hAnsi="Arial"/>
                <w:sz w:val="18"/>
                <w:szCs w:val="18"/>
                <w:color w:val="auto"/>
                <w:w w:val="96"/>
              </w:rPr>
              <w:t>100%(1)</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LLC (Delaware)</w:t>
            </w:r>
          </w:p>
        </w:tc>
        <w:tc>
          <w:tcPr>
            <w:tcW w:w="260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w w:val="96"/>
              </w:rPr>
              <w:t>100%(1)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Solutions Capital G.P., LLC (Delaware)</w:t>
            </w:r>
          </w:p>
        </w:tc>
        <w:tc>
          <w:tcPr>
            <w:tcW w:w="2600" w:type="dxa"/>
            <w:vAlign w:val="bottom"/>
            <w:gridSpan w:val="3"/>
          </w:tcPr>
          <w:p>
            <w:pPr>
              <w:ind w:left="19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I, L.P. (Delaware)</w:t>
            </w:r>
          </w:p>
        </w:tc>
        <w:tc>
          <w:tcPr>
            <w:tcW w:w="2600" w:type="dxa"/>
            <w:vAlign w:val="bottom"/>
            <w:gridSpan w:val="3"/>
            <w:shd w:val="clear" w:color="auto" w:fill="CCEEFF"/>
          </w:tcPr>
          <w:p>
            <w:pPr>
              <w:ind w:left="19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entity is directly owned by PFLT Funding II, LLC, which is wholly owned by us.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520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 of holders of shares</w:t>
            </w:r>
          </w:p>
        </w:tc>
        <w:tc>
          <w:tcPr>
            <w:tcW w:w="1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040" w:type="dxa"/>
            <w:vAlign w:val="bottom"/>
            <w:gridSpan w:val="4"/>
          </w:tcPr>
          <w:p>
            <w:pPr>
              <w:ind w:left="460"/>
              <w:spacing w:after="0"/>
              <w:rPr>
                <w:sz w:val="20"/>
                <w:szCs w:val="20"/>
                <w:color w:val="auto"/>
              </w:rPr>
            </w:pPr>
            <w:r>
              <w:rPr>
                <w:rFonts w:ascii="Arial" w:cs="Arial" w:eastAsia="Arial" w:hAnsi="Arial"/>
                <w:sz w:val="18"/>
                <w:szCs w:val="18"/>
                <w:color w:val="auto"/>
              </w:rPr>
              <w:t>As of January 31, 2017</w:t>
            </w: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40" w:type="dxa"/>
            <w:vAlign w:val="bottom"/>
          </w:tcPr>
          <w:p>
            <w:pPr>
              <w:spacing w:after="0"/>
              <w:rPr>
                <w:sz w:val="24"/>
                <w:szCs w:val="24"/>
                <w:color w:val="auto"/>
              </w:rPr>
            </w:pPr>
          </w:p>
        </w:tc>
        <w:tc>
          <w:tcPr>
            <w:tcW w:w="5200" w:type="dxa"/>
            <w:vAlign w:val="bottom"/>
            <w:gridSpan w:val="3"/>
          </w:tcPr>
          <w:p>
            <w:pPr>
              <w:ind w:left="1000"/>
              <w:spacing w:after="0"/>
              <w:rPr>
                <w:sz w:val="20"/>
                <w:szCs w:val="20"/>
                <w:color w:val="auto"/>
              </w:rPr>
            </w:pPr>
            <w:r>
              <w:rPr>
                <w:rFonts w:ascii="Arial" w:cs="Arial" w:eastAsia="Arial" w:hAnsi="Arial"/>
                <w:sz w:val="14"/>
                <w:szCs w:val="14"/>
                <w:b w:val="1"/>
                <w:bCs w:val="1"/>
                <w:color w:val="auto"/>
              </w:rPr>
              <w:t>Title of Class</w:t>
            </w:r>
          </w:p>
        </w:tc>
        <w:tc>
          <w:tcPr>
            <w:tcW w:w="3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0"/>
        </w:trPr>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17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PennantPark Investment Advisers, LLC, or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7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3rd floor, Brooklyn, NY 11219;</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Custodian, The Bank of New York Mellon, 225 Liberty Street, New York, NY 10286;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Investment Adviser, 590 Madison Avenue, 15th Floor, New York, NY 10022.</w:t>
      </w:r>
    </w:p>
    <w:p>
      <w:pPr>
        <w:sectPr>
          <w:pgSz w:w="11900" w:h="16838" w:orient="portrait"/>
          <w:cols w:equalWidth="0" w:num="1">
            <w:col w:w="11160"/>
          </w:cols>
          <w:pgMar w:left="240" w:top="274" w:right="49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right="200"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firstLine="8"/>
        <w:spacing w:after="0" w:line="297"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225"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right="160" w:firstLine="8"/>
        <w:spacing w:after="0" w:line="308"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146" w:lineRule="exact"/>
        <w:rPr>
          <w:rFonts w:ascii="Arial" w:cs="Arial" w:eastAsia="Arial" w:hAnsi="Arial"/>
          <w:sz w:val="17"/>
          <w:szCs w:val="17"/>
          <w:color w:val="auto"/>
        </w:rPr>
      </w:pPr>
    </w:p>
    <w:p>
      <w:pPr>
        <w:ind w:firstLine="8"/>
        <w:spacing w:after="0" w:line="277"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8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170" w:lineRule="exact"/>
        <w:rPr>
          <w:rFonts w:ascii="Arial" w:cs="Arial" w:eastAsia="Arial" w:hAnsi="Arial"/>
          <w:sz w:val="18"/>
          <w:szCs w:val="18"/>
          <w:color w:val="auto"/>
        </w:rPr>
      </w:pPr>
    </w:p>
    <w:p>
      <w:pPr>
        <w:ind w:right="140" w:firstLine="8"/>
        <w:spacing w:after="0" w:line="342"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23" w:lineRule="exact"/>
        <w:rPr>
          <w:rFonts w:ascii="Arial" w:cs="Arial" w:eastAsia="Arial" w:hAnsi="Arial"/>
          <w:sz w:val="16"/>
          <w:szCs w:val="16"/>
          <w:color w:val="auto"/>
        </w:rPr>
      </w:pPr>
    </w:p>
    <w:p>
      <w:pPr>
        <w:ind w:right="14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80" w:firstLine="8"/>
        <w:spacing w:after="0" w:line="291"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ectPr>
          <w:pgSz w:w="11900" w:h="16838" w:orient="portrait"/>
          <w:cols w:equalWidth="0" w:num="1">
            <w:col w:w="11380"/>
          </w:cols>
          <w:pgMar w:left="240" w:top="270" w:right="279" w:bottom="1440" w:gutter="0" w:footer="0" w:header="0"/>
        </w:sectPr>
      </w:pPr>
    </w:p>
    <w:bookmarkStart w:id="7" w:name="page8"/>
    <w:bookmarkEnd w:id="7"/>
    <w:p>
      <w:pPr>
        <w:ind w:right="200" w:firstLine="8"/>
        <w:spacing w:after="0" w:line="302" w:lineRule="auto"/>
        <w:tabs>
          <w:tab w:leader="none" w:pos="225"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54" w:lineRule="exact"/>
        <w:rPr>
          <w:sz w:val="20"/>
          <w:szCs w:val="20"/>
          <w:color w:val="auto"/>
        </w:rPr>
      </w:pPr>
    </w:p>
    <w:p>
      <w:pPr>
        <w:ind w:right="700" w:firstLine="8"/>
        <w:spacing w:after="0" w:line="277"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170" w:lineRule="exact"/>
        <w:rPr>
          <w:rFonts w:ascii="Arial" w:cs="Arial" w:eastAsia="Arial" w:hAnsi="Arial"/>
          <w:sz w:val="18"/>
          <w:szCs w:val="18"/>
          <w:color w:val="auto"/>
        </w:rPr>
      </w:pPr>
    </w:p>
    <w:p>
      <w:pPr>
        <w:ind w:right="760" w:firstLine="8"/>
        <w:spacing w:after="0" w:line="277"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center"/>
        <w:ind w:right="160" w:firstLine="8"/>
        <w:spacing w:after="0" w:line="291"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w:t>
      </w:r>
    </w:p>
    <w:p>
      <w:pPr>
        <w:jc w:val="both"/>
        <w:ind w:firstLine="8"/>
        <w:spacing w:after="0" w:line="254"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public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181" w:lineRule="exact"/>
        <w:rPr>
          <w:sz w:val="20"/>
          <w:szCs w:val="20"/>
          <w:color w:val="auto"/>
        </w:rPr>
      </w:pPr>
    </w:p>
    <w:p>
      <w:pPr>
        <w:jc w:val="both"/>
        <w:ind w:right="14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8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right="20" w:firstLine="8"/>
        <w:spacing w:after="0" w:line="285"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each subsequent offering. If the Registrant files a new post-effective amendment, the threshold would reset.</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State of New York, on the 16th day of February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S</w:t>
            </w:r>
            <w:r>
              <w:rPr>
                <w:rFonts w:ascii="Arial" w:cs="Arial" w:eastAsia="Arial" w:hAnsi="Arial"/>
                <w:sz w:val="18"/>
                <w:szCs w:val="18"/>
                <w:color w:val="auto"/>
                <w:w w:val="99"/>
              </w:rPr>
              <w:t>/  A</w:t>
            </w:r>
            <w:r>
              <w:rPr>
                <w:rFonts w:ascii="Arial" w:cs="Arial" w:eastAsia="Arial" w:hAnsi="Arial"/>
                <w:sz w:val="15"/>
                <w:szCs w:val="15"/>
                <w:color w:val="auto"/>
                <w:w w:val="99"/>
              </w:rPr>
              <w:t>RTHUR</w:t>
            </w:r>
            <w:r>
              <w:rPr>
                <w:rFonts w:ascii="Arial" w:cs="Arial" w:eastAsia="Arial" w:hAnsi="Arial"/>
                <w:sz w:val="18"/>
                <w:szCs w:val="18"/>
                <w:color w:val="auto"/>
                <w:w w:val="99"/>
              </w:rPr>
              <w:t xml:space="preserve"> H. P</w:t>
            </w:r>
            <w:r>
              <w:rPr>
                <w:rFonts w:ascii="Arial" w:cs="Arial" w:eastAsia="Arial" w:hAnsi="Arial"/>
                <w:sz w:val="15"/>
                <w:szCs w:val="15"/>
                <w:color w:val="auto"/>
                <w:w w:val="99"/>
              </w:rPr>
              <w:t>ENN</w:t>
            </w: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38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Arthur H. Penn</w:t>
            </w:r>
          </w:p>
        </w:tc>
      </w:tr>
      <w:tr>
        <w:trPr>
          <w:trHeight w:val="216"/>
        </w:trPr>
        <w:tc>
          <w:tcPr>
            <w:tcW w:w="70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 Chairman of the</w:t>
            </w:r>
          </w:p>
        </w:tc>
      </w:tr>
      <w:tr>
        <w:trPr>
          <w:trHeight w:val="234"/>
        </w:trPr>
        <w:tc>
          <w:tcPr>
            <w:tcW w:w="70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20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N-2 has been signed by the following persons in the capacities set forth below on the 16th day of February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20" w:type="dxa"/>
            <w:vAlign w:val="bottom"/>
          </w:tcPr>
          <w:p>
            <w:pPr>
              <w:spacing w:after="0"/>
              <w:rPr>
                <w:sz w:val="16"/>
                <w:szCs w:val="16"/>
                <w:color w:val="auto"/>
              </w:rPr>
            </w:pPr>
          </w:p>
        </w:tc>
        <w:tc>
          <w:tcPr>
            <w:tcW w:w="6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ARTHUR H. PENN</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 and Chief Executive Officer (Principal</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c>
          <w:tcPr>
            <w:tcW w:w="220" w:type="dxa"/>
            <w:vAlign w:val="bottom"/>
          </w:tcPr>
          <w:p>
            <w:pPr>
              <w:spacing w:after="0"/>
              <w:rPr>
                <w:sz w:val="19"/>
                <w:szCs w:val="19"/>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4"/>
              </w:rPr>
              <w:t>Executive Officer)</w:t>
            </w:r>
          </w:p>
        </w:tc>
      </w:tr>
      <w:tr>
        <w:trPr>
          <w:trHeight w:val="42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AVIV EFRAT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2"/>
              </w:rPr>
              <w:t>Chief Financial Officer and Treasurer (Principal Financial and Accounting Officer)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5"/>
              </w:rPr>
              <w:t>Aviv Efrat</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2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Adam K. Bernstein</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2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2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Marshall Brozost</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r>
        <w:trPr>
          <w:trHeight w:val="42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8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3"/>
              </w:rPr>
              <w:t>Samuel L. Katz</w:t>
            </w:r>
          </w:p>
        </w:tc>
        <w:tc>
          <w:tcPr>
            <w:tcW w:w="220" w:type="dxa"/>
            <w:vAlign w:val="bottom"/>
          </w:tcPr>
          <w:p>
            <w:pPr>
              <w:spacing w:after="0"/>
              <w:rPr>
                <w:sz w:val="19"/>
                <w:szCs w:val="19"/>
                <w:color w:val="auto"/>
              </w:rPr>
            </w:pPr>
          </w:p>
        </w:tc>
        <w:tc>
          <w:tcPr>
            <w:tcW w:w="6840" w:type="dxa"/>
            <w:vAlign w:val="bottom"/>
          </w:tcPr>
          <w:p>
            <w:pPr>
              <w:spacing w:after="0"/>
              <w:rPr>
                <w:sz w:val="19"/>
                <w:szCs w:val="19"/>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15, 2016.</w:t>
      </w:r>
    </w:p>
    <w:p>
      <w:pPr>
        <w:sectPr>
          <w:pgSz w:w="11900" w:h="16838" w:orient="portrait"/>
          <w:cols w:equalWidth="0" w:num="1">
            <w:col w:w="11420"/>
          </w:cols>
          <w:pgMar w:left="240" w:top="27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(h)(3)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Floating Rate Capital Ltd.,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issue and sell an aggregate of 5,000,000 shares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of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It is understood that,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hereinafter stated, the Firm Shares will be sold by the Company to the several Underwriters named in Schedule A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offer and sale of such Firm Shares. Morgan Stanley &amp; Co. LLC, Goldman, Sachs &amp; Co., J.P. Morgan Securities LLC, Keefe, Bruyette &amp;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Woods, Inc., RBC Capital Markets, LLC and SunTrust Robinson Humphrey, Inc. shall act as joint book-running managers (the “</w:t>
      </w:r>
      <w:r>
        <w:rPr>
          <w:rFonts w:ascii="Arial" w:cs="Arial" w:eastAsia="Arial" w:hAnsi="Arial"/>
          <w:sz w:val="17"/>
          <w:szCs w:val="17"/>
          <w:b w:val="1"/>
          <w:bCs w:val="1"/>
          <w:i w:val="1"/>
          <w:iCs w:val="1"/>
          <w:color w:val="auto"/>
        </w:rPr>
        <w:t>Joint Book-Running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Managers</w:t>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Company proposes to grant to the Underwriters the option to purchase from the Company up to an additional 750,000 shares of Common Stock (the “</w:t>
      </w:r>
      <w:r>
        <w:rPr>
          <w:rFonts w:ascii="Arial" w:cs="Arial" w:eastAsia="Arial" w:hAnsi="Arial"/>
          <w:sz w:val="18"/>
          <w:szCs w:val="18"/>
          <w:b w:val="1"/>
          <w:bCs w:val="1"/>
          <w:i w:val="1"/>
          <w:iCs w:val="1"/>
          <w:color w:val="auto"/>
        </w:rPr>
        <w:t>Additional Shares</w:t>
      </w:r>
      <w:r>
        <w:rPr>
          <w:rFonts w:ascii="Arial" w:cs="Arial" w:eastAsia="Arial" w:hAnsi="Arial"/>
          <w:sz w:val="18"/>
          <w:szCs w:val="18"/>
          <w:color w:val="auto"/>
        </w:rPr>
        <w:t>”). The Firm Shares and the Additional Shares are hereinafter collectively sometimes referred to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are described in the Prospectus which is referred to below.</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333-215111) relating to the Shares. The registration statement, as it may have heretofore been amended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January 19, 2017, included in the Registration Statement at the time it became effective on January 19, 2017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prospectus supplement dated February 13, 2017 filed with the Commission pursuant to Rule 497 under the Act is hereinafter referred to as the “</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Applicable Time (as defined below) and to be used to confirm sales is hereinafter referred to as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certain information relating to the pricing of the Shares omitted from the Pricing Prospectus that will be included in the Prospectus Supplement and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 Notification of Election to be subject to Sections 55 through 65 of the Investment Company Act of 1940 was filed with the Commission on Form N-54A (File No. 814-00891)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7, 2011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1" w:name="page12"/>
    <w:bookmarkEnd w:id="11"/>
    <w:p>
      <w:pPr>
        <w:ind w:right="10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entered into an investment advisory management agreement, dated as of April 7, 2011, as most recently amended and restated as of February 2, 2016 (as re-approved by the board of directors of the Company at a meeting on February 7, 2017) (the “</w:t>
      </w:r>
      <w:r>
        <w:rPr>
          <w:rFonts w:ascii="Arial" w:cs="Arial" w:eastAsia="Arial" w:hAnsi="Arial"/>
          <w:sz w:val="17"/>
          <w:szCs w:val="17"/>
          <w:b w:val="1"/>
          <w:bCs w:val="1"/>
          <w:i w:val="1"/>
          <w:iCs w:val="1"/>
          <w:color w:val="auto"/>
        </w:rPr>
        <w:t>Investment Advisory Agreement</w:t>
      </w:r>
      <w:r>
        <w:rPr>
          <w:rFonts w:ascii="Arial" w:cs="Arial" w:eastAsia="Arial" w:hAnsi="Arial"/>
          <w:sz w:val="17"/>
          <w:szCs w:val="17"/>
          <w:color w:val="auto"/>
        </w:rPr>
        <w:t>”), with PennantPark Investment Advisers, LLC, a Delaware limited liability company registered as an investment adviser (the “</w:t>
      </w:r>
      <w:r>
        <w:rPr>
          <w:rFonts w:ascii="Arial" w:cs="Arial" w:eastAsia="Arial" w:hAnsi="Arial"/>
          <w:sz w:val="17"/>
          <w:szCs w:val="17"/>
          <w:b w:val="1"/>
          <w:bCs w:val="1"/>
          <w:i w:val="1"/>
          <w:iCs w:val="1"/>
          <w:color w:val="auto"/>
        </w:rPr>
        <w:t>Adviser</w:t>
      </w:r>
      <w:r>
        <w:rPr>
          <w:rFonts w:ascii="Arial" w:cs="Arial" w:eastAsia="Arial" w:hAnsi="Arial"/>
          <w:sz w:val="17"/>
          <w:szCs w:val="17"/>
          <w:color w:val="auto"/>
        </w:rPr>
        <w:t>”) under the Investment Advisers Act of 1940, as amended, and the rules and regulations thereunder (collectively, the “</w:t>
      </w:r>
      <w:r>
        <w:rPr>
          <w:rFonts w:ascii="Arial" w:cs="Arial" w:eastAsia="Arial" w:hAnsi="Arial"/>
          <w:sz w:val="17"/>
          <w:szCs w:val="17"/>
          <w:b w:val="1"/>
          <w:bCs w:val="1"/>
          <w:i w:val="1"/>
          <w:iCs w:val="1"/>
          <w:color w:val="auto"/>
        </w:rPr>
        <w:t>Advisers Act</w:t>
      </w:r>
      <w:r>
        <w:rPr>
          <w:rFonts w:ascii="Arial" w:cs="Arial" w:eastAsia="Arial" w:hAnsi="Arial"/>
          <w:sz w:val="17"/>
          <w:szCs w:val="17"/>
          <w:color w:val="auto"/>
        </w:rPr>
        <w:t>”).</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has entered into an administration agreement, dated as of April 7, 2011 (as re-approved by the board of directors of the Company at a meeting on February 7, 2017) (the “</w:t>
      </w:r>
      <w:r>
        <w:rPr>
          <w:rFonts w:ascii="Arial" w:cs="Arial" w:eastAsia="Arial" w:hAnsi="Arial"/>
          <w:sz w:val="18"/>
          <w:szCs w:val="18"/>
          <w:b w:val="1"/>
          <w:bCs w:val="1"/>
          <w:i w:val="1"/>
          <w:iCs w:val="1"/>
          <w:color w:val="auto"/>
        </w:rPr>
        <w:t>Administration Agreement</w:t>
      </w:r>
      <w:r>
        <w:rPr>
          <w:rFonts w:ascii="Arial" w:cs="Arial" w:eastAsia="Arial" w:hAnsi="Arial"/>
          <w:sz w:val="18"/>
          <w:szCs w:val="18"/>
          <w:color w:val="auto"/>
        </w:rPr>
        <w:t>”), with PennantPark Investment Administration,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8:15 A.M. New York City time, on February 14,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117" w:lineRule="exact"/>
        <w:rPr>
          <w:sz w:val="20"/>
          <w:szCs w:val="20"/>
          <w:color w:val="auto"/>
        </w:rPr>
      </w:pPr>
    </w:p>
    <w:p>
      <w:pPr>
        <w:ind w:right="60" w:firstLine="921"/>
        <w:spacing w:after="0" w:line="270" w:lineRule="auto"/>
        <w:tabs>
          <w:tab w:leader="none" w:pos="109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Sale and Purchase</w:t>
      </w:r>
      <w:r>
        <w:rPr>
          <w:rFonts w:ascii="Arial" w:cs="Arial" w:eastAsia="Arial" w:hAnsi="Arial"/>
          <w:sz w:val="17"/>
          <w:szCs w:val="17"/>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$14.0846 per Share (after adding a supplemental payment of $0.4646 per Share payable by the Adviser to the Underwriters (the “</w:t>
      </w:r>
      <w:r>
        <w:rPr>
          <w:rFonts w:ascii="Arial" w:cs="Arial" w:eastAsia="Arial" w:hAnsi="Arial"/>
          <w:sz w:val="17"/>
          <w:szCs w:val="17"/>
          <w:b w:val="1"/>
          <w:bCs w:val="1"/>
          <w:i w:val="1"/>
          <w:iCs w:val="1"/>
          <w:color w:val="auto"/>
        </w:rPr>
        <w:t>Adviser Supplemental Payment</w:t>
      </w:r>
      <w:r>
        <w:rPr>
          <w:rFonts w:ascii="Arial" w:cs="Arial" w:eastAsia="Arial" w:hAnsi="Arial"/>
          <w:sz w:val="17"/>
          <w:szCs w:val="17"/>
          <w:color w:val="auto"/>
        </w:rPr>
        <w:t>”) to the public offering price of $13.62). In addition, in connection with the sales of the Firm Shares, the Adviser agrees to pay to Morgan Stanley &amp; Co. LLC, for the account of the Underwriters, $0.4086 per share (which represents underwriting commissions payable by the Adviser) (the “</w:t>
      </w:r>
      <w:r>
        <w:rPr>
          <w:rFonts w:ascii="Arial" w:cs="Arial" w:eastAsia="Arial" w:hAnsi="Arial"/>
          <w:sz w:val="17"/>
          <w:szCs w:val="17"/>
          <w:b w:val="1"/>
          <w:bCs w:val="1"/>
          <w:i w:val="1"/>
          <w:iCs w:val="1"/>
          <w:color w:val="auto"/>
        </w:rPr>
        <w:t>Adviser Sales Load Payment</w:t>
      </w:r>
      <w:r>
        <w:rPr>
          <w:rFonts w:ascii="Arial" w:cs="Arial" w:eastAsia="Arial" w:hAnsi="Arial"/>
          <w:sz w:val="17"/>
          <w:szCs w:val="17"/>
          <w:color w:val="auto"/>
        </w:rPr>
        <w:t>”) with respect to the Firm Shares. The Company is 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8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2" w:name="page13"/>
    <w:bookmarkEnd w:id="12"/>
    <w:p>
      <w:pPr>
        <w:jc w:val="both"/>
        <w:ind w:right="1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below) nor later than three 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 In addition, in connection with the sale of any Additional Shares, the Adviser agrees to make the per share Adviser Supplemental Payment and Adviser Sales Load Payment with respect to such Additional Shares.</w:t>
      </w:r>
    </w:p>
    <w:p>
      <w:pPr>
        <w:spacing w:after="0" w:line="50" w:lineRule="exact"/>
        <w:rPr>
          <w:sz w:val="20"/>
          <w:szCs w:val="20"/>
          <w:color w:val="auto"/>
        </w:rPr>
      </w:pPr>
    </w:p>
    <w:p>
      <w:pPr>
        <w:ind w:right="20" w:firstLine="921"/>
        <w:spacing w:after="0" w:line="254" w:lineRule="auto"/>
        <w:tabs>
          <w:tab w:leader="none" w:pos="109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for the respective accounts of the Underwriters. Payment of the Adviser Supplemental Payment and Adviser Sales Load Payment with respect to the Firm Shares shall be made to Morgan Stanley &amp; Co. LLC by wire transfer of immediately available funds to a bank account designated by Morgan Stanley &amp; Co. LLC. Such payments and delivery shall be made at 10:00 A.M., New York City time, on February 17, 2017 (unless another time shall be agreed to by you and the Company or unless postponed in accordance with the provisions of Section 8 hereof). The time at which such payments and delivery are to be made is hereinafter sometimes called “</w:t>
      </w:r>
      <w:r>
        <w:rPr>
          <w:rFonts w:ascii="Arial" w:cs="Arial" w:eastAsia="Arial" w:hAnsi="Arial"/>
          <w:sz w:val="18"/>
          <w:szCs w:val="18"/>
          <w:b w:val="1"/>
          <w:bCs w:val="1"/>
          <w:i w:val="1"/>
          <w:iCs w:val="1"/>
          <w:color w:val="auto"/>
        </w:rPr>
        <w:t>the time of purchase</w:t>
      </w:r>
      <w:r>
        <w:rPr>
          <w:rFonts w:ascii="Arial" w:cs="Arial" w:eastAsia="Arial" w:hAnsi="Arial"/>
          <w:sz w:val="18"/>
          <w:szCs w:val="18"/>
          <w:color w:val="auto"/>
        </w:rPr>
        <w:t>.” Electronic transfer of the Firm Shares shall be made to you at the time of purchase in such names and in such denominations as you shall specify.</w:t>
      </w: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Payment of the purchase price for the Additional Shares and payment of the Adviser Supplemental Payment and Adviser Sales Load Payment with respect to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Freshfields Bruckhaus Deringer US LLP, 601 Lexington Avenue, 31</w:t>
      </w:r>
      <w:r>
        <w:rPr>
          <w:rFonts w:ascii="Arial" w:cs="Arial" w:eastAsia="Arial" w:hAnsi="Arial"/>
          <w:sz w:val="15"/>
          <w:szCs w:val="15"/>
          <w:color w:val="auto"/>
        </w:rPr>
        <w:t>st</w:t>
      </w:r>
      <w:r>
        <w:rPr>
          <w:rFonts w:ascii="Arial" w:cs="Arial" w:eastAsia="Arial" w:hAnsi="Arial"/>
          <w:sz w:val="18"/>
          <w:szCs w:val="18"/>
          <w:color w:val="auto"/>
        </w:rPr>
        <w:t xml:space="preserve"> Floor, New York, N.Y. 10022 at 10:00 A.M., New York City time, on the date of the closing of the purchase of the Firm Shares or the Additional Shares, as the case may be.</w:t>
      </w:r>
    </w:p>
    <w:p>
      <w:pPr>
        <w:spacing w:after="0" w:line="73" w:lineRule="exact"/>
        <w:rPr>
          <w:sz w:val="20"/>
          <w:szCs w:val="20"/>
          <w:color w:val="auto"/>
        </w:rPr>
      </w:pPr>
    </w:p>
    <w:p>
      <w:pPr>
        <w:ind w:right="180" w:firstLine="921"/>
        <w:spacing w:after="0" w:line="308" w:lineRule="auto"/>
        <w:tabs>
          <w:tab w:leader="none" w:pos="1093"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agrees with each of the Underwriters, and the Adviser and the Administrator, jointly and severally, represent and warrant to and agree with each of the Underwriters that:</w:t>
      </w:r>
    </w:p>
    <w:p>
      <w:pPr>
        <w:spacing w:after="0" w:line="146" w:lineRule="exact"/>
        <w:rPr>
          <w:rFonts w:ascii="Arial" w:cs="Arial" w:eastAsia="Arial" w:hAnsi="Arial"/>
          <w:sz w:val="17"/>
          <w:szCs w:val="17"/>
          <w:color w:val="auto"/>
        </w:rPr>
      </w:pPr>
    </w:p>
    <w:p>
      <w:pPr>
        <w:ind w:firstLine="464"/>
        <w:spacing w:after="0" w:line="257" w:lineRule="auto"/>
        <w:tabs>
          <w:tab w:leader="none" w:pos="7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7, 2011 under the Investment Company Act; the Pricing Prospectus taken together with the Pricing Information, as of the Applicable Time, and at the time of purchase and any additional time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3" w:name="page14"/>
    <w:bookmarkEnd w:id="1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and the Prospectus; any Road Show Materials (as defined below),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171" w:lineRule="exact"/>
        <w:rPr>
          <w:sz w:val="20"/>
          <w:szCs w:val="20"/>
          <w:color w:val="auto"/>
        </w:rPr>
      </w:pPr>
    </w:p>
    <w:p>
      <w:pPr>
        <w:ind w:firstLine="464"/>
        <w:spacing w:after="0" w:line="290" w:lineRule="auto"/>
        <w:tabs>
          <w:tab w:leader="none" w:pos="7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the Applicable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as well as the issuance of any shares pursuant to the Company’s dividend reinvestment plan);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4" w:name="page15"/>
    <w:bookmarkEnd w:id="14"/>
    <w:p>
      <w:pPr>
        <w:jc w:val="both"/>
        <w:ind w:right="120" w:firstLine="464"/>
        <w:spacing w:after="0" w:line="31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46" w:lineRule="exact"/>
        <w:rPr>
          <w:rFonts w:ascii="Arial" w:cs="Arial" w:eastAsia="Arial" w:hAnsi="Arial"/>
          <w:sz w:val="16"/>
          <w:szCs w:val="16"/>
          <w:color w:val="auto"/>
        </w:rPr>
      </w:pPr>
    </w:p>
    <w:p>
      <w:pPr>
        <w:ind w:right="60" w:firstLine="464"/>
        <w:spacing w:after="0" w:line="259"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and its subsidiary </w:t>
      </w:r>
      <w:r>
        <w:rPr>
          <w:rFonts w:ascii="Arial" w:cs="Arial" w:eastAsia="Arial" w:hAnsi="Arial"/>
          <w:sz w:val="18"/>
          <w:szCs w:val="18"/>
          <w:b w:val="1"/>
          <w:bCs w:val="1"/>
          <w:i w:val="1"/>
          <w:iCs w:val="1"/>
          <w:color w:val="auto"/>
        </w:rPr>
        <w:t>PennantPark Floating Rate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Funding I, LLC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taken as a whole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64"/>
        <w:spacing w:after="0" w:line="270" w:lineRule="auto"/>
        <w:tabs>
          <w:tab w:leader="none" w:pos="7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has no subsidiary, other than the Subsidiary, that is, individually or in the aggregate, a significant subsidiary of the Company within the meaning of Rule 1-02(w) of Regulation S-X under the Act; the Company has no subsidiaries (as defined in the Act) other than the subsidiaries listed on Exhibit 21.1 to the Company’s annual report on Form 10-K for the year ended September 30, 2016; the Subsidiary has been duly organized, is validly existing as a Delaware limited liability company,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and the Subsidiary, and all amendments thereto through the date hereof, have been delivered to you; the Company owns all of the outstanding equity interests of the Subsidiary free and clear of any liens, charges or encumbrances in favor of any third parties. The Subsidiary does not employ any persons;</w:t>
      </w:r>
    </w:p>
    <w:p>
      <w:pPr>
        <w:spacing w:after="0" w:line="181" w:lineRule="exact"/>
        <w:rPr>
          <w:rFonts w:ascii="Arial" w:cs="Arial" w:eastAsia="Arial" w:hAnsi="Arial"/>
          <w:sz w:val="17"/>
          <w:szCs w:val="17"/>
          <w:color w:val="auto"/>
        </w:rPr>
      </w:pPr>
    </w:p>
    <w:p>
      <w:pPr>
        <w:ind w:firstLine="464"/>
        <w:spacing w:after="0" w:line="264" w:lineRule="auto"/>
        <w:tabs>
          <w:tab w:leader="none" w:pos="6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Subsidiary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81" w:lineRule="exact"/>
        <w:rPr>
          <w:rFonts w:ascii="Arial" w:cs="Arial" w:eastAsia="Arial" w:hAnsi="Arial"/>
          <w:sz w:val="18"/>
          <w:szCs w:val="18"/>
          <w:color w:val="auto"/>
        </w:rPr>
      </w:pPr>
    </w:p>
    <w:p>
      <w:pPr>
        <w:ind w:right="300" w:firstLine="464"/>
        <w:spacing w:after="0" w:line="277" w:lineRule="auto"/>
        <w:tabs>
          <w:tab w:leader="none" w:pos="7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by you as provided herein, will be validly issued, fully paid and non-assessable and free of any preemptive rights or similar rights;</w:t>
      </w:r>
    </w:p>
    <w:p>
      <w:pPr>
        <w:spacing w:after="0" w:line="170" w:lineRule="exact"/>
        <w:rPr>
          <w:rFonts w:ascii="Arial" w:cs="Arial" w:eastAsia="Arial" w:hAnsi="Arial"/>
          <w:sz w:val="18"/>
          <w:szCs w:val="18"/>
          <w:color w:val="auto"/>
        </w:rPr>
      </w:pPr>
    </w:p>
    <w:p>
      <w:pPr>
        <w:ind w:right="20" w:firstLine="464"/>
        <w:spacing w:after="0" w:line="273" w:lineRule="auto"/>
        <w:tabs>
          <w:tab w:leader="none" w:pos="71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 w:name="page16"/>
    <w:bookmarkEnd w:id="15"/>
    <w:p>
      <w:pPr>
        <w:ind w:left="-8" w:firstLine="464"/>
        <w:spacing w:after="0" w:line="297" w:lineRule="auto"/>
        <w:tabs>
          <w:tab w:leader="none" w:pos="663"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the Investment Advisory Agreement and the Administration Agreement have been duly authorized, executed and delivered by the Company and constitute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158" w:lineRule="exact"/>
        <w:rPr>
          <w:rFonts w:ascii="Arial" w:cs="Arial" w:eastAsia="Arial" w:hAnsi="Arial"/>
          <w:sz w:val="16"/>
          <w:szCs w:val="16"/>
          <w:color w:val="auto"/>
        </w:rPr>
      </w:pPr>
    </w:p>
    <w:p>
      <w:pPr>
        <w:ind w:left="-8" w:firstLine="464"/>
        <w:spacing w:after="0" w:line="283" w:lineRule="auto"/>
        <w:tabs>
          <w:tab w:leader="none" w:pos="663" w:val="left"/>
        </w:tabs>
        <w:numPr>
          <w:ilvl w:val="1"/>
          <w:numId w:val="25"/>
        </w:numPr>
        <w:rPr>
          <w:rFonts w:ascii="Arial" w:cs="Arial" w:eastAsia="Arial" w:hAnsi="Arial"/>
          <w:sz w:val="16"/>
          <w:szCs w:val="16"/>
          <w:color w:val="auto"/>
        </w:rPr>
      </w:pPr>
      <w:r>
        <w:rPr>
          <w:rFonts w:ascii="Arial" w:cs="Arial" w:eastAsia="Arial" w:hAnsi="Arial"/>
          <w:sz w:val="16"/>
          <w:szCs w:val="16"/>
          <w:color w:val="auto"/>
        </w:rPr>
        <w:t>neither the Company nor the Subsidiary is (i) in violation of its charter, by-laws, certificate of formation, limited liability company operating agreement, or other organizational documents of the Company or the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 (iii) in contravention of any law, regulation or rule or any decree, judgment or order applicable to the Company or the Subsidiary, as applicable, except, with respect to clause (ii) and (iii), to the extent that any such contravention would not have a Material Adverse Effect; and the execution, delivery and performance by the Company of this Agreement and the consummation of the transactions contemplated hereby will not (i) 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w:t>
      </w:r>
    </w:p>
    <w:p>
      <w:pPr>
        <w:spacing w:after="0" w:line="5" w:lineRule="exact"/>
        <w:rPr>
          <w:rFonts w:ascii="Arial" w:cs="Arial" w:eastAsia="Arial" w:hAnsi="Arial"/>
          <w:sz w:val="16"/>
          <w:szCs w:val="16"/>
          <w:color w:val="auto"/>
        </w:rPr>
      </w:pPr>
    </w:p>
    <w:p>
      <w:pPr>
        <w:jc w:val="both"/>
        <w:ind w:left="-8" w:right="160" w:firstLine="8"/>
        <w:spacing w:after="0" w:line="254" w:lineRule="auto"/>
        <w:tabs>
          <w:tab w:leader="none" w:pos="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contravene any law, regulation or rule or any decree, judgment or order applicable to the Company or the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89" w:lineRule="exact"/>
        <w:rPr>
          <w:rFonts w:ascii="Arial" w:cs="Arial" w:eastAsia="Arial" w:hAnsi="Arial"/>
          <w:sz w:val="18"/>
          <w:szCs w:val="18"/>
          <w:color w:val="auto"/>
        </w:rPr>
      </w:pPr>
    </w:p>
    <w:p>
      <w:pPr>
        <w:ind w:left="-8" w:right="160" w:firstLine="464"/>
        <w:spacing w:after="0" w:line="302" w:lineRule="auto"/>
        <w:tabs>
          <w:tab w:leader="none" w:pos="703"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governmental or regulatory body or agency is required in connection with the 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4" w:right="259" w:bottom="1440" w:gutter="0" w:footer="0" w:header="0"/>
        </w:sectPr>
      </w:pPr>
    </w:p>
    <w:bookmarkStart w:id="16" w:name="page17"/>
    <w:bookmarkEnd w:id="16"/>
    <w:p>
      <w:pPr>
        <w:jc w:val="both"/>
        <w:ind w:left="-20" w:firstLine="464"/>
        <w:spacing w:after="0" w:line="302" w:lineRule="auto"/>
        <w:tabs>
          <w:tab w:leader="none" w:pos="651"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154" w:lineRule="exact"/>
        <w:rPr>
          <w:rFonts w:ascii="Arial" w:cs="Arial" w:eastAsia="Arial" w:hAnsi="Arial"/>
          <w:sz w:val="16"/>
          <w:szCs w:val="16"/>
          <w:color w:val="auto"/>
        </w:rPr>
      </w:pPr>
    </w:p>
    <w:p>
      <w:pPr>
        <w:ind w:left="-20" w:right="60" w:firstLine="464"/>
        <w:spacing w:after="0" w:line="255" w:lineRule="auto"/>
        <w:tabs>
          <w:tab w:leader="none" w:pos="7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Company and the Subsidiary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189" w:lineRule="exact"/>
        <w:rPr>
          <w:rFonts w:ascii="Arial" w:cs="Arial" w:eastAsia="Arial" w:hAnsi="Arial"/>
          <w:sz w:val="18"/>
          <w:szCs w:val="18"/>
          <w:color w:val="auto"/>
        </w:rPr>
      </w:pPr>
    </w:p>
    <w:p>
      <w:pPr>
        <w:ind w:left="-20" w:right="60" w:firstLine="464"/>
        <w:spacing w:after="0" w:line="264"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181" w:lineRule="exact"/>
        <w:rPr>
          <w:rFonts w:ascii="Arial" w:cs="Arial" w:eastAsia="Arial" w:hAnsi="Arial"/>
          <w:sz w:val="18"/>
          <w:szCs w:val="18"/>
          <w:color w:val="auto"/>
        </w:rPr>
      </w:pPr>
    </w:p>
    <w:p>
      <w:pPr>
        <w:ind w:left="-20" w:right="140" w:firstLine="464"/>
        <w:spacing w:after="0" w:line="255"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there are no legal actions, suits, claims, investigations or proceedings pending or, to the Company’s knowledge, threatened to which the Company or the Subsidiary,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Subsidiary, as the case may be, have a Material Adverse Effect or prevent consummation of the transactions contemplated hereby;</w:t>
      </w:r>
    </w:p>
    <w:p>
      <w:pPr>
        <w:spacing w:after="0" w:line="193" w:lineRule="exact"/>
        <w:rPr>
          <w:rFonts w:ascii="Arial" w:cs="Arial" w:eastAsia="Arial" w:hAnsi="Arial"/>
          <w:sz w:val="18"/>
          <w:szCs w:val="18"/>
          <w:color w:val="auto"/>
        </w:rPr>
      </w:pPr>
    </w:p>
    <w:p>
      <w:pPr>
        <w:ind w:left="-20" w:right="220" w:firstLine="464"/>
        <w:spacing w:after="0" w:line="277" w:lineRule="auto"/>
        <w:tabs>
          <w:tab w:leader="none" w:pos="691" w:val="left"/>
        </w:tabs>
        <w:numPr>
          <w:ilvl w:val="0"/>
          <w:numId w:val="27"/>
        </w:numPr>
        <w:rPr>
          <w:rFonts w:ascii="Arial" w:cs="Arial" w:eastAsia="Arial" w:hAnsi="Arial"/>
          <w:sz w:val="18"/>
          <w:szCs w:val="18"/>
          <w:color w:val="auto"/>
        </w:rPr>
      </w:pPr>
      <w:r>
        <w:rPr>
          <w:rFonts w:ascii="Arial" w:cs="Arial" w:eastAsia="Arial" w:hAnsi="Arial"/>
          <w:sz w:val="18"/>
          <w:szCs w:val="18"/>
          <w:color w:val="auto"/>
        </w:rPr>
        <w:t>RSM US LLP, whose report on the statement of assets and liabilities of the Company is filed with the Commission as part of the Prospectus, is an independent registered public accounting firm as required by the Act;</w:t>
      </w:r>
    </w:p>
    <w:p>
      <w:pPr>
        <w:spacing w:after="0" w:line="170" w:lineRule="exact"/>
        <w:rPr>
          <w:rFonts w:ascii="Arial" w:cs="Arial" w:eastAsia="Arial" w:hAnsi="Arial"/>
          <w:sz w:val="18"/>
          <w:szCs w:val="18"/>
          <w:color w:val="auto"/>
        </w:rPr>
      </w:pPr>
    </w:p>
    <w:p>
      <w:pPr>
        <w:ind w:left="-20" w:right="60" w:firstLine="464"/>
        <w:spacing w:after="0" w:line="293"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17" w:name="page18"/>
    <w:bookmarkEnd w:id="1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167" w:lineRule="exact"/>
        <w:rPr>
          <w:sz w:val="20"/>
          <w:szCs w:val="20"/>
          <w:color w:val="auto"/>
        </w:rPr>
      </w:pPr>
    </w:p>
    <w:p>
      <w:pPr>
        <w:jc w:val="both"/>
        <w:ind w:right="500" w:firstLine="464"/>
        <w:spacing w:after="0" w:line="312" w:lineRule="auto"/>
        <w:tabs>
          <w:tab w:leader="none" w:pos="68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Subsidiary;</w:t>
      </w:r>
    </w:p>
    <w:p>
      <w:pPr>
        <w:spacing w:after="0" w:line="146" w:lineRule="exact"/>
        <w:rPr>
          <w:rFonts w:ascii="Arial" w:cs="Arial" w:eastAsia="Arial" w:hAnsi="Arial"/>
          <w:sz w:val="16"/>
          <w:szCs w:val="16"/>
          <w:color w:val="auto"/>
        </w:rPr>
      </w:pPr>
    </w:p>
    <w:p>
      <w:pPr>
        <w:ind w:right="60" w:firstLine="464"/>
        <w:spacing w:after="0" w:line="277" w:lineRule="auto"/>
        <w:tabs>
          <w:tab w:leader="none" w:pos="69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Company and the Subsidiary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181" w:lineRule="exact"/>
        <w:rPr>
          <w:rFonts w:ascii="Arial" w:cs="Arial" w:eastAsia="Arial" w:hAnsi="Arial"/>
          <w:sz w:val="18"/>
          <w:szCs w:val="18"/>
          <w:color w:val="auto"/>
        </w:rPr>
      </w:pPr>
    </w:p>
    <w:p>
      <w:pPr>
        <w:ind w:firstLine="464"/>
        <w:spacing w:after="0" w:line="270" w:lineRule="auto"/>
        <w:tabs>
          <w:tab w:leader="none" w:pos="711" w:val="left"/>
        </w:tabs>
        <w:numPr>
          <w:ilvl w:val="0"/>
          <w:numId w:val="28"/>
        </w:numPr>
        <w:rPr>
          <w:rFonts w:ascii="Arial" w:cs="Arial" w:eastAsia="Arial" w:hAnsi="Arial"/>
          <w:sz w:val="17"/>
          <w:szCs w:val="17"/>
          <w:color w:val="auto"/>
        </w:rPr>
      </w:pPr>
      <w:r>
        <w:rPr>
          <w:rFonts w:ascii="Arial" w:cs="Arial" w:eastAsia="Arial" w:hAnsi="Arial"/>
          <w:sz w:val="17"/>
          <w:szCs w:val="17"/>
          <w:color w:val="auto"/>
        </w:rPr>
        <w:t>each of the Company and the Subsidiary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except where the failure to own, license or have such rights would not, individually or in the aggregate, have a Material Adverse Effect; except as disclosed in the Registration Statement, the Pricing Prospectus and the Prospectus, neither the Company nor the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the Subsidiary, as the case may be, therein, and which infringement or conflict (if the subject of any unfavorable decision, ruling or finding) or invalidity or inadequacy, would result in a Material Adverse Effect;</w:t>
      </w:r>
    </w:p>
    <w:p>
      <w:pPr>
        <w:spacing w:after="0" w:line="181" w:lineRule="exact"/>
        <w:rPr>
          <w:rFonts w:ascii="Arial" w:cs="Arial" w:eastAsia="Arial" w:hAnsi="Arial"/>
          <w:sz w:val="17"/>
          <w:szCs w:val="17"/>
          <w:color w:val="auto"/>
        </w:rPr>
      </w:pPr>
    </w:p>
    <w:p>
      <w:pPr>
        <w:ind w:right="180" w:firstLine="464"/>
        <w:spacing w:after="0" w:line="312" w:lineRule="auto"/>
        <w:tabs>
          <w:tab w:leader="none" w:pos="7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8" w:name="page19"/>
    <w:bookmarkEnd w:id="18"/>
    <w:p>
      <w:pPr>
        <w:ind w:left="-40" w:right="60" w:firstLine="464"/>
        <w:spacing w:after="0" w:line="255"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rFonts w:ascii="Arial" w:cs="Arial" w:eastAsia="Arial" w:hAnsi="Arial"/>
          <w:sz w:val="18"/>
          <w:szCs w:val="18"/>
          <w:color w:val="auto"/>
        </w:rPr>
      </w:pPr>
    </w:p>
    <w:p>
      <w:pPr>
        <w:ind w:left="-40" w:right="20" w:firstLine="464"/>
        <w:spacing w:after="0" w:line="257"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188" w:lineRule="exact"/>
        <w:rPr>
          <w:rFonts w:ascii="Arial" w:cs="Arial" w:eastAsia="Arial" w:hAnsi="Arial"/>
          <w:sz w:val="18"/>
          <w:szCs w:val="18"/>
          <w:color w:val="auto"/>
        </w:rPr>
      </w:pPr>
    </w:p>
    <w:p>
      <w:pPr>
        <w:ind w:left="-40" w:firstLine="464"/>
        <w:spacing w:after="0" w:line="291" w:lineRule="auto"/>
        <w:tabs>
          <w:tab w:leader="none" w:pos="6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67" w:lineRule="exact"/>
        <w:rPr>
          <w:rFonts w:ascii="Arial" w:cs="Arial" w:eastAsia="Arial" w:hAnsi="Arial"/>
          <w:sz w:val="16"/>
          <w:szCs w:val="16"/>
          <w:color w:val="auto"/>
        </w:rPr>
      </w:pPr>
    </w:p>
    <w:p>
      <w:pPr>
        <w:ind w:left="-40" w:right="60" w:firstLine="464"/>
        <w:spacing w:after="0" w:line="259" w:lineRule="auto"/>
        <w:tabs>
          <w:tab w:leader="none" w:pos="66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 in a manner inconsistent with or impermissible under the Exchange Act;</w:t>
      </w:r>
    </w:p>
    <w:p>
      <w:pPr>
        <w:spacing w:after="0" w:line="187" w:lineRule="exact"/>
        <w:rPr>
          <w:sz w:val="20"/>
          <w:szCs w:val="20"/>
          <w:color w:val="auto"/>
        </w:rPr>
      </w:pPr>
    </w:p>
    <w:p>
      <w:pPr>
        <w:ind w:left="-40" w:right="300" w:firstLine="464"/>
        <w:spacing w:after="0" w:line="286" w:lineRule="auto"/>
        <w:tabs>
          <w:tab w:leader="none" w:pos="74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19" w:name="page20"/>
    <w:bookmarkEnd w:id="19"/>
    <w:p>
      <w:pPr>
        <w:ind w:left="-20" w:firstLine="464"/>
        <w:spacing w:after="0" w:line="277" w:lineRule="auto"/>
        <w:tabs>
          <w:tab w:leader="none" w:pos="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70" w:lineRule="exact"/>
        <w:rPr>
          <w:rFonts w:ascii="Arial" w:cs="Arial" w:eastAsia="Arial" w:hAnsi="Arial"/>
          <w:sz w:val="18"/>
          <w:szCs w:val="18"/>
          <w:color w:val="auto"/>
        </w:rPr>
      </w:pPr>
    </w:p>
    <w:p>
      <w:pPr>
        <w:ind w:left="-20" w:right="160" w:firstLine="464"/>
        <w:spacing w:after="0" w:line="277" w:lineRule="auto"/>
        <w:tabs>
          <w:tab w:leader="none" w:pos="7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70" w:lineRule="exact"/>
        <w:rPr>
          <w:rFonts w:ascii="Arial" w:cs="Arial" w:eastAsia="Arial" w:hAnsi="Arial"/>
          <w:sz w:val="18"/>
          <w:szCs w:val="18"/>
          <w:color w:val="auto"/>
        </w:rPr>
      </w:pPr>
    </w:p>
    <w:p>
      <w:pPr>
        <w:ind w:left="-20" w:right="600" w:firstLine="464"/>
        <w:spacing w:after="0" w:line="264" w:lineRule="auto"/>
        <w:tabs>
          <w:tab w:leader="none" w:pos="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81" w:lineRule="exact"/>
        <w:rPr>
          <w:rFonts w:ascii="Arial" w:cs="Arial" w:eastAsia="Arial" w:hAnsi="Arial"/>
          <w:sz w:val="18"/>
          <w:szCs w:val="18"/>
          <w:color w:val="auto"/>
        </w:rPr>
      </w:pPr>
    </w:p>
    <w:p>
      <w:pPr>
        <w:ind w:left="-20" w:firstLine="464"/>
        <w:spacing w:after="0" w:line="279" w:lineRule="auto"/>
        <w:tabs>
          <w:tab w:leader="none" w:pos="7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71" w:lineRule="exact"/>
        <w:rPr>
          <w:rFonts w:ascii="Arial" w:cs="Arial" w:eastAsia="Arial" w:hAnsi="Arial"/>
          <w:sz w:val="17"/>
          <w:szCs w:val="17"/>
          <w:color w:val="auto"/>
        </w:rPr>
      </w:pPr>
    </w:p>
    <w:p>
      <w:pPr>
        <w:ind w:left="-20" w:right="140" w:firstLine="464"/>
        <w:spacing w:after="0" w:line="297" w:lineRule="auto"/>
        <w:tabs>
          <w:tab w:leader="none" w:pos="718"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158" w:lineRule="exact"/>
        <w:rPr>
          <w:rFonts w:ascii="Arial" w:cs="Arial" w:eastAsia="Arial" w:hAnsi="Arial"/>
          <w:sz w:val="16"/>
          <w:szCs w:val="16"/>
          <w:color w:val="auto"/>
        </w:rPr>
      </w:pPr>
    </w:p>
    <w:p>
      <w:pPr>
        <w:ind w:left="-20" w:right="180" w:firstLine="464"/>
        <w:spacing w:after="0" w:line="259" w:lineRule="auto"/>
        <w:tabs>
          <w:tab w:leader="none" w:pos="7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186" w:lineRule="exact"/>
        <w:rPr>
          <w:rFonts w:ascii="Arial" w:cs="Arial" w:eastAsia="Arial" w:hAnsi="Arial"/>
          <w:sz w:val="18"/>
          <w:szCs w:val="18"/>
          <w:color w:val="auto"/>
        </w:rPr>
      </w:pPr>
    </w:p>
    <w:p>
      <w:pPr>
        <w:jc w:val="both"/>
        <w:ind w:left="-20" w:right="440" w:firstLine="464"/>
        <w:spacing w:after="0" w:line="342" w:lineRule="auto"/>
        <w:tabs>
          <w:tab w:leader="none" w:pos="781"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the Commission’s published rules promulgated thereunder;</w:t>
      </w:r>
    </w:p>
    <w:p>
      <w:pPr>
        <w:spacing w:after="0" w:line="123" w:lineRule="exact"/>
        <w:rPr>
          <w:rFonts w:ascii="Arial" w:cs="Arial" w:eastAsia="Arial" w:hAnsi="Arial"/>
          <w:sz w:val="16"/>
          <w:szCs w:val="16"/>
          <w:color w:val="auto"/>
        </w:rPr>
      </w:pPr>
    </w:p>
    <w:p>
      <w:pPr>
        <w:ind w:left="-20" w:right="60" w:firstLine="464"/>
        <w:spacing w:after="0" w:line="276" w:lineRule="auto"/>
        <w:tabs>
          <w:tab w:leader="none" w:pos="701"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each of the Company and the Subsidiary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0" w:name="page21"/>
    <w:bookmarkEnd w:id="20"/>
    <w:p>
      <w:pPr>
        <w:ind w:left="-8" w:right="100" w:firstLine="464"/>
        <w:spacing w:after="0" w:line="255" w:lineRule="auto"/>
        <w:tabs>
          <w:tab w:leader="none" w:pos="713"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operations of the Company and the Subsidiary are and have been conducted at all times in material compliance with all applicable financial recordkeeping and reporting requirement of the Currency and Foreign Transaction Reporting Act of 1970 (otherwise known as the Bank Secrecy Act), as amended, and the applicable anti-money laundering statutes of jurisdictions where the Company and the Subsidiary conduct business, and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i w:val="1"/>
          <w:i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the Subsidiary with respect to Anti-Money Laundering Laws is pending or, to the best knowledge of the Company or the Subsidiary, threatened;</w:t>
      </w:r>
    </w:p>
    <w:p>
      <w:pPr>
        <w:spacing w:after="0" w:line="189" w:lineRule="exact"/>
        <w:rPr>
          <w:rFonts w:ascii="Arial" w:cs="Arial" w:eastAsia="Arial" w:hAnsi="Arial"/>
          <w:sz w:val="18"/>
          <w:szCs w:val="18"/>
          <w:color w:val="auto"/>
        </w:rPr>
      </w:pPr>
    </w:p>
    <w:p>
      <w:pPr>
        <w:jc w:val="both"/>
        <w:ind w:left="-8" w:firstLine="464"/>
        <w:spacing w:after="0" w:line="285" w:lineRule="auto"/>
        <w:tabs>
          <w:tab w:leader="none" w:pos="793" w:val="left"/>
        </w:tabs>
        <w:numPr>
          <w:ilvl w:val="1"/>
          <w:numId w:val="32"/>
        </w:numPr>
        <w:rPr>
          <w:rFonts w:ascii="Arial" w:cs="Arial" w:eastAsia="Arial" w:hAnsi="Arial"/>
          <w:sz w:val="16"/>
          <w:szCs w:val="16"/>
          <w:color w:val="auto"/>
        </w:rPr>
      </w:pPr>
      <w:r>
        <w:rPr>
          <w:rFonts w:ascii="Arial" w:cs="Arial" w:eastAsia="Arial" w:hAnsi="Arial"/>
          <w:sz w:val="16"/>
          <w:szCs w:val="16"/>
          <w:color w:val="auto"/>
        </w:rPr>
        <w:t>neither the Company, the Subsidiary, any director, officer or employee of the Company or the Subsidiary nor, to the knowledge of the Company, any affiliate of the Company or the Subsidiary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Arial" w:cs="Arial" w:eastAsia="Arial" w:hAnsi="Arial"/>
          <w:sz w:val="16"/>
          <w:szCs w:val="16"/>
          <w:color w:val="auto"/>
        </w:rPr>
      </w:pPr>
    </w:p>
    <w:p>
      <w:pPr>
        <w:jc w:val="both"/>
        <w:ind w:left="-8" w:right="180" w:firstLine="8"/>
        <w:spacing w:after="0" w:line="254" w:lineRule="auto"/>
        <w:tabs>
          <w:tab w:leader="none" w:pos="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thereunder,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and</w:t>
      </w:r>
    </w:p>
    <w:p>
      <w:pPr>
        <w:spacing w:after="0" w:line="189" w:lineRule="exact"/>
        <w:rPr>
          <w:rFonts w:ascii="Arial" w:cs="Arial" w:eastAsia="Arial" w:hAnsi="Arial"/>
          <w:sz w:val="18"/>
          <w:szCs w:val="18"/>
          <w:color w:val="auto"/>
        </w:rPr>
      </w:pPr>
    </w:p>
    <w:p>
      <w:pPr>
        <w:ind w:left="-8" w:firstLine="464"/>
        <w:spacing w:after="0" w:line="270" w:lineRule="auto"/>
        <w:tabs>
          <w:tab w:leader="none" w:pos="713" w:val="left"/>
        </w:tabs>
        <w:numPr>
          <w:ilvl w:val="1"/>
          <w:numId w:val="33"/>
        </w:numPr>
        <w:rPr>
          <w:rFonts w:ascii="Arial" w:cs="Arial" w:eastAsia="Arial" w:hAnsi="Arial"/>
          <w:sz w:val="17"/>
          <w:szCs w:val="17"/>
          <w:color w:val="auto"/>
        </w:rPr>
      </w:pPr>
      <w:r>
        <w:rPr>
          <w:rFonts w:ascii="Arial" w:cs="Arial" w:eastAsia="Arial" w:hAnsi="Arial"/>
          <w:sz w:val="17"/>
          <w:szCs w:val="17"/>
          <w:color w:val="auto"/>
        </w:rPr>
        <w:t>neither the Company, the Subsidiary, any director, officer or employee of the Company nor, to the knowledge of the Company, any affiliate or agent of the Company or the Subsidiary is currently the subject or target of any sanctions administered or enforced by the U.S. government (including, without limitation, the Office of Foreign Assets Control of the U.S. Department of the Treasury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or the U.S. Department of State and including, without limitation, the designation as a “specially designated national” or “blocked person”), nor is the Company or any of its subsidiaries located, organized or resident in a country or territory that is the subject or target of applicable sanctions laws, including, without limitation, Cuba, Iran, North Korea, Sudan, Syria and Crimea (each, a “</w:t>
      </w:r>
      <w:r>
        <w:rPr>
          <w:rFonts w:ascii="Arial" w:cs="Arial" w:eastAsia="Arial" w:hAnsi="Arial"/>
          <w:sz w:val="17"/>
          <w:szCs w:val="17"/>
          <w:b w:val="1"/>
          <w:bCs w:val="1"/>
          <w:i w:val="1"/>
          <w:iCs w:val="1"/>
          <w:color w:val="auto"/>
        </w:rPr>
        <w:t>Sanctioned Country</w:t>
      </w:r>
      <w:r>
        <w:rPr>
          <w:rFonts w:ascii="Arial" w:cs="Arial" w:eastAsia="Arial" w:hAnsi="Arial"/>
          <w:sz w:val="17"/>
          <w:szCs w:val="17"/>
          <w:color w:val="auto"/>
        </w:rPr>
        <w:t>”) in violation of applicable law; and the Company will not directly or indirectly use the proceeds of the offering, or lend, contribute or otherwise make available such proceeds to any subsidiary, joint venture party or other person or entity, (i) for the purpose of financing the activities of or with any person or entity, or in any country or territory that, at the time of such financing is the subject of any sanctions administered by OFAC, (ii) to fund or facilitate any activities of or business in any Sanctioned Country in violation of applicable law or (iii) in any other manner that will result in a violation by any person (including any person participating in the transaction, whether as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4" w:right="259" w:bottom="1440" w:gutter="0" w:footer="0" w:header="0"/>
        </w:sectPr>
      </w:pPr>
    </w:p>
    <w:bookmarkStart w:id="21" w:name="page22"/>
    <w:bookmarkEnd w:id="21"/>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advisor, investor or otherwise) of applicable sanctions laws. The Company and the Subsidiary have not knowingly engaged in and are not now knowingly engaged in any dealings or transactions with any person that at the time of the dealing or transaction is or was the subject or the target of applicable sanctions laws or with any Sanctioned Country except as permitted by applicable law.</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81" w:lineRule="exact"/>
        <w:rPr>
          <w:sz w:val="20"/>
          <w:szCs w:val="20"/>
          <w:color w:val="auto"/>
        </w:rPr>
      </w:pPr>
    </w:p>
    <w:p>
      <w:pPr>
        <w:ind w:firstLine="464"/>
        <w:spacing w:after="0" w:line="277" w:lineRule="auto"/>
        <w:tabs>
          <w:tab w:leader="none" w:pos="63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70" w:lineRule="exact"/>
        <w:rPr>
          <w:sz w:val="20"/>
          <w:szCs w:val="20"/>
          <w:color w:val="auto"/>
        </w:rPr>
      </w:pPr>
    </w:p>
    <w:p>
      <w:pPr>
        <w:ind w:right="20" w:firstLine="464"/>
        <w:spacing w:after="0" w:line="270" w:lineRule="auto"/>
        <w:tabs>
          <w:tab w:leader="none" w:pos="701"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7"/>
          <w:szCs w:val="17"/>
          <w:b w:val="1"/>
          <w:bCs w:val="1"/>
          <w:i w:val="1"/>
          <w:iCs w:val="1"/>
          <w:color w:val="auto"/>
        </w:rPr>
        <w:t>Adviser/Administrator Material Adverse Effect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ind w:right="60" w:firstLine="464"/>
        <w:spacing w:after="0" w:line="279" w:lineRule="auto"/>
        <w:tabs>
          <w:tab w:leader="none" w:pos="7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71" w:lineRule="exact"/>
        <w:rPr>
          <w:rFonts w:ascii="Arial" w:cs="Arial" w:eastAsia="Arial" w:hAnsi="Arial"/>
          <w:sz w:val="17"/>
          <w:szCs w:val="17"/>
          <w:color w:val="auto"/>
        </w:rPr>
      </w:pPr>
    </w:p>
    <w:p>
      <w:pPr>
        <w:ind w:right="40" w:firstLine="464"/>
        <w:spacing w:after="0" w:line="255" w:lineRule="auto"/>
        <w:tabs>
          <w:tab w:leader="none" w:pos="7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(i) have, individually or in the aggregate, an Adviser/Administrator Material Adverse Effect, or (ii) prevent the consummation of the transactions contemplated hereby;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 w:name="page23"/>
    <w:bookmarkEnd w:id="22"/>
    <w:p>
      <w:pPr>
        <w:ind w:left="-8" w:firstLine="464"/>
        <w:spacing w:after="0" w:line="284" w:lineRule="auto"/>
        <w:tabs>
          <w:tab w:leader="none" w:pos="703" w:val="left"/>
        </w:tabs>
        <w:numPr>
          <w:ilvl w:val="1"/>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Adviser nor the Administrator is (i) in violation of its limited liability company operating agreement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w:t>
      </w:r>
    </w:p>
    <w:p>
      <w:pPr>
        <w:spacing w:after="0" w:line="1" w:lineRule="exact"/>
        <w:rPr>
          <w:rFonts w:ascii="Arial" w:cs="Arial" w:eastAsia="Arial" w:hAnsi="Arial"/>
          <w:sz w:val="16"/>
          <w:szCs w:val="16"/>
          <w:color w:val="auto"/>
        </w:rPr>
      </w:pPr>
    </w:p>
    <w:p>
      <w:pPr>
        <w:ind w:left="-8" w:right="60" w:firstLine="8"/>
        <w:spacing w:after="0" w:line="253" w:lineRule="auto"/>
        <w:tabs>
          <w:tab w:leader="none" w:pos="257"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191" w:lineRule="exact"/>
        <w:rPr>
          <w:rFonts w:ascii="Arial" w:cs="Arial" w:eastAsia="Arial" w:hAnsi="Arial"/>
          <w:sz w:val="18"/>
          <w:szCs w:val="18"/>
          <w:color w:val="auto"/>
        </w:rPr>
      </w:pPr>
    </w:p>
    <w:p>
      <w:pPr>
        <w:ind w:left="-8" w:right="120" w:firstLine="464"/>
        <w:spacing w:after="0" w:line="284" w:lineRule="auto"/>
        <w:tabs>
          <w:tab w:leader="none" w:pos="693"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and (iv), to the extent that any such contravention would not have an Adviser/Administrator Material Adverse Effect;</w:t>
      </w:r>
    </w:p>
    <w:p>
      <w:pPr>
        <w:spacing w:after="0" w:line="210" w:lineRule="exact"/>
        <w:rPr>
          <w:rFonts w:ascii="Arial" w:cs="Arial" w:eastAsia="Arial" w:hAnsi="Arial"/>
          <w:sz w:val="18"/>
          <w:szCs w:val="18"/>
          <w:color w:val="auto"/>
        </w:rPr>
      </w:pPr>
    </w:p>
    <w:p>
      <w:pPr>
        <w:ind w:left="-8" w:firstLine="464"/>
        <w:spacing w:after="0" w:line="255" w:lineRule="auto"/>
        <w:tabs>
          <w:tab w:leader="none" w:pos="673"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74" w:right="259" w:bottom="1440" w:gutter="0" w:footer="0" w:header="0"/>
        </w:sectPr>
      </w:pPr>
    </w:p>
    <w:bookmarkStart w:id="23" w:name="page24"/>
    <w:bookmarkEnd w:id="23"/>
    <w:p>
      <w:pPr>
        <w:ind w:right="360" w:firstLine="464"/>
        <w:spacing w:after="0" w:line="277"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description of the Adviser and the Administrator contained in the Pricing Prospectus, the Prospectus and the Registration Statement is true, accurate and complete in all material respects;</w:t>
      </w:r>
    </w:p>
    <w:p>
      <w:pPr>
        <w:spacing w:after="0" w:line="170"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81" w:lineRule="exact"/>
        <w:rPr>
          <w:rFonts w:ascii="Arial" w:cs="Arial" w:eastAsia="Arial" w:hAnsi="Arial"/>
          <w:sz w:val="18"/>
          <w:szCs w:val="18"/>
          <w:color w:val="auto"/>
        </w:rPr>
      </w:pPr>
    </w:p>
    <w:p>
      <w:pPr>
        <w:ind w:right="120" w:firstLine="464"/>
        <w:spacing w:after="0" w:line="259" w:lineRule="auto"/>
        <w:tabs>
          <w:tab w:leader="none" w:pos="6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86" w:lineRule="exact"/>
        <w:rPr>
          <w:rFonts w:ascii="Arial" w:cs="Arial" w:eastAsia="Arial" w:hAnsi="Arial"/>
          <w:sz w:val="18"/>
          <w:szCs w:val="18"/>
          <w:color w:val="auto"/>
        </w:rPr>
      </w:pPr>
    </w:p>
    <w:p>
      <w:pPr>
        <w:ind w:right="40" w:firstLine="464"/>
        <w:spacing w:after="0" w:line="273" w:lineRule="auto"/>
        <w:tabs>
          <w:tab w:leader="none" w:pos="6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78"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81" w:lineRule="exact"/>
        <w:rPr>
          <w:rFonts w:ascii="Arial" w:cs="Arial" w:eastAsia="Arial" w:hAnsi="Arial"/>
          <w:sz w:val="18"/>
          <w:szCs w:val="18"/>
          <w:color w:val="auto"/>
        </w:rPr>
      </w:pPr>
    </w:p>
    <w:p>
      <w:pPr>
        <w:ind w:left="680" w:hanging="216"/>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Adviser is not aware that (i) any executive, key employee or significant group of employees of the Company, if any, the Adviser or the</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89" w:lineRule="exact"/>
        <w:rPr>
          <w:rFonts w:ascii="Arial" w:cs="Arial" w:eastAsia="Arial" w:hAnsi="Arial"/>
          <w:sz w:val="17"/>
          <w:szCs w:val="17"/>
          <w:color w:val="auto"/>
        </w:rPr>
      </w:pPr>
    </w:p>
    <w:p>
      <w:pPr>
        <w:ind w:right="60" w:firstLine="464"/>
        <w:spacing w:after="0" w:line="264" w:lineRule="auto"/>
        <w:tabs>
          <w:tab w:leader="none" w:pos="7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4" w:name="page25"/>
    <w:bookmarkEnd w:id="24"/>
    <w:p>
      <w:pPr>
        <w:ind w:firstLine="464"/>
        <w:spacing w:after="0" w:line="302"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54" w:lineRule="exact"/>
        <w:rPr>
          <w:rFonts w:ascii="Arial" w:cs="Arial" w:eastAsia="Arial" w:hAnsi="Arial"/>
          <w:sz w:val="16"/>
          <w:szCs w:val="16"/>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operations of the Adviser and the Administrator are and have been conducted at all times in material compliance with Anti-Money Laundering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210" w:lineRule="exact"/>
        <w:rPr>
          <w:rFonts w:ascii="Arial" w:cs="Arial" w:eastAsia="Arial" w:hAnsi="Arial"/>
          <w:sz w:val="16"/>
          <w:szCs w:val="16"/>
          <w:color w:val="auto"/>
        </w:rPr>
      </w:pPr>
    </w:p>
    <w:p>
      <w:pPr>
        <w:ind w:firstLine="464"/>
        <w:spacing w:after="0" w:line="270"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neither the Adviser, the Administrator, any director, officer or employee of the Advisor or the Administrator nor, to the knowledge of the Adviser or the Administrator, any agent or affiliate of the Advisor or the Administrator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thereunder,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and</w:t>
      </w:r>
    </w:p>
    <w:p>
      <w:pPr>
        <w:spacing w:after="0" w:line="181" w:lineRule="exact"/>
        <w:rPr>
          <w:rFonts w:ascii="Arial" w:cs="Arial" w:eastAsia="Arial" w:hAnsi="Arial"/>
          <w:sz w:val="17"/>
          <w:szCs w:val="17"/>
          <w:color w:val="auto"/>
        </w:rPr>
      </w:pPr>
    </w:p>
    <w:p>
      <w:pPr>
        <w:ind w:right="40" w:firstLine="464"/>
        <w:spacing w:after="0" w:line="291"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the Adviser, the Administrator, any director, officer or employee of the Adviser or the Administrator nor, to the knowledge of the Adviser or the Administrator, any affiliate or agent of the Adviser or the Administrator is currently the subject or target of any sanctions administered or enforced by the U.S. government (including, without limitation, OFAC or the U.S. Department of State and including, without limitation, the designation as a “specially designed national” or “blocked person”), nor is the Adviser or the Administrator located, organized or resident in a country or territory that is the subject or target of applicable sanctions laws, including, without limitation, a Sanctioned Country in violation of applicable law. The Adviser and the Administrator have not knowingly engaged in and are not now knowingly engaged in any dealings or transactions with any person that at the time of the dealing or transaction is or was the subject or the target of applicable sanctions laws or with any Sanctioned Country except as permitted by applicable law.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 w:name="page26"/>
    <w:bookmarkEnd w:id="25"/>
    <w:p>
      <w:pPr>
        <w:ind w:left="-8" w:right="340" w:firstLine="464"/>
        <w:spacing w:after="0" w:line="277"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70" w:lineRule="exact"/>
        <w:rPr>
          <w:sz w:val="20"/>
          <w:szCs w:val="20"/>
          <w:color w:val="auto"/>
        </w:rPr>
      </w:pPr>
    </w:p>
    <w:p>
      <w:pPr>
        <w:ind w:left="-8" w:right="80" w:firstLine="464"/>
        <w:spacing w:after="0" w:line="273" w:lineRule="auto"/>
        <w:tabs>
          <w:tab w:leader="none" w:pos="69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78" w:lineRule="exact"/>
        <w:rPr>
          <w:rFonts w:ascii="Arial" w:cs="Arial" w:eastAsia="Arial" w:hAnsi="Arial"/>
          <w:sz w:val="17"/>
          <w:szCs w:val="17"/>
          <w:color w:val="auto"/>
        </w:rPr>
      </w:pPr>
    </w:p>
    <w:p>
      <w:pPr>
        <w:ind w:left="-8" w:right="40" w:firstLine="464"/>
        <w:spacing w:after="0" w:line="272" w:lineRule="auto"/>
        <w:tabs>
          <w:tab w:leader="none" w:pos="70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177" w:lineRule="exact"/>
        <w:rPr>
          <w:rFonts w:ascii="Arial" w:cs="Arial" w:eastAsia="Arial" w:hAnsi="Arial"/>
          <w:sz w:val="17"/>
          <w:szCs w:val="17"/>
          <w:color w:val="auto"/>
        </w:rPr>
      </w:pPr>
    </w:p>
    <w:p>
      <w:pPr>
        <w:ind w:left="-8" w:right="20" w:firstLine="464"/>
        <w:spacing w:after="0" w:line="288" w:lineRule="auto"/>
        <w:tabs>
          <w:tab w:leader="none" w:pos="693"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that if, at the time of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w:t>
      </w:r>
    </w:p>
    <w:p>
      <w:pPr>
        <w:ind w:left="-8" w:right="180" w:firstLine="8"/>
        <w:spacing w:after="0" w:line="323" w:lineRule="auto"/>
        <w:tabs>
          <w:tab w:leader="none" w:pos="2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38" w:lineRule="exact"/>
        <w:rPr>
          <w:rFonts w:ascii="Arial" w:cs="Arial" w:eastAsia="Arial" w:hAnsi="Arial"/>
          <w:sz w:val="16"/>
          <w:szCs w:val="16"/>
          <w:color w:val="auto"/>
        </w:rPr>
      </w:pPr>
    </w:p>
    <w:p>
      <w:pPr>
        <w:ind w:left="-8" w:firstLine="464"/>
        <w:spacing w:after="0" w:line="290" w:lineRule="auto"/>
        <w:tabs>
          <w:tab w:leader="none" w:pos="70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6" w:name="page27"/>
    <w:bookmarkEnd w:id="26"/>
    <w:p>
      <w:pPr>
        <w:ind w:left="-40" w:right="20" w:firstLine="464"/>
        <w:spacing w:after="0" w:line="264" w:lineRule="auto"/>
        <w:tabs>
          <w:tab w:leader="none" w:pos="661"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181" w:lineRule="exact"/>
        <w:rPr>
          <w:rFonts w:ascii="Arial" w:cs="Arial" w:eastAsia="Arial" w:hAnsi="Arial"/>
          <w:sz w:val="18"/>
          <w:szCs w:val="18"/>
          <w:color w:val="auto"/>
        </w:rPr>
      </w:pPr>
    </w:p>
    <w:p>
      <w:pPr>
        <w:ind w:left="-40" w:right="20" w:firstLine="464"/>
        <w:spacing w:after="0" w:line="255"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93" w:lineRule="exact"/>
        <w:rPr>
          <w:rFonts w:ascii="Arial" w:cs="Arial" w:eastAsia="Arial" w:hAnsi="Arial"/>
          <w:sz w:val="18"/>
          <w:szCs w:val="18"/>
          <w:color w:val="auto"/>
        </w:rPr>
      </w:pPr>
    </w:p>
    <w:p>
      <w:pPr>
        <w:ind w:left="-40" w:firstLine="464"/>
        <w:spacing w:after="0" w:line="279" w:lineRule="auto"/>
        <w:tabs>
          <w:tab w:leader="none" w:pos="67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71" w:lineRule="exact"/>
        <w:rPr>
          <w:rFonts w:ascii="Arial" w:cs="Arial" w:eastAsia="Arial" w:hAnsi="Arial"/>
          <w:sz w:val="17"/>
          <w:szCs w:val="17"/>
          <w:color w:val="auto"/>
        </w:rPr>
      </w:pPr>
    </w:p>
    <w:p>
      <w:pPr>
        <w:ind w:left="680" w:hanging="25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225" w:lineRule="exact"/>
        <w:rPr>
          <w:rFonts w:ascii="Arial" w:cs="Arial" w:eastAsia="Arial" w:hAnsi="Arial"/>
          <w:sz w:val="18"/>
          <w:szCs w:val="18"/>
          <w:color w:val="auto"/>
        </w:rPr>
      </w:pPr>
    </w:p>
    <w:p>
      <w:pPr>
        <w:ind w:left="-40" w:right="60" w:firstLine="464"/>
        <w:spacing w:after="0" w:line="272" w:lineRule="auto"/>
        <w:tabs>
          <w:tab w:leader="none" w:pos="63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177" w:lineRule="exact"/>
        <w:rPr>
          <w:rFonts w:ascii="Arial" w:cs="Arial" w:eastAsia="Arial" w:hAnsi="Arial"/>
          <w:sz w:val="17"/>
          <w:szCs w:val="17"/>
          <w:color w:val="auto"/>
        </w:rPr>
      </w:pPr>
    </w:p>
    <w:p>
      <w:pPr>
        <w:ind w:left="-40" w:right="180" w:firstLine="464"/>
        <w:spacing w:after="0" w:line="277"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170" w:lineRule="exact"/>
        <w:rPr>
          <w:rFonts w:ascii="Arial" w:cs="Arial" w:eastAsia="Arial" w:hAnsi="Arial"/>
          <w:sz w:val="18"/>
          <w:szCs w:val="18"/>
          <w:color w:val="auto"/>
        </w:rPr>
      </w:pPr>
    </w:p>
    <w:p>
      <w:pPr>
        <w:ind w:left="-40" w:right="40" w:firstLine="464"/>
        <w:spacing w:after="0" w:line="342" w:lineRule="auto"/>
        <w:tabs>
          <w:tab w:leader="none" w:pos="6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request, the Company will promptly deliver to each Underwriter and Freshfields Bruckhaus Deringer US LLP, counsel for the Underwriters, a signed copy of the Registration Statement, as initially filed and all amendments thereto, including all consents and exhibits filed therewith;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74" w:right="259" w:bottom="1440" w:gutter="0" w:footer="0" w:header="0"/>
        </w:sectPr>
      </w:pPr>
    </w:p>
    <w:bookmarkStart w:id="27" w:name="page28"/>
    <w:bookmarkEnd w:id="27"/>
    <w:p>
      <w:pPr>
        <w:ind w:left="-8" w:right="220" w:firstLine="464"/>
        <w:spacing w:after="0" w:line="277" w:lineRule="auto"/>
        <w:tabs>
          <w:tab w:leader="none" w:pos="663"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apply the net proceeds from the sale of the Shares in the manner set forth under the caption “Use of Proceeds” in the Pricing Prospectus and the Prospectus;</w:t>
      </w:r>
    </w:p>
    <w:p>
      <w:pPr>
        <w:spacing w:after="0" w:line="170" w:lineRule="exact"/>
        <w:rPr>
          <w:rFonts w:ascii="Arial" w:cs="Arial" w:eastAsia="Arial" w:hAnsi="Arial"/>
          <w:sz w:val="18"/>
          <w:szCs w:val="18"/>
          <w:color w:val="auto"/>
        </w:rPr>
      </w:pPr>
    </w:p>
    <w:p>
      <w:pPr>
        <w:ind w:left="-8" w:right="160" w:firstLine="464"/>
        <w:spacing w:after="0" w:line="286" w:lineRule="auto"/>
        <w:tabs>
          <w:tab w:leader="none" w:pos="753"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the Company will use its best efforts to maintain its status as a business development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65" w:lineRule="exact"/>
        <w:rPr>
          <w:rFonts w:ascii="Arial" w:cs="Arial" w:eastAsia="Arial" w:hAnsi="Arial"/>
          <w:sz w:val="17"/>
          <w:szCs w:val="17"/>
          <w:color w:val="auto"/>
        </w:rPr>
      </w:pPr>
    </w:p>
    <w:p>
      <w:pPr>
        <w:ind w:left="-8" w:right="180" w:firstLine="464"/>
        <w:spacing w:after="0" w:line="264" w:lineRule="auto"/>
        <w:tabs>
          <w:tab w:leader="none" w:pos="703"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that the Company will use its best efforts to maintain its qualification and election as a regulated investment company under Subchapter M of the Code for each full fiscal year during which it is a business development company under the Investment Company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discretion of the Company’s board of directors, the Company may elect not to be so treated;</w:t>
      </w:r>
    </w:p>
    <w:p>
      <w:pPr>
        <w:spacing w:after="0" w:line="181" w:lineRule="exact"/>
        <w:rPr>
          <w:rFonts w:ascii="Arial" w:cs="Arial" w:eastAsia="Arial" w:hAnsi="Arial"/>
          <w:sz w:val="18"/>
          <w:szCs w:val="18"/>
          <w:color w:val="auto"/>
        </w:rPr>
      </w:pPr>
    </w:p>
    <w:p>
      <w:pPr>
        <w:ind w:left="-8" w:firstLine="464"/>
        <w:spacing w:after="0" w:line="283" w:lineRule="auto"/>
        <w:tabs>
          <w:tab w:leader="none" w:pos="70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Select Market, (v) any filing for review of the public offering of the Shares by FINRA, including the reasonable legal fees and filing fees and other disbursements of counsel to the Underwriters,</w:t>
      </w:r>
    </w:p>
    <w:p>
      <w:pPr>
        <w:spacing w:after="0" w:line="6" w:lineRule="exact"/>
        <w:rPr>
          <w:rFonts w:ascii="Arial" w:cs="Arial" w:eastAsia="Arial" w:hAnsi="Arial"/>
          <w:sz w:val="16"/>
          <w:szCs w:val="16"/>
          <w:color w:val="auto"/>
        </w:rPr>
      </w:pPr>
    </w:p>
    <w:p>
      <w:pPr>
        <w:ind w:left="-8" w:right="60" w:firstLine="8"/>
        <w:spacing w:after="0" w:line="268" w:lineRule="auto"/>
        <w:tabs>
          <w:tab w:leader="none" w:pos="297"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184" w:lineRule="exact"/>
        <w:rPr>
          <w:rFonts w:ascii="Arial" w:cs="Arial" w:eastAsia="Arial" w:hAnsi="Arial"/>
          <w:sz w:val="17"/>
          <w:szCs w:val="17"/>
          <w:color w:val="auto"/>
        </w:rPr>
      </w:pPr>
    </w:p>
    <w:p>
      <w:pPr>
        <w:jc w:val="both"/>
        <w:ind w:left="-8" w:right="20" w:firstLine="464"/>
        <w:spacing w:after="0" w:line="264" w:lineRule="auto"/>
        <w:tabs>
          <w:tab w:leader="none" w:pos="7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the Company shall not, and shall cause its Subsidiary 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28" w:name="page29"/>
    <w:bookmarkEnd w:id="2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w:t>
      </w:r>
      <w:r>
        <w:rPr>
          <w:rFonts w:ascii="Arial" w:cs="Arial" w:eastAsia="Arial" w:hAnsi="Arial"/>
          <w:sz w:val="18"/>
          <w:szCs w:val="18"/>
          <w:b w:val="1"/>
          <w:bCs w:val="1"/>
          <w:i w:val="1"/>
          <w:iCs w:val="1"/>
          <w:color w:val="auto"/>
        </w:rPr>
        <w:t>Lock-Up Period</w:t>
      </w:r>
      <w:r>
        <w:rPr>
          <w:rFonts w:ascii="Arial" w:cs="Arial" w:eastAsia="Arial" w:hAnsi="Arial"/>
          <w:sz w:val="18"/>
          <w:szCs w:val="18"/>
          <w:color w:val="auto"/>
        </w:rPr>
        <w:t>”), without the prior written consent of Morgan Stanley &amp; Co. LLC which may not be unreasonably withheld. The foregoing sentence shall not apply to (i) the registration of the Shares and the sales to the Underwriters pursuant to this Agreement, (ii) bona fide gifts, provided the recipient thereof agrees in writing to be bound by the terms of the Lock-Up Agreement, (iii) disposition to any trust for the direct or indirect benefit of the applicable party to a Lock-Up Agreement and/or the immediate family of such party, provided that such trust agrees in writing to be bound by the terms of the applicable Lock-Up Agreement or (iv) any issuance of shares of Common Stock pursuant to the Company’s dividend reinvestment plan; and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 to use its best efforts to cause the Shares to be duly authorized for listing on the Nasdaq Global Select Market prior to the date the Shares are issued.</w:t>
      </w:r>
    </w:p>
    <w:p>
      <w:pPr>
        <w:spacing w:after="0" w:line="248" w:lineRule="exact"/>
        <w:rPr>
          <w:sz w:val="20"/>
          <w:szCs w:val="20"/>
          <w:color w:val="auto"/>
        </w:rPr>
      </w:pPr>
    </w:p>
    <w:p>
      <w:pPr>
        <w:ind w:firstLine="464"/>
        <w:spacing w:after="0" w:line="259"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87" w:lineRule="exact"/>
        <w:rPr>
          <w:sz w:val="20"/>
          <w:szCs w:val="20"/>
          <w:color w:val="auto"/>
        </w:rPr>
      </w:pPr>
    </w:p>
    <w:p>
      <w:pPr>
        <w:jc w:val="both"/>
        <w:ind w:right="60" w:firstLine="464"/>
        <w:spacing w:after="0" w:line="259"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186" w:lineRule="exact"/>
        <w:rPr>
          <w:rFonts w:ascii="Arial" w:cs="Arial" w:eastAsia="Arial" w:hAnsi="Arial"/>
          <w:sz w:val="18"/>
          <w:szCs w:val="18"/>
          <w:color w:val="auto"/>
        </w:rPr>
      </w:pPr>
    </w:p>
    <w:p>
      <w:pPr>
        <w:ind w:right="40" w:firstLine="464"/>
        <w:spacing w:after="0" w:line="264"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right="180" w:firstLine="464"/>
        <w:spacing w:after="0" w:line="259"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shall have received from RSM US LLP letters dated, respectively, the Applicable Time, the time of purchase and, if applicable, the additional time of purchase, and addressed to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9" w:name="page30"/>
    <w:bookmarkEnd w:id="29"/>
    <w:p>
      <w:pPr>
        <w:ind w:left="-20" w:right="20" w:firstLine="464"/>
        <w:spacing w:after="0" w:line="264"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shall have received at the time of purchase and, if applicable, at the additional time of purchase, the favorable opinion of Freshfields Bruckhaus Deringer US LLP, counsel for the Underwriters, dated the time of purchase or the additional time of purchase, as the case may be, with respect to the sale of the Shares and other related matters as the Underwriters may require.</w:t>
      </w:r>
    </w:p>
    <w:p>
      <w:pPr>
        <w:spacing w:after="0" w:line="181" w:lineRule="exact"/>
        <w:rPr>
          <w:rFonts w:ascii="Arial" w:cs="Arial" w:eastAsia="Arial" w:hAnsi="Arial"/>
          <w:sz w:val="18"/>
          <w:szCs w:val="18"/>
          <w:color w:val="auto"/>
        </w:rPr>
      </w:pPr>
    </w:p>
    <w:p>
      <w:pPr>
        <w:ind w:left="-20" w:firstLine="464"/>
        <w:spacing w:after="0" w:line="255"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93" w:lineRule="exact"/>
        <w:rPr>
          <w:rFonts w:ascii="Arial" w:cs="Arial" w:eastAsia="Arial" w:hAnsi="Arial"/>
          <w:sz w:val="18"/>
          <w:szCs w:val="18"/>
          <w:color w:val="auto"/>
        </w:rPr>
      </w:pPr>
    </w:p>
    <w:p>
      <w:pPr>
        <w:ind w:left="-20" w:right="20" w:firstLine="464"/>
        <w:spacing w:after="0" w:line="264" w:lineRule="auto"/>
        <w:tabs>
          <w:tab w:leader="none" w:pos="6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81" w:lineRule="exact"/>
        <w:rPr>
          <w:rFonts w:ascii="Arial" w:cs="Arial" w:eastAsia="Arial" w:hAnsi="Arial"/>
          <w:sz w:val="18"/>
          <w:szCs w:val="18"/>
          <w:color w:val="auto"/>
        </w:rPr>
      </w:pPr>
    </w:p>
    <w:p>
      <w:pPr>
        <w:ind w:left="-20" w:right="160" w:firstLine="464"/>
        <w:spacing w:after="0" w:line="277"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Chief Financial Officer in the form attached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700" w:hanging="256"/>
        <w:spacing w:after="0"/>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Company will, at the Applicable Time, deliver to you a certificate of its Chief Financial Officer in the form attached as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hereto.</w:t>
      </w:r>
    </w:p>
    <w:p>
      <w:pPr>
        <w:spacing w:after="0" w:line="236" w:lineRule="exact"/>
        <w:rPr>
          <w:rFonts w:ascii="Arial" w:cs="Arial" w:eastAsia="Arial" w:hAnsi="Arial"/>
          <w:sz w:val="17"/>
          <w:szCs w:val="17"/>
          <w:color w:val="auto"/>
        </w:rPr>
      </w:pPr>
    </w:p>
    <w:p>
      <w:pPr>
        <w:ind w:left="660" w:hanging="21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3(s) hereof.</w:t>
      </w:r>
    </w:p>
    <w:p>
      <w:pPr>
        <w:spacing w:after="0" w:line="225" w:lineRule="exact"/>
        <w:rPr>
          <w:rFonts w:ascii="Arial" w:cs="Arial" w:eastAsia="Arial" w:hAnsi="Arial"/>
          <w:sz w:val="18"/>
          <w:szCs w:val="18"/>
          <w:color w:val="auto"/>
        </w:rPr>
      </w:pPr>
    </w:p>
    <w:p>
      <w:pPr>
        <w:ind w:left="-20" w:right="480" w:firstLine="464"/>
        <w:spacing w:after="0" w:line="277"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Morgan Stanley &amp; Co. LLC shall have received the Adviser Supplemental Payment and Adviser Sales Load Payment with respect to the Firm Shares and, if applicable, the Additional Shares, from the Adviser.</w:t>
      </w:r>
    </w:p>
    <w:p>
      <w:pPr>
        <w:spacing w:after="0" w:line="170" w:lineRule="exact"/>
        <w:rPr>
          <w:rFonts w:ascii="Arial" w:cs="Arial" w:eastAsia="Arial" w:hAnsi="Arial"/>
          <w:sz w:val="18"/>
          <w:szCs w:val="18"/>
          <w:color w:val="auto"/>
        </w:rPr>
      </w:pPr>
    </w:p>
    <w:p>
      <w:pPr>
        <w:ind w:left="-20" w:right="100" w:firstLine="464"/>
        <w:spacing w:after="0" w:line="277"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Select Market, subject only to notice of issuance at or prior to the time of purchase and the additional time of purchase, as the case may be.</w:t>
      </w:r>
    </w:p>
    <w:p>
      <w:pPr>
        <w:spacing w:after="0" w:line="170" w:lineRule="exact"/>
        <w:rPr>
          <w:rFonts w:ascii="Arial" w:cs="Arial" w:eastAsia="Arial" w:hAnsi="Arial"/>
          <w:sz w:val="18"/>
          <w:szCs w:val="18"/>
          <w:color w:val="auto"/>
        </w:rPr>
      </w:pPr>
    </w:p>
    <w:p>
      <w:pPr>
        <w:ind w:left="-20" w:right="240" w:firstLine="464"/>
        <w:spacing w:after="0" w:line="264"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81" w:lineRule="exact"/>
        <w:rPr>
          <w:sz w:val="20"/>
          <w:szCs w:val="20"/>
          <w:color w:val="auto"/>
        </w:rPr>
      </w:pPr>
    </w:p>
    <w:p>
      <w:pPr>
        <w:ind w:left="-20" w:right="240" w:firstLine="464"/>
        <w:spacing w:after="0" w:line="259" w:lineRule="auto"/>
        <w:tabs>
          <w:tab w:leader="none" w:pos="61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8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54" w:lineRule="exact"/>
        <w:rPr>
          <w:sz w:val="20"/>
          <w:szCs w:val="20"/>
          <w:color w:val="auto"/>
        </w:rPr>
      </w:pPr>
    </w:p>
    <w:p>
      <w:pPr>
        <w:ind w:firstLine="921"/>
        <w:spacing w:after="0" w:line="270" w:lineRule="auto"/>
        <w:tabs>
          <w:tab w:leader="none" w:pos="109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Increase in Underwriters’ Commitments</w:t>
      </w:r>
      <w:r>
        <w:rPr>
          <w:rFonts w:ascii="Arial" w:cs="Arial" w:eastAsia="Arial" w:hAnsi="Arial"/>
          <w:sz w:val="17"/>
          <w:szCs w:val="17"/>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1" w:name="page32"/>
    <w:bookmarkEnd w:id="31"/>
    <w:p>
      <w:pPr>
        <w:ind w:right="2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65" w:lineRule="exact"/>
        <w:rPr>
          <w:sz w:val="20"/>
          <w:szCs w:val="20"/>
          <w:color w:val="auto"/>
        </w:rPr>
      </w:pPr>
    </w:p>
    <w:p>
      <w:pPr>
        <w:ind w:left="1100" w:hanging="179"/>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68" w:lineRule="auto"/>
        <w:tabs>
          <w:tab w:leader="none" w:pos="701" w:val="left"/>
        </w:tabs>
        <w:numPr>
          <w:ilvl w:val="0"/>
          <w:numId w:val="53"/>
        </w:numPr>
        <w:rPr>
          <w:rFonts w:ascii="Arial" w:cs="Arial" w:eastAsia="Arial" w:hAnsi="Arial"/>
          <w:sz w:val="17"/>
          <w:szCs w:val="17"/>
          <w:color w:val="auto"/>
        </w:rPr>
      </w:pPr>
      <w:r>
        <w:rPr>
          <w:rFonts w:ascii="Arial" w:cs="Arial" w:eastAsia="Arial" w:hAnsi="Arial"/>
          <w:sz w:val="17"/>
          <w:szCs w:val="17"/>
          <w:color w:val="auto"/>
        </w:rPr>
        <w:t>(1)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 Prospectus or arising out of or based upon any omission or alleged omission to state a material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2" w:name="page33"/>
    <w:bookmarkEnd w:id="32"/>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47" w:lineRule="exact"/>
        <w:rPr>
          <w:sz w:val="20"/>
          <w:szCs w:val="20"/>
          <w:color w:val="auto"/>
        </w:rPr>
      </w:pPr>
    </w:p>
    <w:p>
      <w:pPr>
        <w:ind w:right="20" w:firstLine="464"/>
        <w:spacing w:after="0" w:line="270" w:lineRule="auto"/>
        <w:tabs>
          <w:tab w:leader="none" w:pos="7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81" w:lineRule="exact"/>
        <w:rPr>
          <w:rFonts w:ascii="Arial" w:cs="Arial" w:eastAsia="Arial" w:hAnsi="Arial"/>
          <w:sz w:val="17"/>
          <w:szCs w:val="17"/>
          <w:color w:val="auto"/>
        </w:rPr>
      </w:pPr>
    </w:p>
    <w:p>
      <w:pPr>
        <w:ind w:firstLine="464"/>
        <w:spacing w:after="0" w:line="285" w:lineRule="auto"/>
        <w:tabs>
          <w:tab w:leader="none" w:pos="7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85" w:lineRule="exact"/>
        <w:rPr>
          <w:sz w:val="20"/>
          <w:szCs w:val="20"/>
          <w:color w:val="auto"/>
        </w:rPr>
      </w:pPr>
    </w:p>
    <w:p>
      <w:pPr>
        <w:ind w:right="60" w:firstLine="464"/>
        <w:spacing w:after="0" w:line="287" w:lineRule="auto"/>
        <w:tabs>
          <w:tab w:leader="none" w:pos="7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 it being understood and agreed that the only such information is that set forth in Section 10.</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4" w:name="page35"/>
    <w:bookmarkEnd w:id="3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0" w:lineRule="exact"/>
        <w:rPr>
          <w:sz w:val="20"/>
          <w:szCs w:val="20"/>
          <w:color w:val="auto"/>
        </w:rPr>
      </w:pPr>
    </w:p>
    <w:p>
      <w:pPr>
        <w:ind w:firstLine="464"/>
        <w:spacing w:after="0" w:line="288" w:lineRule="auto"/>
        <w:tabs>
          <w:tab w:leader="none" w:pos="701"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w:t>
      </w:r>
    </w:p>
    <w:p>
      <w:pPr>
        <w:ind w:right="80" w:firstLine="8"/>
        <w:spacing w:after="0" w:line="255"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5" w:name="page36"/>
    <w:bookmarkEnd w:id="35"/>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net of the Adviser Sales Load Payment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83" w:lineRule="exact"/>
        <w:rPr>
          <w:sz w:val="20"/>
          <w:szCs w:val="20"/>
          <w:color w:val="auto"/>
        </w:rPr>
      </w:pPr>
    </w:p>
    <w:p>
      <w:pPr>
        <w:ind w:firstLine="464"/>
        <w:spacing w:after="0" w:line="290" w:lineRule="auto"/>
        <w:tabs>
          <w:tab w:leader="none" w:pos="7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66" w:lineRule="exact"/>
        <w:rPr>
          <w:rFonts w:ascii="Arial" w:cs="Arial" w:eastAsia="Arial" w:hAnsi="Arial"/>
          <w:sz w:val="16"/>
          <w:szCs w:val="16"/>
          <w:color w:val="auto"/>
        </w:rPr>
      </w:pPr>
    </w:p>
    <w:p>
      <w:pPr>
        <w:ind w:right="60" w:firstLine="464"/>
        <w:spacing w:after="0" w:line="270" w:lineRule="auto"/>
        <w:tabs>
          <w:tab w:leader="none" w:pos="70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6" w:name="page37"/>
    <w:bookmarkEnd w:id="36"/>
    <w:p>
      <w:pPr>
        <w:ind w:right="300" w:firstLine="921"/>
        <w:spacing w:after="0" w:line="257" w:lineRule="auto"/>
        <w:tabs>
          <w:tab w:leader="none" w:pos="118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88" w:lineRule="exact"/>
        <w:rPr>
          <w:rFonts w:ascii="Arial" w:cs="Arial" w:eastAsia="Arial" w:hAnsi="Arial"/>
          <w:sz w:val="18"/>
          <w:szCs w:val="18"/>
          <w:color w:val="auto"/>
        </w:rPr>
      </w:pPr>
    </w:p>
    <w:p>
      <w:pPr>
        <w:ind w:right="60" w:firstLine="921"/>
        <w:spacing w:after="0" w:line="286" w:lineRule="auto"/>
        <w:tabs>
          <w:tab w:leader="none" w:pos="117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New York 10036, Attention: Equity Syndicate Desk, with a copy to the Legal Department, Goldman, Sachs &amp; Co., 200 West Street, New York, New York 10282-2198, Attention: Registration Department, J.P. Morgan Securities LLC, 383 Madison Avenue, New York, New York 10179, Attention: Equity Syndicate Desk, Fax:</w:t>
      </w:r>
    </w:p>
    <w:p>
      <w:pPr>
        <w:spacing w:after="0" w:line="1" w:lineRule="exact"/>
        <w:rPr>
          <w:rFonts w:ascii="Arial" w:cs="Arial" w:eastAsia="Arial" w:hAnsi="Arial"/>
          <w:sz w:val="16"/>
          <w:szCs w:val="16"/>
          <w:color w:val="auto"/>
        </w:rPr>
      </w:pPr>
    </w:p>
    <w:p>
      <w:pPr>
        <w:ind w:right="100"/>
        <w:spacing w:after="0" w:line="292" w:lineRule="auto"/>
        <w:rPr>
          <w:rFonts w:ascii="Arial" w:cs="Arial" w:eastAsia="Arial" w:hAnsi="Arial"/>
          <w:sz w:val="16"/>
          <w:szCs w:val="16"/>
          <w:color w:val="auto"/>
        </w:rPr>
      </w:pPr>
      <w:r>
        <w:rPr>
          <w:rFonts w:ascii="Arial" w:cs="Arial" w:eastAsia="Arial" w:hAnsi="Arial"/>
          <w:sz w:val="16"/>
          <w:szCs w:val="16"/>
          <w:color w:val="auto"/>
        </w:rPr>
        <w:t>212-622-8358, Keefe, Bruyette &amp; Woods, Inc., 787 Seventh Avenue, New York, New York 10019, RBC Capital Markets, LLC, 200 Vesey Street, 8th Floor, New York, New York, 10281, Attention: Watson Tanlamai, SunTrust Robinson Humphrey, Inc., 3333 Peachtree Road NE, Atlanta, Georgia 30326, and a copy, which shall not constitute notice, to Freshfields Bruckhaus Deringer US LLP, 601 Lexington Avenue, 31</w:t>
      </w:r>
      <w:r>
        <w:rPr>
          <w:rFonts w:ascii="Arial" w:cs="Arial" w:eastAsia="Arial" w:hAnsi="Arial"/>
          <w:sz w:val="13"/>
          <w:szCs w:val="13"/>
          <w:color w:val="auto"/>
        </w:rPr>
        <w:t>st</w:t>
      </w:r>
      <w:r>
        <w:rPr>
          <w:rFonts w:ascii="Arial" w:cs="Arial" w:eastAsia="Arial" w:hAnsi="Arial"/>
          <w:sz w:val="16"/>
          <w:szCs w:val="16"/>
          <w:color w:val="auto"/>
        </w:rPr>
        <w:t xml:space="preserve"> Floor, New York, NY 10022,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NY 10022, facsimile no. (212) 905-1075, Attention: Arthur Penn.</w:t>
      </w:r>
    </w:p>
    <w:p>
      <w:pPr>
        <w:spacing w:after="0" w:line="162" w:lineRule="exact"/>
        <w:rPr>
          <w:rFonts w:ascii="Arial" w:cs="Arial" w:eastAsia="Arial" w:hAnsi="Arial"/>
          <w:sz w:val="16"/>
          <w:szCs w:val="16"/>
          <w:color w:val="auto"/>
        </w:rPr>
      </w:pPr>
    </w:p>
    <w:p>
      <w:pPr>
        <w:ind w:firstLine="921"/>
        <w:spacing w:after="0" w:line="276" w:lineRule="auto"/>
        <w:tabs>
          <w:tab w:leader="none" w:pos="118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72" w:lineRule="exact"/>
        <w:rPr>
          <w:rFonts w:ascii="Arial" w:cs="Arial" w:eastAsia="Arial" w:hAnsi="Arial"/>
          <w:sz w:val="17"/>
          <w:szCs w:val="17"/>
          <w:color w:val="auto"/>
        </w:rPr>
      </w:pPr>
    </w:p>
    <w:p>
      <w:pPr>
        <w:ind w:right="220" w:firstLine="921"/>
        <w:spacing w:after="0" w:line="272" w:lineRule="auto"/>
        <w:tabs>
          <w:tab w:leader="none" w:pos="118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7" w:name="page38"/>
    <w:bookmarkEnd w:id="37"/>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54" w:lineRule="exact"/>
        <w:rPr>
          <w:sz w:val="20"/>
          <w:szCs w:val="20"/>
          <w:color w:val="auto"/>
        </w:rPr>
      </w:pPr>
    </w:p>
    <w:p>
      <w:pPr>
        <w:ind w:right="240" w:firstLine="921"/>
        <w:spacing w:after="0" w:line="302" w:lineRule="auto"/>
        <w:tabs>
          <w:tab w:leader="none" w:pos="118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officers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54" w:lineRule="exact"/>
        <w:rPr>
          <w:rFonts w:ascii="Arial" w:cs="Arial" w:eastAsia="Arial" w:hAnsi="Arial"/>
          <w:sz w:val="16"/>
          <w:szCs w:val="16"/>
          <w:color w:val="auto"/>
        </w:rPr>
      </w:pPr>
    </w:p>
    <w:p>
      <w:pPr>
        <w:ind w:right="360" w:firstLine="921"/>
        <w:spacing w:after="0" w:line="277" w:lineRule="auto"/>
        <w:tabs>
          <w:tab w:leader="none" w:pos="11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70" w:lineRule="exact"/>
        <w:rPr>
          <w:rFonts w:ascii="Arial" w:cs="Arial" w:eastAsia="Arial" w:hAnsi="Arial"/>
          <w:sz w:val="18"/>
          <w:szCs w:val="18"/>
          <w:color w:val="auto"/>
        </w:rPr>
      </w:pPr>
    </w:p>
    <w:p>
      <w:pPr>
        <w:ind w:right="120" w:firstLine="921"/>
        <w:spacing w:after="0" w:line="264" w:lineRule="auto"/>
        <w:tabs>
          <w:tab w:leader="none" w:pos="11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81" w:lineRule="exact"/>
        <w:rPr>
          <w:rFonts w:ascii="Arial" w:cs="Arial" w:eastAsia="Arial" w:hAnsi="Arial"/>
          <w:sz w:val="18"/>
          <w:szCs w:val="18"/>
          <w:color w:val="auto"/>
        </w:rPr>
      </w:pPr>
    </w:p>
    <w:p>
      <w:pPr>
        <w:ind w:right="40" w:firstLine="921"/>
        <w:spacing w:after="0" w:line="287" w:lineRule="auto"/>
        <w:tabs>
          <w:tab w:leader="none" w:pos="118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deems appropriate.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8" w:name="page39"/>
    <w:bookmarkEnd w:id="38"/>
    <w:p>
      <w:pPr>
        <w:jc w:val="both"/>
        <w:ind w:right="3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PENNANTPARK INVESTMENT ADMINISTRATION, LLC</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H. Penn</w:t>
      </w:r>
    </w:p>
    <w:p>
      <w:pPr>
        <w:spacing w:after="0" w:line="9"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Managing Member</w:t>
      </w:r>
    </w:p>
    <w:p>
      <w:pPr>
        <w:sectPr>
          <w:pgSz w:w="11900" w:h="16838" w:orient="portrait"/>
          <w:cols w:equalWidth="0" w:num="1">
            <w:col w:w="11360"/>
          </w:cols>
          <w:pgMar w:left="240" w:top="274" w:right="29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Occi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Michael Occi</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Raffael Fiumara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Raffael Fiumara</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Drummond S.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Drummond S. Rice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KEEFE, BRUYETTE &amp; WOODS,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Allen G.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Allen G. Laufenberg</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RBC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Dana Sclafani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Dana Sclafani</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SUNTRUST ROBINSON HUMPHREY,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 West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 West Riggs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219"/>
          </w:cols>
          <w:pgMar w:left="240" w:top="274" w:right="1440" w:bottom="1440" w:gutter="0" w:footer="0" w:header="0"/>
        </w:sectPr>
      </w:pPr>
    </w:p>
    <w:bookmarkStart w:id="40" w:name="page41"/>
    <w:bookmarkEnd w:id="40"/>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460" w:type="dxa"/>
            <w:vAlign w:val="bottom"/>
            <w:gridSpan w:val="4"/>
          </w:tcPr>
          <w:p>
            <w:pPr>
              <w:spacing w:after="0"/>
              <w:rPr>
                <w:sz w:val="20"/>
                <w:szCs w:val="20"/>
                <w:color w:val="auto"/>
              </w:rPr>
            </w:pPr>
            <w:r>
              <w:rPr>
                <w:rFonts w:ascii="Arial" w:cs="Arial" w:eastAsia="Arial" w:hAnsi="Arial"/>
                <w:sz w:val="18"/>
                <w:szCs w:val="18"/>
                <w:b w:val="1"/>
                <w:bCs w:val="1"/>
                <w:color w:val="auto"/>
              </w:rPr>
              <w:t>SCHEDULE A</w:t>
            </w:r>
          </w:p>
        </w:tc>
        <w:tc>
          <w:tcPr>
            <w:tcW w:w="0" w:type="dxa"/>
            <w:vAlign w:val="bottom"/>
          </w:tcPr>
          <w:p>
            <w:pPr>
              <w:spacing w:after="0"/>
              <w:rPr>
                <w:sz w:val="1"/>
                <w:szCs w:val="1"/>
                <w:color w:val="auto"/>
              </w:rPr>
            </w:pPr>
          </w:p>
        </w:tc>
      </w:tr>
      <w:tr>
        <w:trPr>
          <w:trHeight w:val="389"/>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6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5"/>
        </w:trPr>
        <w:tc>
          <w:tcPr>
            <w:tcW w:w="3300" w:type="dxa"/>
            <w:vAlign w:val="bottom"/>
            <w:gridSpan w:val="3"/>
            <w:vMerge w:val="continue"/>
          </w:tcPr>
          <w:p>
            <w:pPr>
              <w:spacing w:after="0"/>
              <w:rPr>
                <w:sz w:val="14"/>
                <w:szCs w:val="14"/>
                <w:color w:val="auto"/>
              </w:rPr>
            </w:pPr>
          </w:p>
        </w:tc>
        <w:tc>
          <w:tcPr>
            <w:tcW w:w="1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Firm Shares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4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ectPr>
          <w:pgSz w:w="11900" w:h="16838" w:orient="portrait"/>
          <w:cols w:equalWidth="0" w:num="1">
            <w:col w:w="11420"/>
          </w:cols>
          <w:pgMar w:left="240" w:top="27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Lock-Up Letter Agreement is being delivered to you in connection with the proposed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to be entered into by and among PennantPark Floating Rate Capital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PennantPark Investment Advisers, LLC and PennantPark Investment Administration, LLC and Morgan Stanley &amp; Co. LLC, Goldman, Sachs &amp; Co., J.P. Morgan Securities LLC, Keefe, Bruyette &amp; Woods, Inc., RBC Capital Markets, LLC and SunTrust Robinson Humphrey, Inc., with respect to the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Common Stock, par value $0.001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order to induce you to enter into the Underwriting Agreement, the undersigned agrees that from the date hereof until the end of a period of 90 days after the date of the final prospectus relating to the Offering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 other rights to purchase Common Stock, whether any such transaction is to be settled by delivery of Common Stock or such other securities, in cash or otherwise, or (iii) publicly announce an intention to effect any transaction specified in clause</w:t>
      </w:r>
    </w:p>
    <w:p>
      <w:pPr>
        <w:spacing w:after="0" w:line="6" w:lineRule="exact"/>
        <w:rPr>
          <w:sz w:val="20"/>
          <w:szCs w:val="20"/>
          <w:color w:val="auto"/>
        </w:rPr>
      </w:pPr>
    </w:p>
    <w:p>
      <w:pPr>
        <w:ind w:right="40" w:firstLine="8"/>
        <w:spacing w:after="0" w:line="273" w:lineRule="auto"/>
        <w:tabs>
          <w:tab w:leader="none" w:pos="2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or (c) dispositions to any trust for the direct or indirect benefit of the undersigned and/or the immediate family of the undersigned, provided that such trust agrees in writing with the Underwriters to be bound by the terms of this Lock-Up Letter Agreement.</w:t>
      </w:r>
    </w:p>
    <w:p>
      <w:pPr>
        <w:spacing w:after="0" w:line="177"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90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ectPr>
          <w:pgSz w:w="11900" w:h="16838" w:orient="portrait"/>
          <w:cols w:equalWidth="0" w:num="1">
            <w:col w:w="11420"/>
          </w:cols>
          <w:pgMar w:left="240" w:top="274" w:right="239" w:bottom="1440" w:gutter="0" w:footer="0" w:header="0"/>
        </w:sectPr>
      </w:pPr>
    </w:p>
    <w:bookmarkStart w:id="43" w:name="page44"/>
    <w:bookmarkEnd w:id="4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167005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9019"/>
          </w:cols>
          <w:pgMar w:left="1440" w:top="274" w:right="1440" w:bottom="1440" w:gutter="0" w:footer="0" w:header="0"/>
        </w:sectPr>
      </w:pPr>
    </w:p>
    <w:bookmarkStart w:id="44" w:name="page45"/>
    <w:bookmarkEnd w:id="44"/>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262" w:lineRule="exact"/>
        <w:rPr>
          <w:sz w:val="20"/>
          <w:szCs w:val="20"/>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Aviv Efrat</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117" w:lineRule="exact"/>
        <w:rPr>
          <w:rFonts w:ascii="Arial" w:cs="Arial" w:eastAsia="Arial" w:hAnsi="Arial"/>
          <w:sz w:val="18"/>
          <w:szCs w:val="18"/>
          <w:color w:val="auto"/>
        </w:rPr>
      </w:pPr>
    </w:p>
    <w:p>
      <w:pPr>
        <w:ind w:left="900" w:hanging="433"/>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Jose A. Briones</w:t>
      </w:r>
    </w:p>
    <w:p>
      <w:pPr>
        <w:sectPr>
          <w:pgSz w:w="11900" w:h="16838" w:orient="portrait"/>
          <w:cols w:equalWidth="0" w:num="1">
            <w:col w:w="10219"/>
          </w:cols>
          <w:pgMar w:left="240" w:top="27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Form of Opinion of Dechert LLP</w:t>
      </w:r>
    </w:p>
    <w:p>
      <w:pPr>
        <w:sectPr>
          <w:pgSz w:w="11900" w:h="16838" w:orient="portrait"/>
          <w:cols w:equalWidth="0" w:num="1">
            <w:col w:w="10220"/>
          </w:cols>
          <w:pgMar w:left="1440" w:top="274" w:right="23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0" w:right="1440" w:bottom="1440" w:gutter="0" w:footer="0" w:header="0"/>
        </w:sectPr>
      </w:pPr>
    </w:p>
    <w:bookmarkStart w:id="47" w:name="page48"/>
    <w:bookmarkEnd w:id="47"/>
    <w:p>
      <w:pPr>
        <w:jc w:val="center"/>
        <w:ind w:right="29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9" w:lineRule="exact"/>
        <w:rPr>
          <w:sz w:val="20"/>
          <w:szCs w:val="20"/>
          <w:color w:val="auto"/>
        </w:rPr>
      </w:pPr>
    </w:p>
    <w:p>
      <w:pPr>
        <w:jc w:val="center"/>
        <w:ind w:right="294"/>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252" w:lineRule="exact"/>
        <w:rPr>
          <w:sz w:val="20"/>
          <w:szCs w:val="20"/>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130"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0826"/>
          </w:cols>
          <w:pgMar w:left="694" w:top="270" w:right="37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Form of Certificate Required by Section 6(h)</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 Aviv Efrat, do hereby certify that I am Chief Financial Officer and Treasurer of PennantPark Floating Rate Capital Ltd., a Maryland corporation (the “Company”), and, in my capacity as such, and based upon an examination of the Company’s financial records and schedules undertaken by myself or members of my staff who are responsible for the Company’s financial and accounting matters and pursuant to meetings I have had with representatives of the Underwriters at which certain financial and accounting matters of the Company were discussed, do hereby certify that:</w:t>
      </w:r>
    </w:p>
    <w:p>
      <w:pPr>
        <w:spacing w:after="0" w:line="77" w:lineRule="exact"/>
        <w:rPr>
          <w:sz w:val="20"/>
          <w:szCs w:val="20"/>
          <w:color w:val="auto"/>
        </w:rPr>
      </w:pPr>
    </w:p>
    <w:p>
      <w:pPr>
        <w:ind w:left="900" w:hanging="446"/>
        <w:spacing w:after="0" w:line="276"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am providing this certificate in connection with the offering (the “Offering”) by the Company of 5,000,000 shares of its common stock, par value $0.001 per share (the “Shares”) pursuant to an underwriting agreement, dated February 14, 2017, by and among the Company, PennantPark Investment Advisers, LLC, a Delaware limited liability company registered as an investment adviser (the “Adviser”), PennantPark Investment Administration, LLC, a Delaware limited liability company (the “Administrator”), and the Representatives (the “Underwriting Agreement”) as described in the Preliminary Prospectus Supplement, dated February 13, 2017 relating to the Shares.</w:t>
      </w:r>
    </w:p>
    <w:p>
      <w:pPr>
        <w:spacing w:after="0" w:line="77"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am the principal financial officer of the Company and I am familiar with the accounting, operations and records systems of the Company and its consolidated subsidiaries.</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dollar amounts, number of portfolio companies, percentages or per share amounts of the Company for the years ended September 30, 2013 and 2012 contained in the attached Exhibit A, which are included in the Prospectus, are in agreement with the corresponding amount, number, percentage or per share amount included in the Company’s audited consolidated financial statements for the years ended September 30, 2013 and 2012 (as adjusted for rounding).</w:t>
      </w:r>
    </w:p>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Capitalized terms used herein, but not otherwise defined herein, have the same respective meanings in this certificate as in the Underwriting Agreement.</w:t>
      </w:r>
    </w:p>
    <w:p>
      <w:pPr>
        <w:sectPr>
          <w:pgSz w:w="11900" w:h="16838" w:orient="portrait"/>
          <w:cols w:equalWidth="0" w:num="1">
            <w:col w:w="11380"/>
          </w:cols>
          <w:pgMar w:left="240" w:top="270" w:right="279" w:bottom="1440" w:gutter="0" w:footer="0" w:header="0"/>
        </w:sectPr>
      </w:pPr>
    </w:p>
    <w:bookmarkStart w:id="49" w:name="page50"/>
    <w:bookmarkEnd w:id="49"/>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20" w:type="dxa"/>
            <w:vAlign w:val="bottom"/>
            <w:gridSpan w:val="3"/>
          </w:tcPr>
          <w:p>
            <w:pPr>
              <w:jc w:val="center"/>
              <w:ind w:right="2680"/>
              <w:spacing w:after="0"/>
              <w:rPr>
                <w:sz w:val="20"/>
                <w:szCs w:val="20"/>
                <w:color w:val="auto"/>
              </w:rPr>
            </w:pPr>
            <w:r>
              <w:rPr>
                <w:rFonts w:ascii="Arial" w:cs="Arial" w:eastAsia="Arial" w:hAnsi="Arial"/>
                <w:sz w:val="18"/>
                <w:szCs w:val="18"/>
                <w:b w:val="1"/>
                <w:bCs w:val="1"/>
                <w:color w:val="auto"/>
                <w:w w:val="96"/>
              </w:rPr>
              <w:t>Exhibit E</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60" w:type="dxa"/>
            <w:vAlign w:val="bottom"/>
            <w:gridSpan w:val="4"/>
          </w:tcPr>
          <w:p>
            <w:pPr>
              <w:jc w:val="center"/>
              <w:ind w:right="2340"/>
              <w:spacing w:after="0"/>
              <w:rPr>
                <w:sz w:val="20"/>
                <w:szCs w:val="20"/>
                <w:color w:val="auto"/>
              </w:rPr>
            </w:pPr>
            <w:r>
              <w:rPr>
                <w:rFonts w:ascii="Arial" w:cs="Arial" w:eastAsia="Arial" w:hAnsi="Arial"/>
                <w:sz w:val="18"/>
                <w:szCs w:val="18"/>
                <w:color w:val="auto"/>
                <w:w w:val="94"/>
              </w:rPr>
              <w:t>Pricing Information</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Number of Firm Shares: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(l)(3)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34000" cy="548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340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Re:</w:t>
            </w:r>
          </w:p>
        </w:tc>
        <w:tc>
          <w:tcPr>
            <w:tcW w:w="2840" w:type="dxa"/>
            <w:vAlign w:val="bottom"/>
            <w:gridSpan w:val="3"/>
          </w:tcPr>
          <w:p>
            <w:pPr>
              <w:ind w:left="160"/>
              <w:spacing w:after="0"/>
              <w:rPr>
                <w:sz w:val="20"/>
                <w:szCs w:val="20"/>
                <w:color w:val="auto"/>
              </w:rPr>
            </w:pPr>
            <w:r>
              <w:rPr>
                <w:rFonts w:ascii="Arial" w:cs="Arial" w:eastAsia="Arial" w:hAnsi="Arial"/>
                <w:sz w:val="18"/>
                <w:szCs w:val="18"/>
                <w:color w:val="auto"/>
                <w:w w:val="90"/>
              </w:rPr>
              <w:t>Registration Statement on Form N-2:</w:t>
            </w:r>
          </w:p>
        </w:tc>
      </w:tr>
      <w:tr>
        <w:trPr>
          <w:trHeight w:val="190"/>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1933 Act File No. 333-215111</w:t>
            </w:r>
          </w:p>
        </w:tc>
        <w:tc>
          <w:tcPr>
            <w:tcW w:w="460" w:type="dxa"/>
            <w:vAlign w:val="bottom"/>
          </w:tcPr>
          <w:p>
            <w:pPr>
              <w:spacing w:after="0"/>
              <w:rPr>
                <w:sz w:val="16"/>
                <w:szCs w:val="16"/>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5,750,000 shares (the “Shares”) of common stock, $.001 par value per share, of the Company to be issued in an underwritten public offering (the “Offering”),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58"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47" w:lineRule="exact"/>
        <w:rPr>
          <w:sz w:val="20"/>
          <w:szCs w:val="20"/>
          <w:color w:val="auto"/>
        </w:rPr>
      </w:pPr>
    </w:p>
    <w:p>
      <w:pPr>
        <w:ind w:left="1240" w:hanging="319"/>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Prospectus Supplement, dated February 14, 2017, in the form filed by the Company with the Commission pursuant to Rule 497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1933 Act;</w:t>
      </w:r>
    </w:p>
    <w:p>
      <w:pPr>
        <w:spacing w:after="0" w:line="210" w:lineRule="exact"/>
        <w:rPr>
          <w:rFonts w:ascii="Arial" w:cs="Arial" w:eastAsia="Arial" w:hAnsi="Arial"/>
          <w:sz w:val="16"/>
          <w:szCs w:val="16"/>
          <w:color w:val="auto"/>
        </w:rPr>
      </w:pPr>
    </w:p>
    <w:p>
      <w:pPr>
        <w:ind w:left="1240" w:hanging="319"/>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00" w:firstLine="921"/>
        <w:spacing w:after="0" w:line="277"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or a duly authorized committee thereof, relating to the registration and issuance of the Shares, certified as of the date hereof by an officer of the Company;</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right="640" w:firstLine="921"/>
        <w:spacing w:after="0" w:line="277" w:lineRule="auto"/>
        <w:tabs>
          <w:tab w:leader="none" w:pos="122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1240" w:hanging="319"/>
        <w:spacing w:after="0"/>
        <w:tabs>
          <w:tab w:leader="none" w:pos="1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248" w:lineRule="exact"/>
        <w:rPr>
          <w:rFonts w:ascii="Arial" w:cs="Arial" w:eastAsia="Arial" w:hAnsi="Arial"/>
          <w:sz w:val="16"/>
          <w:szCs w:val="16"/>
          <w:color w:val="auto"/>
        </w:rPr>
      </w:pPr>
    </w:p>
    <w:p>
      <w:pPr>
        <w:ind w:left="1240" w:hanging="319"/>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320" w:firstLine="921"/>
        <w:spacing w:after="0" w:line="264"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1" w:lineRule="exact"/>
        <w:rPr>
          <w:rFonts w:ascii="Arial" w:cs="Arial" w:eastAsia="Arial" w:hAnsi="Arial"/>
          <w:sz w:val="18"/>
          <w:szCs w:val="18"/>
          <w:color w:val="auto"/>
        </w:rPr>
      </w:pPr>
    </w:p>
    <w:p>
      <w:pPr>
        <w:ind w:firstLine="921"/>
        <w:spacing w:after="0" w:line="255" w:lineRule="auto"/>
        <w:tabs>
          <w:tab w:leader="none" w:pos="121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580" w:firstLine="921"/>
        <w:spacing w:after="0" w:line="277" w:lineRule="auto"/>
        <w:tabs>
          <w:tab w:leader="none" w:pos="122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400"/>
          </w:cols>
          <w:pgMar w:left="240" w:top="135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3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643255"/>
                    </a:xfrm>
                    <a:prstGeom prst="rect">
                      <a:avLst/>
                    </a:prstGeom>
                    <a:noFill/>
                  </pic:spPr>
                </pic:pic>
              </a:graphicData>
            </a:graphic>
          </wp:anchor>
        </w:drawing>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240" w:firstLine="921"/>
        <w:spacing w:after="0" w:line="342" w:lineRule="auto"/>
        <w:tabs>
          <w:tab w:leader="none" w:pos="122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issuance of the Shares has been duly authorized and, when issued and delivered by the Company pursuant to the Resolutions and the Registration Statement against payment of the consideration set forth therein, the Shares will be validly issued, fully paid and nonassessable.</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foregoing opinion is limited to the substantive laws of the State of Maryland and we do not express any opinion herein concerning any other law. We express no opinion as to compliance with the 1940 Act or other federal securities laws, or state securities laws, including the securities laws of the State of Maryland.</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Venable LLP</w:t>
      </w:r>
    </w:p>
    <w:sectPr>
      <w:pgSz w:w="11900" w:h="16838" w:orient="portrait"/>
      <w:cols w:equalWidth="0" w:num="1">
        <w:col w:w="11340"/>
      </w:cols>
      <w:pgMar w:left="240" w:top="13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bullet"/>
      <w:start w:val="1"/>
    </w:lvl>
  </w:abstractNum>
  <w:abstractNum w:abstractNumId="2">
    <w:nsid w:val="5072367"/>
    <w:multiLevelType w:val="hybridMultilevel"/>
    <w:lvl w:ilvl="0">
      <w:lvlJc w:val="left"/>
      <w:lvlText w:val="2"/>
      <w:numFmt w:val="bullet"/>
      <w:start w:val="1"/>
    </w:lvl>
    <w:lvl w:ilvl="1">
      <w:lvlJc w:val="left"/>
      <w:lvlText w:val="(%2)"/>
      <w:numFmt w:val="lowerLetter"/>
      <w:start w:val="1"/>
    </w:lvl>
  </w:abstractNum>
  <w:abstractNum w:abstractNumId="3">
    <w:nsid w:val="3804823E"/>
    <w:multiLevelType w:val="hybridMultilevel"/>
    <w:lvl w:ilvl="0">
      <w:lvlJc w:val="left"/>
      <w:lvlText w:val="(%1)"/>
      <w:numFmt w:val="lowerLetter"/>
      <w:start w:val="5"/>
    </w:lvl>
  </w:abstractNum>
  <w:abstractNum w:abstractNumId="4">
    <w:nsid w:val="77465F01"/>
    <w:multiLevelType w:val="hybridMultilevel"/>
    <w:lvl w:ilvl="0">
      <w:lvlJc w:val="left"/>
      <w:lvlText w:val="(%1)"/>
      <w:numFmt w:val="lowerLetter"/>
      <w:start w:val="7"/>
    </w:lvl>
  </w:abstractNum>
  <w:abstractNum w:abstractNumId="5">
    <w:nsid w:val="7724C67E"/>
    <w:multiLevelType w:val="hybridMultilevel"/>
    <w:lvl w:ilvl="0">
      <w:lvlJc w:val="left"/>
      <w:lvlText w:val="(%1)"/>
      <w:numFmt w:val="lowerLetter"/>
      <w:start w:val="10"/>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lowerRoman"/>
      <w:start w:val="1"/>
    </w:lvl>
  </w:abstractNum>
  <w:abstractNum w:abstractNumId="11">
    <w:nsid w:val="580BD78F"/>
    <w:multiLevelType w:val="hybridMultilevel"/>
    <w:lvl w:ilvl="0">
      <w:lvlJc w:val="left"/>
      <w:lvlText w:val="(%1)"/>
      <w:numFmt w:val="lowerLetter"/>
      <w:start w:val="2"/>
    </w:lvl>
  </w:abstractNum>
  <w:abstractNum w:abstractNumId="12">
    <w:nsid w:val="153EA438"/>
    <w:multiLevelType w:val="hybridMultilevel"/>
    <w:lvl w:ilvl="0">
      <w:lvlJc w:val="left"/>
      <w:lvlText w:val="(%1)"/>
      <w:numFmt w:val="lowerLetter"/>
      <w:start w:val="6"/>
    </w:lvl>
  </w:abstractNum>
  <w:abstractNum w:abstractNumId="13">
    <w:nsid w:val="3855585C"/>
    <w:multiLevelType w:val="hybridMultilevel"/>
    <w:lvl w:ilvl="0">
      <w:lvlJc w:val="left"/>
      <w:lvlText w:val="(%1)"/>
      <w:numFmt w:val="lowerRoman"/>
      <w:start w:val="1"/>
    </w:lvl>
  </w:abstractNum>
  <w:abstractNum w:abstractNumId="14">
    <w:nsid w:val="70A64E2A"/>
    <w:multiLevelType w:val="hybridMultilevel"/>
    <w:lvl w:ilvl="0">
      <w:lvlJc w:val="left"/>
      <w:lvlText w:val="(%1)"/>
      <w:numFmt w:val="lowerLetter"/>
      <w:start w:val="7"/>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lowerLetter"/>
      <w:start w:val="2"/>
    </w:lvl>
  </w:abstractNum>
  <w:abstractNum w:abstractNumId="17">
    <w:nsid w:val="1D4ED43B"/>
    <w:multiLevelType w:val="hybridMultilevel"/>
    <w:lvl w:ilvl="0">
      <w:lvlJc w:val="left"/>
      <w:lvlText w:val="(%1)"/>
      <w:numFmt w:val="decimal"/>
      <w:start w:val="6"/>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2"/>
    </w:lvl>
  </w:abstractNum>
  <w:abstractNum w:abstractNumId="20">
    <w:nsid w:val="57E4CCAF"/>
    <w:multiLevelType w:val="hybridMultilevel"/>
    <w:lvl w:ilvl="0">
      <w:lvlJc w:val="left"/>
      <w:lvlText w:val="%1"/>
      <w:numFmt w:val="lowerLetter"/>
      <w:start w:val="1"/>
    </w:lvl>
    <w:lvl w:ilvl="1">
      <w:lvlJc w:val="left"/>
      <w:lvlText w:val="%2."/>
      <w:numFmt w:val="decimal"/>
      <w:start w:val="3"/>
    </w:lvl>
  </w:abstractNum>
  <w:abstractNum w:abstractNumId="21">
    <w:nsid w:val="7A6D8D3C"/>
    <w:multiLevelType w:val="hybridMultilevel"/>
    <w:lvl w:ilvl="0">
      <w:lvlJc w:val="left"/>
      <w:lvlText w:val="(%1)"/>
      <w:numFmt w:val="lowerLetter"/>
      <w:start w:val="1"/>
    </w:lvl>
    <w:lvl w:ilvl="1">
      <w:lvlJc w:val="left"/>
      <w:lvlText w:val="%2"/>
      <w:numFmt w:val="decimal"/>
      <w:start w:val="1"/>
    </w:lvl>
  </w:abstractNum>
  <w:abstractNum w:abstractNumId="22">
    <w:nsid w:val="4B588F54"/>
    <w:multiLevelType w:val="hybridMultilevel"/>
    <w:lvl w:ilvl="0">
      <w:lvlJc w:val="left"/>
      <w:lvlText w:val="(%1)"/>
      <w:numFmt w:val="lowerLetter"/>
      <w:start w:val="2"/>
    </w:lvl>
  </w:abstractNum>
  <w:abstractNum w:abstractNumId="23">
    <w:nsid w:val="542289EC"/>
    <w:multiLevelType w:val="hybridMultilevel"/>
    <w:lvl w:ilvl="0">
      <w:lvlJc w:val="left"/>
      <w:lvlText w:val="(%1)"/>
      <w:numFmt w:val="lowerLetter"/>
      <w:start w:val="3"/>
    </w:lvl>
  </w:abstractNum>
  <w:abstractNum w:abstractNumId="24">
    <w:nsid w:val="6DE91B18"/>
    <w:multiLevelType w:val="hybridMultilevel"/>
    <w:lvl w:ilvl="0">
      <w:lvlJc w:val="left"/>
      <w:lvlText w:val="%1"/>
      <w:numFmt w:val="lowerLetter"/>
      <w:start w:val="1"/>
    </w:lvl>
    <w:lvl w:ilvl="1">
      <w:lvlJc w:val="left"/>
      <w:lvlText w:val="(%2)"/>
      <w:numFmt w:val="lowerLetter"/>
      <w:start w:val="9"/>
    </w:lvl>
  </w:abstractNum>
  <w:abstractNum w:abstractNumId="25">
    <w:nsid w:val="38437FDB"/>
    <w:multiLevelType w:val="hybridMultilevel"/>
    <w:lvl w:ilvl="0">
      <w:lvlJc w:val="left"/>
      <w:lvlText w:val="(%1)"/>
      <w:numFmt w:val="lowerLetter"/>
      <w:start w:val="61"/>
    </w:lvl>
    <w:lvl w:ilvl="1">
      <w:lvlJc w:val="left"/>
      <w:lvlText w:val="(%2)"/>
      <w:numFmt w:val="lowerLetter"/>
      <w:start w:val="11"/>
    </w:lvl>
  </w:abstractNum>
  <w:abstractNum w:abstractNumId="26">
    <w:nsid w:val="7644A45C"/>
    <w:multiLevelType w:val="hybridMultilevel"/>
    <w:lvl w:ilvl="0">
      <w:lvlJc w:val="left"/>
      <w:lvlText w:val="(%1)"/>
      <w:numFmt w:val="lowerLetter"/>
      <w:start w:val="12"/>
    </w:lvl>
  </w:abstractNum>
  <w:abstractNum w:abstractNumId="27">
    <w:nsid w:val="32FFF902"/>
    <w:multiLevelType w:val="hybridMultilevel"/>
    <w:lvl w:ilvl="0">
      <w:lvlJc w:val="left"/>
      <w:lvlText w:val="(%1)"/>
      <w:numFmt w:val="lowerLetter"/>
      <w:start w:val="18"/>
    </w:lvl>
  </w:abstractNum>
  <w:abstractNum w:abstractNumId="28">
    <w:nsid w:val="684A481A"/>
    <w:multiLevelType w:val="hybridMultilevel"/>
    <w:lvl w:ilvl="0">
      <w:lvlJc w:val="left"/>
      <w:lvlText w:val="(%1)"/>
      <w:numFmt w:val="lowerLetter"/>
      <w:start w:val="23"/>
    </w:lvl>
  </w:abstractNum>
  <w:abstractNum w:abstractNumId="29">
    <w:nsid w:val="579478FE"/>
    <w:multiLevelType w:val="hybridMultilevel"/>
    <w:lvl w:ilvl="0">
      <w:lvlJc w:val="left"/>
      <w:lvlText w:val="(%1)"/>
      <w:numFmt w:val="lowerLetter"/>
      <w:start w:val="27"/>
    </w:lvl>
  </w:abstractNum>
  <w:abstractNum w:abstractNumId="30">
    <w:nsid w:val="749ABB43"/>
    <w:multiLevelType w:val="hybridMultilevel"/>
    <w:lvl w:ilvl="0">
      <w:lvlJc w:val="left"/>
      <w:lvlText w:val="(%1)"/>
      <w:numFmt w:val="lowerLetter"/>
      <w:start w:val="28"/>
    </w:lvl>
  </w:abstractNum>
  <w:abstractNum w:abstractNumId="31">
    <w:nsid w:val="3DC240FB"/>
    <w:multiLevelType w:val="hybridMultilevel"/>
    <w:lvl w:ilvl="0">
      <w:lvlJc w:val="left"/>
      <w:lvlText w:val="%1"/>
      <w:numFmt w:val="lowerLetter"/>
      <w:start w:val="1"/>
    </w:lvl>
    <w:lvl w:ilvl="1">
      <w:lvlJc w:val="left"/>
      <w:lvlText w:val="(%2)"/>
      <w:numFmt w:val="lowerLetter"/>
      <w:start w:val="36"/>
    </w:lvl>
  </w:abstractNum>
  <w:abstractNum w:abstractNumId="32">
    <w:nsid w:val="1BA026FA"/>
    <w:multiLevelType w:val="hybridMultilevel"/>
    <w:lvl w:ilvl="0">
      <w:lvlJc w:val="left"/>
      <w:lvlText w:val="(%1)"/>
      <w:numFmt w:val="lowerLetter"/>
      <w:start w:val="61"/>
    </w:lvl>
    <w:lvl w:ilvl="1">
      <w:lvlJc w:val="left"/>
      <w:lvlText w:val="(%2)"/>
      <w:numFmt w:val="lowerLetter"/>
      <w:start w:val="38"/>
    </w:lvl>
  </w:abstractNum>
  <w:abstractNum w:abstractNumId="33">
    <w:nsid w:val="79A1DEAA"/>
    <w:multiLevelType w:val="hybridMultilevel"/>
    <w:lvl w:ilvl="0">
      <w:lvlJc w:val="left"/>
      <w:lvlText w:val="%1."/>
      <w:numFmt w:val="decimal"/>
      <w:start w:val="4"/>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lvl w:ilvl="1">
      <w:lvlJc w:val="left"/>
      <w:lvlText w:val="(%2)"/>
      <w:numFmt w:val="lowerLetter"/>
      <w:start w:val="4"/>
    </w:lvl>
  </w:abstractNum>
  <w:abstractNum w:abstractNumId="36">
    <w:nsid w:val="70C6A529"/>
    <w:multiLevelType w:val="hybridMultilevel"/>
    <w:lvl w:ilvl="0">
      <w:lvlJc w:val="left"/>
      <w:lvlText w:val="(%1)"/>
      <w:numFmt w:val="lowerLetter"/>
      <w:start w:val="35"/>
    </w:lvl>
    <w:lvl w:ilvl="1">
      <w:lvlJc w:val="left"/>
      <w:lvlText w:val="(%2)"/>
      <w:numFmt w:val="lowerLetter"/>
      <w:start w:val="5"/>
    </w:lvl>
  </w:abstractNum>
  <w:abstractNum w:abstractNumId="37">
    <w:nsid w:val="520EEDD1"/>
    <w:multiLevelType w:val="hybridMultilevel"/>
    <w:lvl w:ilvl="0">
      <w:lvlJc w:val="left"/>
      <w:lvlText w:val="(%1)"/>
      <w:numFmt w:val="lowerLetter"/>
      <w:start w:val="61"/>
    </w:lvl>
    <w:lvl w:ilvl="1">
      <w:lvlJc w:val="left"/>
      <w:lvlText w:val="(%2)"/>
      <w:numFmt w:val="lowerLetter"/>
      <w:start w:val="6"/>
    </w:lvl>
  </w:abstractNum>
  <w:abstractNum w:abstractNumId="38">
    <w:nsid w:val="374A3FE6"/>
    <w:multiLevelType w:val="hybridMultilevel"/>
    <w:lvl w:ilvl="0">
      <w:lvlJc w:val="left"/>
      <w:lvlText w:val="(%1)"/>
      <w:numFmt w:val="lowerLetter"/>
      <w:start w:val="7"/>
    </w:lvl>
  </w:abstractNum>
  <w:abstractNum w:abstractNumId="39">
    <w:nsid w:val="4F4EF005"/>
    <w:multiLevelType w:val="hybridMultilevel"/>
    <w:lvl w:ilvl="0">
      <w:lvlJc w:val="left"/>
      <w:lvlText w:val="(%1)"/>
      <w:numFmt w:val="lowerLetter"/>
      <w:start w:val="14"/>
    </w:lvl>
  </w:abstractNum>
  <w:abstractNum w:abstractNumId="40">
    <w:nsid w:val="23F9C13C"/>
    <w:multiLevelType w:val="hybridMultilevel"/>
    <w:lvl w:ilvl="0">
      <w:lvlJc w:val="left"/>
      <w:lvlText w:val="%1."/>
      <w:numFmt w:val="decimal"/>
      <w:start w:val="5"/>
    </w:lvl>
  </w:abstractNum>
  <w:abstractNum w:abstractNumId="41">
    <w:nsid w:val="649BB77C"/>
    <w:multiLevelType w:val="hybridMultilevel"/>
    <w:lvl w:ilvl="0">
      <w:lvlJc w:val="left"/>
      <w:lvlText w:val="%1"/>
      <w:numFmt w:val="lowerLetter"/>
      <w:start w:val="1"/>
    </w:lvl>
    <w:lvl w:ilvl="1">
      <w:lvlJc w:val="left"/>
      <w:lvlText w:val="(%2)"/>
      <w:numFmt w:val="lowerLetter"/>
      <w:start w:val="1"/>
    </w:lvl>
  </w:abstractNum>
  <w:abstractNum w:abstractNumId="42">
    <w:nsid w:val="275AC794"/>
    <w:multiLevelType w:val="hybridMultilevel"/>
    <w:lvl w:ilvl="0">
      <w:lvlJc w:val="left"/>
      <w:lvlText w:val="(%1)"/>
      <w:numFmt w:val="lowerLetter"/>
      <w:start w:val="9"/>
    </w:lvl>
    <w:lvl w:ilvl="1">
      <w:lvlJc w:val="left"/>
      <w:lvlText w:val="(%2)"/>
      <w:numFmt w:val="lowerLetter"/>
      <w:start w:val="4"/>
    </w:lvl>
  </w:abstractNum>
  <w:abstractNum w:abstractNumId="43">
    <w:nsid w:val="39386575"/>
    <w:multiLevelType w:val="hybridMultilevel"/>
    <w:lvl w:ilvl="0">
      <w:lvlJc w:val="left"/>
      <w:lvlText w:val="(%1)"/>
      <w:numFmt w:val="lowerLetter"/>
      <w:start w:val="5"/>
    </w:lvl>
  </w:abstractNum>
  <w:abstractNum w:abstractNumId="44">
    <w:nsid w:val="1CF10FD8"/>
    <w:multiLevelType w:val="hybridMultilevel"/>
    <w:lvl w:ilvl="0">
      <w:lvlJc w:val="left"/>
      <w:lvlText w:val="%1"/>
      <w:numFmt w:val="lowerRoman"/>
      <w:start w:val="1"/>
    </w:lvl>
    <w:lvl w:ilvl="1">
      <w:lvlJc w:val="left"/>
      <w:lvlText w:val="(%2)"/>
      <w:numFmt w:val="lowerLetter"/>
      <w:start w:val="12"/>
    </w:lvl>
  </w:abstractNum>
  <w:abstractNum w:abstractNumId="45">
    <w:nsid w:val="180115BE"/>
    <w:multiLevelType w:val="hybridMultilevel"/>
    <w:lvl w:ilvl="0">
      <w:lvlJc w:val="left"/>
      <w:lvlText w:val="(%1)"/>
      <w:numFmt w:val="lowerRoman"/>
      <w:start w:val="6"/>
    </w:lvl>
    <w:lvl w:ilvl="1">
      <w:lvlJc w:val="left"/>
      <w:lvlText w:val="(%2)"/>
      <w:numFmt w:val="lowerLetter"/>
      <w:start w:val="16"/>
    </w:lvl>
  </w:abstractNum>
  <w:abstractNum w:abstractNumId="46">
    <w:nsid w:val="235BA861"/>
    <w:multiLevelType w:val="hybridMultilevel"/>
    <w:lvl w:ilvl="0">
      <w:lvlJc w:val="left"/>
      <w:lvlText w:val="%1."/>
      <w:numFmt w:val="decimal"/>
      <w:start w:val="6"/>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4"/>
    </w:lvl>
  </w:abstractNum>
  <w:abstractNum w:abstractNumId="49">
    <w:nsid w:val="15B5AF5C"/>
    <w:multiLevelType w:val="hybridMultilevel"/>
    <w:lvl w:ilvl="0">
      <w:lvlJc w:val="left"/>
      <w:lvlText w:val="%1."/>
      <w:numFmt w:val="decimal"/>
      <w:start w:val="7"/>
    </w:lvl>
  </w:abstractNum>
  <w:abstractNum w:abstractNumId="50">
    <w:nsid w:val="741226BB"/>
    <w:multiLevelType w:val="hybridMultilevel"/>
    <w:lvl w:ilvl="0">
      <w:lvlJc w:val="left"/>
      <w:lvlText w:val="%1."/>
      <w:numFmt w:val="decimal"/>
      <w:start w:val="8"/>
    </w:lvl>
  </w:abstractNum>
  <w:abstractNum w:abstractNumId="51">
    <w:nsid w:val="D34B6A8"/>
    <w:multiLevelType w:val="hybridMultilevel"/>
    <w:lvl w:ilvl="0">
      <w:lvlJc w:val="left"/>
      <w:lvlText w:val="%1"/>
      <w:numFmt w:val="lowerLetter"/>
      <w:start w:val="1"/>
    </w:lvl>
    <w:lvl w:ilvl="1">
      <w:lvlJc w:val="left"/>
      <w:lvlText w:val="%2."/>
      <w:numFmt w:val="decimal"/>
      <w:start w:val="9"/>
    </w:lvl>
  </w:abstractNum>
  <w:abstractNum w:abstractNumId="52">
    <w:nsid w:val="10233C99"/>
    <w:multiLevelType w:val="hybridMultilevel"/>
    <w:lvl w:ilvl="0">
      <w:lvlJc w:val="left"/>
      <w:lvlText w:val="(%1)"/>
      <w:numFmt w:val="lowerLetter"/>
      <w:start w:val="1"/>
    </w:lvl>
    <w:lvl w:ilvl="1">
      <w:lvlJc w:val="left"/>
      <w:lvlText w:val="%2"/>
      <w:numFmt w:val="decimal"/>
      <w:start w:val="1"/>
    </w:lvl>
  </w:abstractNum>
  <w:abstractNum w:abstractNumId="53">
    <w:nsid w:val="3F6AB60F"/>
    <w:multiLevelType w:val="hybridMultilevel"/>
    <w:lvl w:ilvl="0">
      <w:lvlJc w:val="left"/>
      <w:lvlText w:val="(%1)"/>
      <w:numFmt w:val="decimal"/>
      <w:start w:val="2"/>
    </w:lvl>
  </w:abstractNum>
  <w:abstractNum w:abstractNumId="54">
    <w:nsid w:val="61574095"/>
    <w:multiLevelType w:val="hybridMultilevel"/>
    <w:lvl w:ilvl="0">
      <w:lvlJc w:val="left"/>
      <w:lvlText w:val="(%1)"/>
      <w:numFmt w:val="lowerLetter"/>
      <w:start w:val="2"/>
    </w:lvl>
  </w:abstractNum>
  <w:abstractNum w:abstractNumId="55">
    <w:nsid w:val="7E0C57B1"/>
    <w:multiLevelType w:val="hybridMultilevel"/>
    <w:lvl w:ilvl="0">
      <w:lvlJc w:val="left"/>
      <w:lvlText w:val="%1"/>
      <w:numFmt w:val="lowerLetter"/>
      <w:start w:val="1"/>
    </w:lvl>
    <w:lvl w:ilvl="1">
      <w:lvlJc w:val="left"/>
      <w:lvlText w:val="(%2)"/>
      <w:numFmt w:val="lowerLetter"/>
      <w:start w:val="3"/>
    </w:lvl>
  </w:abstractNum>
  <w:abstractNum w:abstractNumId="56">
    <w:nsid w:val="77AE35EB"/>
    <w:multiLevelType w:val="hybridMultilevel"/>
    <w:lvl w:ilvl="0">
      <w:lvlJc w:val="left"/>
      <w:lvlText w:val="(%1)"/>
      <w:numFmt w:val="lowerLetter"/>
      <w:start w:val="9"/>
    </w:lvl>
    <w:lvl w:ilvl="1">
      <w:lvlJc w:val="left"/>
      <w:lvlText w:val="%2"/>
      <w:numFmt w:val="lowerLetter"/>
      <w:start w:val="1"/>
    </w:lvl>
  </w:abstractNum>
  <w:abstractNum w:abstractNumId="57">
    <w:nsid w:val="579BE4F1"/>
    <w:multiLevelType w:val="hybridMultilevel"/>
    <w:lvl w:ilvl="0">
      <w:lvlJc w:val="left"/>
      <w:lvlText w:val="(%1)"/>
      <w:numFmt w:val="lowerLetter"/>
      <w:start w:val="4"/>
    </w:lvl>
  </w:abstractNum>
  <w:abstractNum w:abstractNumId="58">
    <w:nsid w:val="310C50B3"/>
    <w:multiLevelType w:val="hybridMultilevel"/>
    <w:lvl w:ilvl="0">
      <w:lvlJc w:val="left"/>
      <w:lvlText w:val="%1."/>
      <w:numFmt w:val="decimal"/>
      <w:start w:val="10"/>
    </w:lvl>
  </w:abstractNum>
  <w:abstractNum w:abstractNumId="59">
    <w:nsid w:val="5FF87E05"/>
    <w:multiLevelType w:val="hybridMultilevel"/>
    <w:lvl w:ilvl="0">
      <w:lvlJc w:val="left"/>
      <w:lvlText w:val="%1."/>
      <w:numFmt w:val="decimal"/>
      <w:start w:val="14"/>
    </w:lvl>
  </w:abstractNum>
  <w:abstractNum w:abstractNumId="60">
    <w:nsid w:val="2F305DEF"/>
    <w:multiLevelType w:val="hybridMultilevel"/>
    <w:lvl w:ilvl="0">
      <w:lvlJc w:val="left"/>
      <w:lvlText w:val="(%1)"/>
      <w:numFmt w:val="lowerRoman"/>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6"/>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2019-12-07T14:17:50Z</dcterms:created>
  <dcterms:modified xsi:type="dcterms:W3CDTF">2019-12-07T14:17:50Z</dcterms:modified>
</cp:coreProperties>
</file>