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280" w:right="1840" w:hanging="3259"/>
        <w:spacing w:after="0" w:line="454" w:lineRule="auto"/>
        <w:tabs>
          <w:tab w:leader="none" w:pos="2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2021</w:t>
      </w:r>
    </w:p>
    <w:p>
      <w:pPr>
        <w:spacing w:after="0" w:line="338" w:lineRule="exact"/>
        <w:rPr>
          <w:sz w:val="24"/>
          <w:szCs w:val="24"/>
          <w:color w:val="auto"/>
        </w:rPr>
      </w:pPr>
    </w:p>
    <w:p>
      <w:pPr>
        <w:ind w:left="260" w:hanging="239"/>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ind w:left="348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72"/>
        </w:trPr>
        <w:tc>
          <w:tcPr>
            <w:tcW w:w="7400" w:type="dxa"/>
            <w:vAlign w:val="bottom"/>
            <w:gridSpan w:val="2"/>
          </w:tcPr>
          <w:p>
            <w:pPr>
              <w:jc w:val="center"/>
              <w:ind w:left="3741"/>
              <w:spacing w:after="0"/>
              <w:rPr>
                <w:sz w:val="20"/>
                <w:szCs w:val="20"/>
                <w:color w:val="auto"/>
              </w:rPr>
            </w:pPr>
            <w:r>
              <w:rPr>
                <w:rFonts w:ascii="Arial" w:cs="Arial" w:eastAsia="Arial" w:hAnsi="Arial"/>
                <w:sz w:val="18"/>
                <w:szCs w:val="18"/>
                <w:b w:val="1"/>
                <w:bCs w:val="1"/>
                <w:color w:val="auto"/>
                <w:w w:val="99"/>
              </w:rPr>
              <w:t>COMMISSION FILE NUMBER: 814-00891</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6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470"/>
        </w:trPr>
        <w:tc>
          <w:tcPr>
            <w:tcW w:w="11240" w:type="dxa"/>
            <w:vAlign w:val="bottom"/>
            <w:gridSpan w:val="3"/>
          </w:tcPr>
          <w:p>
            <w:pPr>
              <w:jc w:val="center"/>
              <w:spacing w:after="0"/>
              <w:rPr>
                <w:sz w:val="20"/>
                <w:szCs w:val="20"/>
                <w:color w:val="auto"/>
              </w:rPr>
            </w:pPr>
            <w:r>
              <w:rPr>
                <w:rFonts w:ascii="Arial" w:cs="Arial" w:eastAsia="Arial" w:hAnsi="Arial"/>
                <w:sz w:val="31"/>
                <w:szCs w:val="31"/>
                <w:b w:val="1"/>
                <w:bCs w:val="1"/>
                <w:color w:val="auto"/>
                <w:w w:val="98"/>
              </w:rPr>
              <w:t>PENNANTPARK FLOATING RATE CAPITAL LTD.</w:t>
            </w:r>
          </w:p>
        </w:tc>
        <w:tc>
          <w:tcPr>
            <w:tcW w:w="0" w:type="dxa"/>
            <w:vAlign w:val="bottom"/>
          </w:tcPr>
          <w:p>
            <w:pPr>
              <w:spacing w:after="0"/>
              <w:rPr>
                <w:sz w:val="1"/>
                <w:szCs w:val="1"/>
                <w:color w:val="auto"/>
              </w:rPr>
            </w:pPr>
          </w:p>
        </w:tc>
      </w:tr>
      <w:tr>
        <w:trPr>
          <w:trHeight w:val="186"/>
        </w:trPr>
        <w:tc>
          <w:tcPr>
            <w:tcW w:w="7400" w:type="dxa"/>
            <w:vAlign w:val="bottom"/>
            <w:gridSpan w:val="2"/>
          </w:tcPr>
          <w:p>
            <w:pPr>
              <w:jc w:val="center"/>
              <w:ind w:left="378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740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rPr>
              <w:t>MARYLAND</w:t>
            </w:r>
          </w:p>
        </w:tc>
        <w:tc>
          <w:tcPr>
            <w:tcW w:w="3840" w:type="dxa"/>
            <w:vAlign w:val="bottom"/>
          </w:tcPr>
          <w:p>
            <w:pPr>
              <w:jc w:val="right"/>
              <w:ind w:right="2270"/>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50"/>
        </w:trPr>
        <w:tc>
          <w:tcPr>
            <w:tcW w:w="7400" w:type="dxa"/>
            <w:vAlign w:val="bottom"/>
            <w:gridSpan w:val="2"/>
          </w:tcPr>
          <w:p>
            <w:pPr>
              <w:jc w:val="center"/>
              <w:ind w:right="174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40" w:type="dxa"/>
            <w:vAlign w:val="bottom"/>
          </w:tcPr>
          <w:p>
            <w:pPr>
              <w:jc w:val="center"/>
              <w:ind w:right="1470"/>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97"/>
        </w:trPr>
        <w:tc>
          <w:tcPr>
            <w:tcW w:w="740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3"/>
              </w:rPr>
              <w:t>1691 Michigan Avenue</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0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7"/>
              </w:rPr>
              <w:t>Miami Beach, Florida</w:t>
            </w:r>
          </w:p>
        </w:tc>
        <w:tc>
          <w:tcPr>
            <w:tcW w:w="3840" w:type="dxa"/>
            <w:vAlign w:val="bottom"/>
            <w:vMerge w:val="restart"/>
          </w:tcPr>
          <w:p>
            <w:pPr>
              <w:jc w:val="right"/>
              <w:ind w:right="2450"/>
              <w:spacing w:after="0"/>
              <w:rPr>
                <w:sz w:val="20"/>
                <w:szCs w:val="20"/>
                <w:color w:val="auto"/>
              </w:rPr>
            </w:pPr>
            <w:r>
              <w:rPr>
                <w:rFonts w:ascii="Arial" w:cs="Arial" w:eastAsia="Arial" w:hAnsi="Arial"/>
                <w:sz w:val="14"/>
                <w:szCs w:val="14"/>
                <w:b w:val="1"/>
                <w:bCs w:val="1"/>
                <w:color w:val="auto"/>
              </w:rPr>
              <w:t>33139</w:t>
            </w:r>
          </w:p>
        </w:tc>
        <w:tc>
          <w:tcPr>
            <w:tcW w:w="0" w:type="dxa"/>
            <w:vAlign w:val="bottom"/>
          </w:tcPr>
          <w:p>
            <w:pPr>
              <w:spacing w:after="0"/>
              <w:rPr>
                <w:sz w:val="1"/>
                <w:szCs w:val="1"/>
                <w:color w:val="auto"/>
              </w:rPr>
            </w:pPr>
          </w:p>
        </w:tc>
      </w:tr>
      <w:tr>
        <w:trPr>
          <w:trHeight w:val="58"/>
        </w:trPr>
        <w:tc>
          <w:tcPr>
            <w:tcW w:w="6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7400" w:type="dxa"/>
            <w:vAlign w:val="bottom"/>
            <w:gridSpan w:val="2"/>
          </w:tcPr>
          <w:p>
            <w:pPr>
              <w:jc w:val="center"/>
              <w:ind w:right="1760"/>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840" w:type="dxa"/>
            <w:vAlign w:val="bottom"/>
          </w:tcPr>
          <w:p>
            <w:pPr>
              <w:jc w:val="center"/>
              <w:ind w:right="1470"/>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5"/>
        </w:trPr>
        <w:tc>
          <w:tcPr>
            <w:tcW w:w="6860" w:type="dxa"/>
            <w:vAlign w:val="bottom"/>
          </w:tcPr>
          <w:p>
            <w:pPr>
              <w:jc w:val="center"/>
              <w:ind w:left="4321"/>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400" w:type="dxa"/>
            <w:vAlign w:val="bottom"/>
            <w:gridSpan w:val="2"/>
          </w:tcPr>
          <w:p>
            <w:pPr>
              <w:jc w:val="center"/>
              <w:ind w:left="376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 15th Floor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10022</w:t>
      </w: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4"/>
          <w:szCs w:val="24"/>
          <w:color w:val="auto"/>
        </w:rPr>
      </w:pPr>
    </w:p>
    <w:p>
      <w:pPr>
        <w:ind w:left="48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738" w:right="339" w:bottom="1440" w:gutter="0" w:footer="0" w:header="0"/>
        </w:sectPr>
      </w:pPr>
    </w:p>
    <w:p>
      <w:pPr>
        <w:spacing w:after="0" w:line="173" w:lineRule="exact"/>
        <w:rPr>
          <w:sz w:val="24"/>
          <w:szCs w:val="24"/>
          <w:color w:val="auto"/>
        </w:rPr>
      </w:pPr>
    </w:p>
    <w:p>
      <w:pPr>
        <w:ind w:left="130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340" w:space="720"/>
            <w:col w:w="2180" w:space="720"/>
            <w:col w:w="3280"/>
          </w:cols>
          <w:pgMar w:left="320" w:top="738" w:right="339" w:bottom="1440" w:gutter="0" w:footer="0" w:header="0"/>
          <w:type w:val="continuous"/>
        </w:sectPr>
      </w:pPr>
    </w:p>
    <w:p>
      <w:pPr>
        <w:ind w:left="640"/>
        <w:spacing w:after="0"/>
        <w:rPr>
          <w:sz w:val="20"/>
          <w:szCs w:val="20"/>
          <w:color w:val="auto"/>
        </w:rPr>
      </w:pPr>
      <w:r>
        <w:rPr>
          <w:rFonts w:ascii="Arial" w:cs="Arial" w:eastAsia="Arial" w:hAnsi="Arial"/>
          <w:sz w:val="12"/>
          <w:szCs w:val="12"/>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PFLT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Nasdaq Stock Market LLC</w:t>
      </w:r>
    </w:p>
    <w:p>
      <w:pPr>
        <w:spacing w:after="0" w:line="168" w:lineRule="exact"/>
        <w:rPr>
          <w:sz w:val="24"/>
          <w:szCs w:val="24"/>
          <w:color w:val="auto"/>
        </w:rPr>
      </w:pPr>
    </w:p>
    <w:p>
      <w:pPr>
        <w:sectPr>
          <w:pgSz w:w="11900" w:h="16838" w:orient="portrait"/>
          <w:cols w:equalWidth="0" w:num="3">
            <w:col w:w="4740" w:space="720"/>
            <w:col w:w="2280" w:space="720"/>
            <w:col w:w="2780"/>
          </w:cols>
          <w:pgMar w:left="320" w:top="738" w:right="339" w:bottom="1440" w:gutter="0" w:footer="0" w:header="0"/>
          <w:type w:val="continuous"/>
        </w:sectPr>
      </w:pPr>
    </w:p>
    <w:p>
      <w:pPr>
        <w:ind w:firstLine="479"/>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ind w:right="20" w:firstLine="47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ind w:right="160" w:firstLine="479"/>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05"/>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12" w:lineRule="exact"/>
        <w:rPr>
          <w:sz w:val="24"/>
          <w:szCs w:val="24"/>
          <w:color w:val="auto"/>
        </w:rPr>
      </w:pPr>
    </w:p>
    <w:p>
      <w:pPr>
        <w:jc w:val="both"/>
        <w:ind w:right="80" w:firstLine="48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February 9, 2022 was 39,150,794.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419735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10-Q FOR THE QUARTER ENDED 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gridSpan w:val="14"/>
          </w:tcPr>
          <w:p>
            <w:pPr>
              <w:jc w:val="center"/>
              <w:ind w:right="220"/>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PART I. CONSOLIDATED FINANCIAL INFORMATION</w:t>
              </w:r>
            </w:hyperlink>
          </w:p>
        </w:tc>
        <w:tc>
          <w:tcPr>
            <w:tcW w:w="3920" w:type="dxa"/>
            <w:vAlign w:val="bottom"/>
          </w:tcPr>
          <w:p>
            <w:pPr>
              <w:spacing w:after="0"/>
              <w:rPr>
                <w:sz w:val="14"/>
                <w:szCs w:val="14"/>
                <w:color w:val="auto"/>
              </w:rPr>
            </w:pPr>
          </w:p>
        </w:tc>
      </w:tr>
      <w:tr>
        <w:trPr>
          <w:trHeight w:val="453"/>
        </w:trPr>
        <w:tc>
          <w:tcPr>
            <w:tcW w:w="40" w:type="dxa"/>
            <w:vAlign w:val="bottom"/>
          </w:tcPr>
          <w:p>
            <w:pPr>
              <w:spacing w:after="0"/>
              <w:rPr>
                <w:sz w:val="24"/>
                <w:szCs w:val="24"/>
                <w:color w:val="auto"/>
              </w:rPr>
            </w:pPr>
          </w:p>
        </w:tc>
        <w:tc>
          <w:tcPr>
            <w:tcW w:w="3420" w:type="dxa"/>
            <w:vAlign w:val="bottom"/>
            <w:gridSpan w:val="11"/>
          </w:tcPr>
          <w:p>
            <w:pPr>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Item 1. Consolidated Financial Statements</w:t>
              </w:r>
            </w:hyperlink>
          </w:p>
        </w:tc>
        <w:tc>
          <w:tcPr>
            <w:tcW w:w="3640" w:type="dxa"/>
            <w:vAlign w:val="bottom"/>
            <w:tcBorders>
              <w:top w:val="single" w:sz="8" w:color="0000FF"/>
            </w:tcBorders>
            <w:gridSpan w:val="13"/>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24"/>
          </w:tcPr>
          <w:p>
            <w:pPr>
              <w:spacing w:after="0"/>
              <w:rPr>
                <w:rFonts w:ascii="Arial" w:cs="Arial" w:eastAsia="Arial" w:hAnsi="Arial"/>
                <w:sz w:val="14"/>
                <w:szCs w:val="14"/>
                <w:color w:val="0000FF"/>
                <w:w w:val="98"/>
              </w:rPr>
            </w:pPr>
            <w:hyperlink w:anchor="page4">
              <w:r>
                <w:rPr>
                  <w:rFonts w:ascii="Arial" w:cs="Arial" w:eastAsia="Arial" w:hAnsi="Arial"/>
                  <w:sz w:val="14"/>
                  <w:szCs w:val="14"/>
                  <w:color w:val="0000FF"/>
                  <w:w w:val="98"/>
                </w:rPr>
                <w:t>Consolidated Statements of Assets and Liabilities as of December 31, 2021 (unaudited) and September 30, 2021</w:t>
              </w:r>
            </w:hyperlink>
          </w:p>
        </w:tc>
        <w:tc>
          <w:tcPr>
            <w:tcW w:w="39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60" w:type="dxa"/>
            <w:vAlign w:val="bottom"/>
            <w:tcBorders>
              <w:top w:val="single" w:sz="8" w:color="0000FF"/>
              <w:bottom w:val="single" w:sz="8" w:color="0000FF"/>
            </w:tcBorders>
            <w:gridSpan w:val="20"/>
          </w:tcPr>
          <w:p>
            <w:pPr>
              <w:spacing w:after="0"/>
              <w:rPr>
                <w:rFonts w:ascii="Arial" w:cs="Arial" w:eastAsia="Arial" w:hAnsi="Arial"/>
                <w:sz w:val="14"/>
                <w:szCs w:val="14"/>
                <w:color w:val="0000FF"/>
                <w:w w:val="91"/>
              </w:rPr>
            </w:pPr>
            <w:hyperlink w:anchor="page5">
              <w:r>
                <w:rPr>
                  <w:rFonts w:ascii="Arial" w:cs="Arial" w:eastAsia="Arial" w:hAnsi="Arial"/>
                  <w:sz w:val="14"/>
                  <w:szCs w:val="14"/>
                  <w:color w:val="0000FF"/>
                  <w:w w:val="91"/>
                </w:rPr>
                <w:t>Consolidated Statements of Operations for the three months ended December 31, 2021 and 2020 (unaudited)</w:t>
              </w:r>
            </w:hyperlink>
          </w:p>
        </w:tc>
        <w:tc>
          <w:tcPr>
            <w:tcW w:w="200" w:type="dxa"/>
            <w:vAlign w:val="bottom"/>
            <w:tcBorders>
              <w:top w:val="single" w:sz="8" w:color="0000FF"/>
            </w:tcBorders>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tcBorders>
              <w:bottom w:val="single" w:sz="8" w:color="0000FF"/>
            </w:tcBorders>
            <w:gridSpan w:val="24"/>
          </w:tcPr>
          <w:p>
            <w:pPr>
              <w:spacing w:after="0"/>
              <w:rPr>
                <w:rFonts w:ascii="Arial" w:cs="Arial" w:eastAsia="Arial" w:hAnsi="Arial"/>
                <w:sz w:val="14"/>
                <w:szCs w:val="14"/>
                <w:color w:val="0000FF"/>
                <w:w w:val="91"/>
              </w:rPr>
            </w:pPr>
            <w:hyperlink w:anchor="page6">
              <w:r>
                <w:rPr>
                  <w:rFonts w:ascii="Arial" w:cs="Arial" w:eastAsia="Arial" w:hAnsi="Arial"/>
                  <w:sz w:val="14"/>
                  <w:szCs w:val="14"/>
                  <w:color w:val="0000FF"/>
                  <w:w w:val="91"/>
                </w:rPr>
                <w:t>Consolidated Statements of Changes in Net Assets for the three months ended December 31, 2021 and 2020 (unaudited)</w:t>
              </w:r>
            </w:hyperlink>
          </w:p>
        </w:tc>
        <w:tc>
          <w:tcPr>
            <w:tcW w:w="39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5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24"/>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Consolidated Statements of Cash Flows for the three months ended December 31, 2021 and 2020 (unaudited)</w:t>
              </w:r>
            </w:hyperlink>
          </w:p>
        </w:tc>
        <w:tc>
          <w:tcPr>
            <w:tcW w:w="39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80" w:type="dxa"/>
            <w:vAlign w:val="bottom"/>
            <w:tcBorders>
              <w:bottom w:val="single" w:sz="8" w:color="0000FF"/>
            </w:tcBorders>
            <w:gridSpan w:val="18"/>
          </w:tcPr>
          <w:p>
            <w:pPr>
              <w:spacing w:after="0"/>
              <w:rPr>
                <w:rFonts w:ascii="Arial" w:cs="Arial" w:eastAsia="Arial" w:hAnsi="Arial"/>
                <w:sz w:val="14"/>
                <w:szCs w:val="14"/>
                <w:color w:val="0000FF"/>
                <w:w w:val="91"/>
              </w:rPr>
            </w:pPr>
            <w:hyperlink w:anchor="page8">
              <w:r>
                <w:rPr>
                  <w:rFonts w:ascii="Arial" w:cs="Arial" w:eastAsia="Arial" w:hAnsi="Arial"/>
                  <w:sz w:val="14"/>
                  <w:szCs w:val="14"/>
                  <w:color w:val="0000FF"/>
                  <w:w w:val="91"/>
                </w:rPr>
                <w:t>Consolidated Schedules of Investments as of December 31, 2021 (unaudited) and September 30, 2021</w:t>
              </w:r>
            </w:hyperlink>
          </w:p>
        </w:tc>
        <w:tc>
          <w:tcPr>
            <w:tcW w:w="1040" w:type="dxa"/>
            <w:vAlign w:val="bottom"/>
            <w:gridSpan w:val="6"/>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Borders>
              <w:bottom w:val="single" w:sz="8" w:color="0000FF"/>
            </w:tcBorders>
            <w:gridSpan w:val="11"/>
          </w:tcPr>
          <w:p>
            <w:pPr>
              <w:spacing w:after="0"/>
              <w:rPr>
                <w:rFonts w:ascii="Arial" w:cs="Arial" w:eastAsia="Arial" w:hAnsi="Arial"/>
                <w:sz w:val="14"/>
                <w:szCs w:val="14"/>
                <w:color w:val="0000FF"/>
                <w:w w:val="92"/>
              </w:rPr>
            </w:pPr>
            <w:hyperlink w:anchor="page18">
              <w:r>
                <w:rPr>
                  <w:rFonts w:ascii="Arial" w:cs="Arial" w:eastAsia="Arial" w:hAnsi="Arial"/>
                  <w:sz w:val="14"/>
                  <w:szCs w:val="14"/>
                  <w:color w:val="0000FF"/>
                  <w:w w:val="92"/>
                </w:rPr>
                <w:t>Notes to Consolidated Financial Statements (unaudited)</w:t>
              </w:r>
            </w:hyperlink>
          </w:p>
        </w:tc>
        <w:tc>
          <w:tcPr>
            <w:tcW w:w="3700" w:type="dxa"/>
            <w:vAlign w:val="bottom"/>
            <w:gridSpan w:val="13"/>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24"/>
          </w:tcPr>
          <w:p>
            <w:pPr>
              <w:spacing w:after="0"/>
              <w:rPr>
                <w:rFonts w:ascii="Arial" w:cs="Arial" w:eastAsia="Arial" w:hAnsi="Arial"/>
                <w:sz w:val="14"/>
                <w:szCs w:val="14"/>
                <w:color w:val="0000FF"/>
              </w:rPr>
            </w:pPr>
            <w:hyperlink w:anchor="page37">
              <w:r>
                <w:rPr>
                  <w:rFonts w:ascii="Arial" w:cs="Arial" w:eastAsia="Arial" w:hAnsi="Arial"/>
                  <w:sz w:val="14"/>
                  <w:szCs w:val="14"/>
                  <w:color w:val="0000FF"/>
                </w:rPr>
                <w:t>Report of Independent Registered Public Accounting Firm</w:t>
              </w:r>
            </w:hyperlink>
          </w:p>
        </w:tc>
        <w:tc>
          <w:tcPr>
            <w:tcW w:w="39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2"/>
        </w:trPr>
        <w:tc>
          <w:tcPr>
            <w:tcW w:w="40" w:type="dxa"/>
            <w:vAlign w:val="bottom"/>
          </w:tcPr>
          <w:p>
            <w:pPr>
              <w:spacing w:after="0"/>
              <w:rPr>
                <w:sz w:val="24"/>
                <w:szCs w:val="24"/>
                <w:color w:val="auto"/>
              </w:rPr>
            </w:pPr>
          </w:p>
        </w:tc>
        <w:tc>
          <w:tcPr>
            <w:tcW w:w="5960" w:type="dxa"/>
            <w:vAlign w:val="bottom"/>
            <w:tcBorders>
              <w:bottom w:val="single" w:sz="8" w:color="0000FF"/>
            </w:tcBorders>
            <w:gridSpan w:val="17"/>
          </w:tcPr>
          <w:p>
            <w:pPr>
              <w:spacing w:after="0"/>
              <w:rPr>
                <w:rFonts w:ascii="Arial" w:cs="Arial" w:eastAsia="Arial" w:hAnsi="Arial"/>
                <w:sz w:val="14"/>
                <w:szCs w:val="14"/>
                <w:b w:val="1"/>
                <w:bCs w:val="1"/>
                <w:color w:val="0000FF"/>
                <w:w w:val="92"/>
              </w:rPr>
            </w:pPr>
            <w:hyperlink w:anchor="page38">
              <w:r>
                <w:rPr>
                  <w:rFonts w:ascii="Arial" w:cs="Arial" w:eastAsia="Arial" w:hAnsi="Arial"/>
                  <w:sz w:val="14"/>
                  <w:szCs w:val="14"/>
                  <w:b w:val="1"/>
                  <w:bCs w:val="1"/>
                  <w:color w:val="0000FF"/>
                  <w:w w:val="92"/>
                </w:rPr>
                <w:t>Item 2. Management’s Discussion and Analysis of Financial Condition and Results of Operations</w:t>
              </w:r>
            </w:hyperlink>
          </w:p>
        </w:tc>
        <w:tc>
          <w:tcPr>
            <w:tcW w:w="1320" w:type="dxa"/>
            <w:vAlign w:val="bottom"/>
            <w:gridSpan w:val="8"/>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453"/>
        </w:trPr>
        <w:tc>
          <w:tcPr>
            <w:tcW w:w="40" w:type="dxa"/>
            <w:vAlign w:val="bottom"/>
          </w:tcPr>
          <w:p>
            <w:pPr>
              <w:spacing w:after="0"/>
              <w:rPr>
                <w:sz w:val="24"/>
                <w:szCs w:val="24"/>
                <w:color w:val="auto"/>
              </w:rPr>
            </w:pPr>
          </w:p>
        </w:tc>
        <w:tc>
          <w:tcPr>
            <w:tcW w:w="4200" w:type="dxa"/>
            <w:vAlign w:val="bottom"/>
            <w:tcBorders>
              <w:bottom w:val="single" w:sz="8" w:color="0000FF"/>
            </w:tcBorders>
            <w:gridSpan w:val="16"/>
          </w:tcPr>
          <w:p>
            <w:pPr>
              <w:spacing w:after="0"/>
              <w:rPr>
                <w:rFonts w:ascii="Arial" w:cs="Arial" w:eastAsia="Arial" w:hAnsi="Arial"/>
                <w:sz w:val="14"/>
                <w:szCs w:val="14"/>
                <w:b w:val="1"/>
                <w:bCs w:val="1"/>
                <w:color w:val="0000FF"/>
                <w:w w:val="94"/>
              </w:rPr>
            </w:pPr>
            <w:hyperlink w:anchor="page51">
              <w:r>
                <w:rPr>
                  <w:rFonts w:ascii="Arial" w:cs="Arial" w:eastAsia="Arial" w:hAnsi="Arial"/>
                  <w:sz w:val="14"/>
                  <w:szCs w:val="14"/>
                  <w:b w:val="1"/>
                  <w:bCs w:val="1"/>
                  <w:color w:val="0000FF"/>
                  <w:w w:val="94"/>
                </w:rPr>
                <w:t>Item 3. Quantitative and Qualitative Disclosures About Market Risk</w:t>
              </w:r>
            </w:hyperlink>
          </w:p>
        </w:tc>
        <w:tc>
          <w:tcPr>
            <w:tcW w:w="3080" w:type="dxa"/>
            <w:vAlign w:val="bottom"/>
            <w:gridSpan w:val="9"/>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453"/>
        </w:trPr>
        <w:tc>
          <w:tcPr>
            <w:tcW w:w="40" w:type="dxa"/>
            <w:vAlign w:val="bottom"/>
          </w:tcPr>
          <w:p>
            <w:pPr>
              <w:spacing w:after="0"/>
              <w:rPr>
                <w:sz w:val="24"/>
                <w:szCs w:val="24"/>
                <w:color w:val="auto"/>
              </w:rPr>
            </w:pPr>
          </w:p>
        </w:tc>
        <w:tc>
          <w:tcPr>
            <w:tcW w:w="7280" w:type="dxa"/>
            <w:vAlign w:val="bottom"/>
            <w:gridSpan w:val="25"/>
          </w:tcPr>
          <w:p>
            <w:pPr>
              <w:spacing w:after="0"/>
              <w:rPr>
                <w:rFonts w:ascii="Arial" w:cs="Arial" w:eastAsia="Arial" w:hAnsi="Arial"/>
                <w:sz w:val="14"/>
                <w:szCs w:val="14"/>
                <w:b w:val="1"/>
                <w:bCs w:val="1"/>
                <w:color w:val="0000FF"/>
              </w:rPr>
            </w:pPr>
            <w:hyperlink w:anchor="page52">
              <w:r>
                <w:rPr>
                  <w:rFonts w:ascii="Arial" w:cs="Arial" w:eastAsia="Arial" w:hAnsi="Arial"/>
                  <w:sz w:val="14"/>
                  <w:szCs w:val="14"/>
                  <w:b w:val="1"/>
                  <w:bCs w:val="1"/>
                  <w:color w:val="0000FF"/>
                </w:rPr>
                <w:t>Item 4. Controls and Procedures</w:t>
              </w:r>
            </w:hyperlink>
          </w:p>
        </w:tc>
        <w:tc>
          <w:tcPr>
            <w:tcW w:w="39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453"/>
        </w:trPr>
        <w:tc>
          <w:tcPr>
            <w:tcW w:w="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gridSpan w:val="11"/>
          </w:tcPr>
          <w:p>
            <w:pPr>
              <w:jc w:val="center"/>
              <w:ind w:right="920"/>
              <w:spacing w:after="0"/>
              <w:rPr>
                <w:rFonts w:ascii="Arial" w:cs="Arial" w:eastAsia="Arial" w:hAnsi="Arial"/>
                <w:sz w:val="14"/>
                <w:szCs w:val="14"/>
                <w:b w:val="1"/>
                <w:bCs w:val="1"/>
                <w:color w:val="0000FF"/>
              </w:rPr>
            </w:pPr>
            <w:hyperlink w:anchor="page53">
              <w:r>
                <w:rPr>
                  <w:rFonts w:ascii="Arial" w:cs="Arial" w:eastAsia="Arial" w:hAnsi="Arial"/>
                  <w:sz w:val="14"/>
                  <w:szCs w:val="14"/>
                  <w:b w:val="1"/>
                  <w:bCs w:val="1"/>
                  <w:color w:val="0000FF"/>
                </w:rPr>
                <w:t>PART II. OTHER INFORMATION</w:t>
              </w:r>
            </w:hyperlink>
          </w:p>
        </w:tc>
        <w:tc>
          <w:tcPr>
            <w:tcW w:w="392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4140" w:type="dxa"/>
            <w:vAlign w:val="bottom"/>
            <w:gridSpan w:val="15"/>
          </w:tcPr>
          <w:p>
            <w:pPr>
              <w:spacing w:after="0"/>
              <w:rPr>
                <w:rFonts w:ascii="Arial" w:cs="Arial" w:eastAsia="Arial" w:hAnsi="Arial"/>
                <w:sz w:val="14"/>
                <w:szCs w:val="14"/>
                <w:b w:val="1"/>
                <w:bCs w:val="1"/>
                <w:color w:val="0000FF"/>
              </w:rPr>
            </w:pPr>
            <w:hyperlink w:anchor="page53">
              <w:r>
                <w:rPr>
                  <w:rFonts w:ascii="Arial" w:cs="Arial" w:eastAsia="Arial" w:hAnsi="Arial"/>
                  <w:sz w:val="14"/>
                  <w:szCs w:val="14"/>
                  <w:b w:val="1"/>
                  <w:bCs w:val="1"/>
                  <w:color w:val="0000FF"/>
                </w:rPr>
                <w:t>Item 1. Legal Proceedings</w:t>
              </w:r>
            </w:hyperlink>
          </w:p>
        </w:tc>
        <w:tc>
          <w:tcPr>
            <w:tcW w:w="2200" w:type="dxa"/>
            <w:vAlign w:val="bottom"/>
            <w:tcBorders>
              <w:top w:val="single" w:sz="8" w:color="0000FF"/>
            </w:tcBorders>
            <w:gridSpan w:val="5"/>
          </w:tcPr>
          <w:p>
            <w:pPr>
              <w:spacing w:after="0"/>
              <w:rPr>
                <w:sz w:val="24"/>
                <w:szCs w:val="24"/>
                <w:color w:val="auto"/>
              </w:rPr>
            </w:pPr>
          </w:p>
        </w:tc>
        <w:tc>
          <w:tcPr>
            <w:tcW w:w="940" w:type="dxa"/>
            <w:vAlign w:val="bottom"/>
            <w:gridSpan w:val="5"/>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453"/>
        </w:trPr>
        <w:tc>
          <w:tcPr>
            <w:tcW w:w="4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rFonts w:ascii="Arial" w:cs="Arial" w:eastAsia="Arial" w:hAnsi="Arial"/>
                <w:sz w:val="14"/>
                <w:szCs w:val="14"/>
                <w:b w:val="1"/>
                <w:bCs w:val="1"/>
                <w:color w:val="0000FF"/>
                <w:w w:val="94"/>
              </w:rPr>
            </w:pPr>
            <w:hyperlink w:anchor="page53">
              <w:r>
                <w:rPr>
                  <w:rFonts w:ascii="Arial" w:cs="Arial" w:eastAsia="Arial" w:hAnsi="Arial"/>
                  <w:sz w:val="14"/>
                  <w:szCs w:val="14"/>
                  <w:b w:val="1"/>
                  <w:bCs w:val="1"/>
                  <w:color w:val="0000FF"/>
                  <w:w w:val="94"/>
                </w:rPr>
                <w:t>Item 1A. Risk Factors</w:t>
              </w:r>
            </w:hyperlink>
          </w:p>
        </w:tc>
        <w:tc>
          <w:tcPr>
            <w:tcW w:w="220" w:type="dxa"/>
            <w:vAlign w:val="bottom"/>
            <w:tcBorders>
              <w:top w:val="single" w:sz="8" w:color="0000FF"/>
            </w:tcBorders>
          </w:tcPr>
          <w:p>
            <w:pPr>
              <w:spacing w:after="0"/>
              <w:rPr>
                <w:sz w:val="24"/>
                <w:szCs w:val="24"/>
                <w:color w:val="auto"/>
              </w:rPr>
            </w:pPr>
          </w:p>
        </w:tc>
        <w:tc>
          <w:tcPr>
            <w:tcW w:w="5700" w:type="dxa"/>
            <w:vAlign w:val="bottom"/>
            <w:gridSpan w:val="20"/>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453"/>
        </w:trPr>
        <w:tc>
          <w:tcPr>
            <w:tcW w:w="40" w:type="dxa"/>
            <w:vAlign w:val="bottom"/>
          </w:tcPr>
          <w:p>
            <w:pPr>
              <w:spacing w:after="0"/>
              <w:rPr>
                <w:sz w:val="24"/>
                <w:szCs w:val="24"/>
                <w:color w:val="auto"/>
              </w:rPr>
            </w:pPr>
          </w:p>
        </w:tc>
        <w:tc>
          <w:tcPr>
            <w:tcW w:w="7280" w:type="dxa"/>
            <w:vAlign w:val="bottom"/>
            <w:gridSpan w:val="25"/>
          </w:tcPr>
          <w:p>
            <w:pPr>
              <w:spacing w:after="0"/>
              <w:rPr>
                <w:rFonts w:ascii="Arial" w:cs="Arial" w:eastAsia="Arial" w:hAnsi="Arial"/>
                <w:sz w:val="14"/>
                <w:szCs w:val="14"/>
                <w:b w:val="1"/>
                <w:bCs w:val="1"/>
                <w:color w:val="0000FF"/>
              </w:rPr>
            </w:pPr>
            <w:hyperlink w:anchor="page54">
              <w:r>
                <w:rPr>
                  <w:rFonts w:ascii="Arial" w:cs="Arial" w:eastAsia="Arial" w:hAnsi="Arial"/>
                  <w:sz w:val="14"/>
                  <w:szCs w:val="14"/>
                  <w:b w:val="1"/>
                  <w:bCs w:val="1"/>
                  <w:color w:val="0000FF"/>
                </w:rPr>
                <w:t>Item 2. Unregistered Sales of Equity Securities and Use of Proceeds</w:t>
              </w:r>
            </w:hyperlink>
          </w:p>
        </w:tc>
        <w:tc>
          <w:tcPr>
            <w:tcW w:w="39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53"/>
        </w:trPr>
        <w:tc>
          <w:tcPr>
            <w:tcW w:w="40" w:type="dxa"/>
            <w:vAlign w:val="bottom"/>
          </w:tcPr>
          <w:p>
            <w:pPr>
              <w:spacing w:after="0"/>
              <w:rPr>
                <w:sz w:val="24"/>
                <w:szCs w:val="24"/>
                <w:color w:val="auto"/>
              </w:rPr>
            </w:pPr>
          </w:p>
        </w:tc>
        <w:tc>
          <w:tcPr>
            <w:tcW w:w="4120" w:type="dxa"/>
            <w:vAlign w:val="bottom"/>
            <w:tcBorders>
              <w:top w:val="single" w:sz="8" w:color="0000FF"/>
            </w:tcBorders>
            <w:gridSpan w:val="14"/>
          </w:tcPr>
          <w:p>
            <w:pPr>
              <w:spacing w:after="0"/>
              <w:rPr>
                <w:rFonts w:ascii="Arial" w:cs="Arial" w:eastAsia="Arial" w:hAnsi="Arial"/>
                <w:sz w:val="14"/>
                <w:szCs w:val="14"/>
                <w:b w:val="1"/>
                <w:bCs w:val="1"/>
                <w:color w:val="0000FF"/>
              </w:rPr>
            </w:pPr>
            <w:hyperlink w:anchor="page54">
              <w:r>
                <w:rPr>
                  <w:rFonts w:ascii="Arial" w:cs="Arial" w:eastAsia="Arial" w:hAnsi="Arial"/>
                  <w:sz w:val="14"/>
                  <w:szCs w:val="14"/>
                  <w:b w:val="1"/>
                  <w:bCs w:val="1"/>
                  <w:color w:val="0000FF"/>
                </w:rPr>
                <w:t>Item 3. Defaults Upon Senior Securities</w:t>
              </w:r>
            </w:hyperlink>
          </w:p>
        </w:tc>
        <w:tc>
          <w:tcPr>
            <w:tcW w:w="3160" w:type="dxa"/>
            <w:vAlign w:val="bottom"/>
            <w:gridSpan w:val="11"/>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53"/>
        </w:trPr>
        <w:tc>
          <w:tcPr>
            <w:tcW w:w="4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7"/>
          </w:tcPr>
          <w:p>
            <w:pPr>
              <w:spacing w:after="0"/>
              <w:rPr>
                <w:rFonts w:ascii="Arial" w:cs="Arial" w:eastAsia="Arial" w:hAnsi="Arial"/>
                <w:sz w:val="14"/>
                <w:szCs w:val="14"/>
                <w:b w:val="1"/>
                <w:bCs w:val="1"/>
                <w:color w:val="0000FF"/>
                <w:w w:val="91"/>
              </w:rPr>
            </w:pPr>
            <w:hyperlink w:anchor="page54">
              <w:r>
                <w:rPr>
                  <w:rFonts w:ascii="Arial" w:cs="Arial" w:eastAsia="Arial" w:hAnsi="Arial"/>
                  <w:sz w:val="14"/>
                  <w:szCs w:val="14"/>
                  <w:b w:val="1"/>
                  <w:bCs w:val="1"/>
                  <w:color w:val="0000FF"/>
                  <w:w w:val="91"/>
                </w:rPr>
                <w:t>Item 4. Mine Safety Disclosures</w:t>
              </w:r>
            </w:hyperlink>
          </w:p>
        </w:tc>
        <w:tc>
          <w:tcPr>
            <w:tcW w:w="480" w:type="dxa"/>
            <w:vAlign w:val="bottom"/>
            <w:tcBorders>
              <w:top w:val="single" w:sz="8" w:color="0000FF"/>
            </w:tcBorders>
            <w:gridSpan w:val="2"/>
          </w:tcPr>
          <w:p>
            <w:pPr>
              <w:spacing w:after="0"/>
              <w:rPr>
                <w:sz w:val="24"/>
                <w:szCs w:val="24"/>
                <w:color w:val="auto"/>
              </w:rPr>
            </w:pPr>
          </w:p>
        </w:tc>
        <w:tc>
          <w:tcPr>
            <w:tcW w:w="4860" w:type="dxa"/>
            <w:vAlign w:val="bottom"/>
            <w:gridSpan w:val="16"/>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53"/>
        </w:trPr>
        <w:tc>
          <w:tcPr>
            <w:tcW w:w="40" w:type="dxa"/>
            <w:vAlign w:val="bottom"/>
          </w:tcPr>
          <w:p>
            <w:pPr>
              <w:spacing w:after="0"/>
              <w:rPr>
                <w:sz w:val="24"/>
                <w:szCs w:val="24"/>
                <w:color w:val="auto"/>
              </w:rPr>
            </w:pPr>
          </w:p>
        </w:tc>
        <w:tc>
          <w:tcPr>
            <w:tcW w:w="7280" w:type="dxa"/>
            <w:vAlign w:val="bottom"/>
            <w:gridSpan w:val="25"/>
          </w:tcPr>
          <w:p>
            <w:pPr>
              <w:spacing w:after="0"/>
              <w:rPr>
                <w:rFonts w:ascii="Arial" w:cs="Arial" w:eastAsia="Arial" w:hAnsi="Arial"/>
                <w:sz w:val="14"/>
                <w:szCs w:val="14"/>
                <w:b w:val="1"/>
                <w:bCs w:val="1"/>
                <w:color w:val="0000FF"/>
              </w:rPr>
            </w:pPr>
            <w:hyperlink w:anchor="page54">
              <w:r>
                <w:rPr>
                  <w:rFonts w:ascii="Arial" w:cs="Arial" w:eastAsia="Arial" w:hAnsi="Arial"/>
                  <w:sz w:val="14"/>
                  <w:szCs w:val="14"/>
                  <w:b w:val="1"/>
                  <w:bCs w:val="1"/>
                  <w:color w:val="0000FF"/>
                </w:rPr>
                <w:t>Item 5. Other Information</w:t>
              </w:r>
            </w:hyperlink>
          </w:p>
        </w:tc>
        <w:tc>
          <w:tcPr>
            <w:tcW w:w="39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53"/>
        </w:trPr>
        <w:tc>
          <w:tcPr>
            <w:tcW w:w="40" w:type="dxa"/>
            <w:vAlign w:val="bottom"/>
          </w:tcPr>
          <w:p>
            <w:pPr>
              <w:spacing w:after="0"/>
              <w:rPr>
                <w:sz w:val="24"/>
                <w:szCs w:val="24"/>
                <w:color w:val="auto"/>
              </w:rPr>
            </w:pPr>
          </w:p>
        </w:tc>
        <w:tc>
          <w:tcPr>
            <w:tcW w:w="1620" w:type="dxa"/>
            <w:vAlign w:val="bottom"/>
            <w:tcBorders>
              <w:top w:val="single" w:sz="8" w:color="0000FF"/>
            </w:tcBorders>
            <w:gridSpan w:val="6"/>
          </w:tcPr>
          <w:p>
            <w:pPr>
              <w:spacing w:after="0"/>
              <w:rPr>
                <w:rFonts w:ascii="Arial" w:cs="Arial" w:eastAsia="Arial" w:hAnsi="Arial"/>
                <w:sz w:val="14"/>
                <w:szCs w:val="14"/>
                <w:b w:val="1"/>
                <w:bCs w:val="1"/>
                <w:color w:val="0000FF"/>
              </w:rPr>
            </w:pPr>
            <w:hyperlink w:anchor="page55">
              <w:r>
                <w:rPr>
                  <w:rFonts w:ascii="Arial" w:cs="Arial" w:eastAsia="Arial" w:hAnsi="Arial"/>
                  <w:sz w:val="14"/>
                  <w:szCs w:val="14"/>
                  <w:b w:val="1"/>
                  <w:bCs w:val="1"/>
                  <w:color w:val="0000FF"/>
                </w:rPr>
                <w:t>Item 6. Exhibits</w:t>
              </w:r>
            </w:hyperlink>
          </w:p>
        </w:tc>
        <w:tc>
          <w:tcPr>
            <w:tcW w:w="5660" w:type="dxa"/>
            <w:vAlign w:val="bottom"/>
            <w:gridSpan w:val="19"/>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453"/>
        </w:trPr>
        <w:tc>
          <w:tcPr>
            <w:tcW w:w="40" w:type="dxa"/>
            <w:vAlign w:val="bottom"/>
          </w:tcPr>
          <w:p>
            <w:pPr>
              <w:spacing w:after="0"/>
              <w:rPr>
                <w:sz w:val="24"/>
                <w:szCs w:val="24"/>
                <w:color w:val="auto"/>
              </w:rPr>
            </w:pPr>
          </w:p>
        </w:tc>
        <w:tc>
          <w:tcPr>
            <w:tcW w:w="980" w:type="dxa"/>
            <w:vAlign w:val="bottom"/>
            <w:tcBorders>
              <w:top w:val="single" w:sz="8" w:color="0000FF"/>
            </w:tcBorders>
            <w:gridSpan w:val="3"/>
          </w:tcPr>
          <w:p>
            <w:pPr>
              <w:spacing w:after="0"/>
              <w:rPr>
                <w:rFonts w:ascii="Arial" w:cs="Arial" w:eastAsia="Arial" w:hAnsi="Arial"/>
                <w:sz w:val="14"/>
                <w:szCs w:val="14"/>
                <w:b w:val="1"/>
                <w:bCs w:val="1"/>
                <w:color w:val="0000FF"/>
              </w:rPr>
            </w:pPr>
            <w:hyperlink w:anchor="page56">
              <w:r>
                <w:rPr>
                  <w:rFonts w:ascii="Arial" w:cs="Arial" w:eastAsia="Arial" w:hAnsi="Arial"/>
                  <w:sz w:val="14"/>
                  <w:szCs w:val="14"/>
                  <w:b w:val="1"/>
                  <w:bCs w:val="1"/>
                  <w:color w:val="0000FF"/>
                </w:rPr>
                <w:t>SIGNATURES</w:t>
              </w:r>
            </w:hyperlink>
          </w:p>
        </w:tc>
        <w:tc>
          <w:tcPr>
            <w:tcW w:w="6300" w:type="dxa"/>
            <w:vAlign w:val="bottom"/>
            <w:gridSpan w:val="22"/>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548"/>
        </w:trPr>
        <w:tc>
          <w:tcPr>
            <w:tcW w:w="40" w:type="dxa"/>
            <w:vAlign w:val="bottom"/>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5040" w:type="dxa"/>
            <w:vAlign w:val="bottom"/>
            <w:gridSpan w:val="15"/>
          </w:tcPr>
          <w:p>
            <w:pPr>
              <w:jc w:val="right"/>
              <w:ind w:right="34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-4945380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89" w:lineRule="exact"/>
        <w:rPr>
          <w:sz w:val="20"/>
          <w:szCs w:val="20"/>
          <w:color w:val="auto"/>
        </w:rPr>
      </w:pPr>
    </w:p>
    <w:p>
      <w:pPr>
        <w:ind w:right="60" w:firstLine="449"/>
        <w:spacing w:after="0" w:line="268"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w:t>
      </w:r>
    </w:p>
    <w:p>
      <w:pPr>
        <w:spacing w:after="0" w:line="6" w:lineRule="exact"/>
        <w:rPr>
          <w:sz w:val="20"/>
          <w:szCs w:val="20"/>
          <w:color w:val="auto"/>
        </w:rPr>
      </w:pPr>
    </w:p>
    <w:p>
      <w:pPr>
        <w:spacing w:after="0" w:line="164" w:lineRule="exact"/>
        <w:rPr>
          <w:sz w:val="20"/>
          <w:szCs w:val="20"/>
          <w:color w:val="auto"/>
        </w:rPr>
      </w:pPr>
      <w:r>
        <w:rPr>
          <w:rFonts w:ascii="Arial" w:cs="Arial" w:eastAsia="Arial" w:hAnsi="Arial"/>
          <w:sz w:val="13"/>
          <w:szCs w:val="13"/>
          <w:color w:val="auto"/>
        </w:rPr>
        <w:t>a regulated investment company under the Code; “BDC” refers to a business development company under the 1940 Act; “MCG” refers to MCG Capital Corporation;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20"/>
                <w:szCs w:val="20"/>
                <w:color w:val="auto"/>
              </w:rPr>
            </w:pPr>
            <w:r>
              <w:rPr>
                <w:rFonts w:ascii="Arial" w:cs="Arial" w:eastAsia="Arial" w:hAnsi="Arial"/>
                <w:sz w:val="14"/>
                <w:szCs w:val="14"/>
                <w:b w:val="1"/>
                <w:bCs w:val="1"/>
                <w:color w:val="auto"/>
              </w:rPr>
              <w:t>Item 1. Consolidated Financial Statements</w:t>
            </w:r>
          </w:p>
        </w:tc>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0"/>
        </w:trPr>
        <w:tc>
          <w:tcPr>
            <w:tcW w:w="8960" w:type="dxa"/>
            <w:vAlign w:val="bottom"/>
            <w:gridSpan w:val="5"/>
          </w:tcPr>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8960" w:type="dxa"/>
            <w:vAlign w:val="bottom"/>
            <w:gridSpan w:val="5"/>
          </w:tcPr>
          <w:p>
            <w:pPr>
              <w:ind w:left="350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36"/>
        </w:trPr>
        <w:tc>
          <w:tcPr>
            <w:tcW w:w="3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24"/>
                <w:szCs w:val="24"/>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 2021</w:t>
            </w:r>
          </w:p>
        </w:tc>
      </w:tr>
      <w:tr>
        <w:trPr>
          <w:trHeight w:val="169"/>
        </w:trPr>
        <w:tc>
          <w:tcPr>
            <w:tcW w:w="3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7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Assets</w:t>
            </w:r>
          </w:p>
        </w:tc>
        <w:tc>
          <w:tcPr>
            <w:tcW w:w="29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9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378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780" w:type="dxa"/>
            <w:vAlign w:val="bottom"/>
            <w:shd w:val="clear" w:color="auto" w:fill="CCECFF"/>
          </w:tcPr>
          <w:p>
            <w:pPr>
              <w:ind w:left="20"/>
              <w:spacing w:after="0"/>
              <w:rPr>
                <w:sz w:val="20"/>
                <w:szCs w:val="20"/>
                <w:color w:val="auto"/>
              </w:rPr>
            </w:pPr>
            <w:r>
              <w:rPr>
                <w:rFonts w:ascii="Arial" w:cs="Arial" w:eastAsia="Arial" w:hAnsi="Arial"/>
                <w:sz w:val="14"/>
                <w:szCs w:val="14"/>
                <w:color w:val="auto"/>
                <w:w w:val="94"/>
              </w:rPr>
              <w:t>Non-controlled, non-affiliated investments (cost— $908,298,246</w:t>
            </w:r>
          </w:p>
        </w:tc>
        <w:tc>
          <w:tcPr>
            <w:tcW w:w="2940" w:type="dxa"/>
            <w:vAlign w:val="bottom"/>
            <w:shd w:val="clear" w:color="auto" w:fill="CCECFF"/>
          </w:tcPr>
          <w:p>
            <w:pPr>
              <w:ind w:left="60"/>
              <w:spacing w:after="0"/>
              <w:rPr>
                <w:sz w:val="20"/>
                <w:szCs w:val="20"/>
                <w:color w:val="auto"/>
              </w:rPr>
            </w:pPr>
            <w:r>
              <w:rPr>
                <w:rFonts w:ascii="Arial" w:cs="Arial" w:eastAsia="Arial" w:hAnsi="Arial"/>
                <w:sz w:val="14"/>
                <w:szCs w:val="14"/>
                <w:color w:val="auto"/>
              </w:rPr>
              <w:t>and $824,541,549, respectively</w:t>
            </w: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945,338,180</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856,806,437</w:t>
            </w:r>
          </w:p>
        </w:tc>
        <w:tc>
          <w:tcPr>
            <w:tcW w:w="60" w:type="dxa"/>
            <w:vAlign w:val="bottom"/>
            <w:shd w:val="clear" w:color="auto" w:fill="CCECFF"/>
          </w:tcPr>
          <w:p>
            <w:pPr>
              <w:spacing w:after="0"/>
              <w:rPr>
                <w:sz w:val="15"/>
                <w:szCs w:val="15"/>
                <w:color w:val="auto"/>
              </w:rPr>
            </w:pPr>
          </w:p>
        </w:tc>
      </w:tr>
      <w:tr>
        <w:trPr>
          <w:trHeight w:val="175"/>
        </w:trPr>
        <w:tc>
          <w:tcPr>
            <w:tcW w:w="3780" w:type="dxa"/>
            <w:vAlign w:val="bottom"/>
          </w:tcPr>
          <w:p>
            <w:pPr>
              <w:ind w:left="20"/>
              <w:spacing w:after="0"/>
              <w:rPr>
                <w:sz w:val="20"/>
                <w:szCs w:val="20"/>
                <w:color w:val="auto"/>
              </w:rPr>
            </w:pPr>
            <w:r>
              <w:rPr>
                <w:rFonts w:ascii="Arial" w:cs="Arial" w:eastAsia="Arial" w:hAnsi="Arial"/>
                <w:sz w:val="14"/>
                <w:szCs w:val="14"/>
                <w:color w:val="auto"/>
                <w:w w:val="96"/>
              </w:rPr>
              <w:t>Non-controlled, affiliated investments (cost— $22,380,092 and</w:t>
            </w:r>
          </w:p>
        </w:tc>
        <w:tc>
          <w:tcPr>
            <w:tcW w:w="2940" w:type="dxa"/>
            <w:vAlign w:val="bottom"/>
          </w:tcPr>
          <w:p>
            <w:pPr>
              <w:spacing w:after="0"/>
              <w:rPr>
                <w:sz w:val="20"/>
                <w:szCs w:val="20"/>
                <w:color w:val="auto"/>
              </w:rPr>
            </w:pPr>
            <w:r>
              <w:rPr>
                <w:rFonts w:ascii="Arial" w:cs="Arial" w:eastAsia="Arial" w:hAnsi="Arial"/>
                <w:sz w:val="14"/>
                <w:szCs w:val="14"/>
                <w:color w:val="auto"/>
              </w:rPr>
              <w:t>$22,380,092, respectively</w:t>
            </w: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640,457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7,432,896</w:t>
            </w:r>
          </w:p>
        </w:tc>
        <w:tc>
          <w:tcPr>
            <w:tcW w:w="60" w:type="dxa"/>
            <w:vAlign w:val="bottom"/>
          </w:tcPr>
          <w:p>
            <w:pPr>
              <w:spacing w:after="0"/>
              <w:rPr>
                <w:sz w:val="15"/>
                <w:szCs w:val="15"/>
                <w:color w:val="auto"/>
              </w:rPr>
            </w:pPr>
          </w:p>
        </w:tc>
      </w:tr>
      <w:tr>
        <w:trPr>
          <w:trHeight w:val="176"/>
        </w:trPr>
        <w:tc>
          <w:tcPr>
            <w:tcW w:w="672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Controlled, affiliated investments (cost— $241,268,951 and $223,714,366, respectively</w:t>
            </w:r>
          </w:p>
        </w:tc>
        <w:tc>
          <w:tcPr>
            <w:tcW w:w="260" w:type="dxa"/>
            <w:vAlign w:val="bottom"/>
            <w:tcBorders>
              <w:bottom w:val="single" w:sz="8" w:color="auto"/>
            </w:tcBorders>
            <w:shd w:val="clear" w:color="auto" w:fill="CCECFF"/>
          </w:tcPr>
          <w:p>
            <w:pPr>
              <w:spacing w:after="0"/>
              <w:rPr>
                <w:sz w:val="15"/>
                <w:szCs w:val="15"/>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233,842,905</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217,380,079</w:t>
            </w:r>
          </w:p>
        </w:tc>
        <w:tc>
          <w:tcPr>
            <w:tcW w:w="60" w:type="dxa"/>
            <w:vAlign w:val="bottom"/>
            <w:tcBorders>
              <w:bottom w:val="single" w:sz="8" w:color="CCECFF"/>
            </w:tcBorders>
            <w:shd w:val="clear" w:color="auto" w:fill="CCECFF"/>
          </w:tcPr>
          <w:p>
            <w:pPr>
              <w:spacing w:after="0"/>
              <w:rPr>
                <w:sz w:val="15"/>
                <w:szCs w:val="15"/>
                <w:color w:val="auto"/>
              </w:rPr>
            </w:pPr>
          </w:p>
        </w:tc>
      </w:tr>
      <w:tr>
        <w:trPr>
          <w:trHeight w:val="169"/>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Total investments (cost— $1,171,947,289 and $1,070,636,007, respectively</w:t>
            </w:r>
          </w:p>
        </w:tc>
        <w:tc>
          <w:tcPr>
            <w:tcW w:w="2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1,179,821,542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1,081,619,412</w:t>
            </w:r>
          </w:p>
        </w:tc>
        <w:tc>
          <w:tcPr>
            <w:tcW w:w="60" w:type="dxa"/>
            <w:vAlign w:val="bottom"/>
          </w:tcPr>
          <w:p>
            <w:pPr>
              <w:spacing w:after="0"/>
              <w:rPr>
                <w:sz w:val="14"/>
                <w:szCs w:val="14"/>
                <w:color w:val="auto"/>
              </w:rPr>
            </w:pPr>
          </w:p>
        </w:tc>
      </w:tr>
      <w:tr>
        <w:trPr>
          <w:trHeight w:val="175"/>
        </w:trPr>
        <w:tc>
          <w:tcPr>
            <w:tcW w:w="67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Cash and cash equivalents (cost—$61,266,283 and $49,825,527, respectively)</w:t>
            </w:r>
          </w:p>
        </w:tc>
        <w:tc>
          <w:tcPr>
            <w:tcW w:w="26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61,266,942</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49,825,527</w:t>
            </w:r>
          </w:p>
        </w:tc>
        <w:tc>
          <w:tcPr>
            <w:tcW w:w="60" w:type="dxa"/>
            <w:vAlign w:val="bottom"/>
            <w:shd w:val="clear" w:color="auto" w:fill="CCECFF"/>
          </w:tcPr>
          <w:p>
            <w:pPr>
              <w:spacing w:after="0"/>
              <w:rPr>
                <w:sz w:val="15"/>
                <w:szCs w:val="15"/>
                <w:color w:val="auto"/>
              </w:rPr>
            </w:pPr>
          </w:p>
        </w:tc>
      </w:tr>
      <w:tr>
        <w:trPr>
          <w:trHeight w:val="176"/>
        </w:trPr>
        <w:tc>
          <w:tcPr>
            <w:tcW w:w="378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5,737,043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5,445,726</w:t>
            </w:r>
          </w:p>
        </w:tc>
        <w:tc>
          <w:tcPr>
            <w:tcW w:w="60" w:type="dxa"/>
            <w:vAlign w:val="bottom"/>
          </w:tcPr>
          <w:p>
            <w:pPr>
              <w:spacing w:after="0"/>
              <w:rPr>
                <w:sz w:val="15"/>
                <w:szCs w:val="15"/>
                <w:color w:val="auto"/>
              </w:rPr>
            </w:pPr>
          </w:p>
        </w:tc>
      </w:tr>
      <w:tr>
        <w:trPr>
          <w:trHeight w:val="175"/>
        </w:trPr>
        <w:tc>
          <w:tcPr>
            <w:tcW w:w="3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Receivable for investments sold</w:t>
            </w:r>
          </w:p>
        </w:tc>
        <w:tc>
          <w:tcPr>
            <w:tcW w:w="2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18,429,923</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33,965,807</w:t>
            </w:r>
          </w:p>
        </w:tc>
        <w:tc>
          <w:tcPr>
            <w:tcW w:w="60" w:type="dxa"/>
            <w:vAlign w:val="bottom"/>
            <w:shd w:val="clear" w:color="auto" w:fill="CCECFF"/>
          </w:tcPr>
          <w:p>
            <w:pPr>
              <w:spacing w:after="0"/>
              <w:rPr>
                <w:sz w:val="15"/>
                <w:szCs w:val="15"/>
                <w:color w:val="auto"/>
              </w:rPr>
            </w:pPr>
          </w:p>
        </w:tc>
      </w:tr>
      <w:tr>
        <w:trPr>
          <w:trHeight w:val="176"/>
        </w:trPr>
        <w:tc>
          <w:tcPr>
            <w:tcW w:w="378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96,209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9"/>
        </w:trPr>
        <w:tc>
          <w:tcPr>
            <w:tcW w:w="3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Total assets</w:t>
            </w:r>
          </w:p>
        </w:tc>
        <w:tc>
          <w:tcPr>
            <w:tcW w:w="294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1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1,265,351,659</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1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1,170,856,472</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3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Distributions payable</w:t>
            </w:r>
          </w:p>
        </w:tc>
        <w:tc>
          <w:tcPr>
            <w:tcW w:w="2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3,718,603</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3,690,320</w:t>
            </w:r>
          </w:p>
        </w:tc>
        <w:tc>
          <w:tcPr>
            <w:tcW w:w="60" w:type="dxa"/>
            <w:vAlign w:val="bottom"/>
            <w:shd w:val="clear" w:color="auto" w:fill="CCECFF"/>
          </w:tcPr>
          <w:p>
            <w:pPr>
              <w:spacing w:after="0"/>
              <w:rPr>
                <w:sz w:val="15"/>
                <w:szCs w:val="15"/>
                <w:color w:val="auto"/>
              </w:rPr>
            </w:pPr>
          </w:p>
        </w:tc>
      </w:tr>
      <w:tr>
        <w:trPr>
          <w:trHeight w:val="176"/>
        </w:trPr>
        <w:tc>
          <w:tcPr>
            <w:tcW w:w="3780" w:type="dxa"/>
            <w:vAlign w:val="bottom"/>
          </w:tcPr>
          <w:p>
            <w:pPr>
              <w:ind w:left="20"/>
              <w:spacing w:after="0"/>
              <w:rPr>
                <w:sz w:val="20"/>
                <w:szCs w:val="20"/>
                <w:color w:val="auto"/>
              </w:rPr>
            </w:pPr>
            <w:r>
              <w:rPr>
                <w:rFonts w:ascii="Arial" w:cs="Arial" w:eastAsia="Arial" w:hAnsi="Arial"/>
                <w:sz w:val="14"/>
                <w:szCs w:val="14"/>
                <w:color w:val="auto"/>
              </w:rPr>
              <w:t>Payable for investments purchased</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1,058,400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13,545,522</w:t>
            </w:r>
          </w:p>
        </w:tc>
        <w:tc>
          <w:tcPr>
            <w:tcW w:w="60" w:type="dxa"/>
            <w:vAlign w:val="bottom"/>
          </w:tcPr>
          <w:p>
            <w:pPr>
              <w:spacing w:after="0"/>
              <w:rPr>
                <w:sz w:val="15"/>
                <w:szCs w:val="15"/>
                <w:color w:val="auto"/>
              </w:rPr>
            </w:pPr>
          </w:p>
        </w:tc>
      </w:tr>
      <w:tr>
        <w:trPr>
          <w:trHeight w:val="175"/>
        </w:trPr>
        <w:tc>
          <w:tcPr>
            <w:tcW w:w="67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w w:val="96"/>
              </w:rPr>
              <w:t>Credit Facility payable, at fair value (cost—$256,653,500 and $219,400,000, respectively) (See Notes 5 and 11)</w:t>
            </w:r>
          </w:p>
        </w:tc>
        <w:tc>
          <w:tcPr>
            <w:tcW w:w="26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256,670,500</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218,851,500</w:t>
            </w:r>
          </w:p>
        </w:tc>
        <w:tc>
          <w:tcPr>
            <w:tcW w:w="60" w:type="dxa"/>
            <w:vAlign w:val="bottom"/>
            <w:shd w:val="clear" w:color="auto" w:fill="CCECFF"/>
          </w:tcPr>
          <w:p>
            <w:pPr>
              <w:spacing w:after="0"/>
              <w:rPr>
                <w:sz w:val="15"/>
                <w:szCs w:val="15"/>
                <w:color w:val="auto"/>
              </w:rPr>
            </w:pPr>
          </w:p>
        </w:tc>
      </w:tr>
      <w:tr>
        <w:trPr>
          <w:trHeight w:val="176"/>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2023 Notes payable, at fair value (par—$97,005,901 and $117,792,879, respectively) (See Notes 5 and 11)</w:t>
            </w: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86,150,940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111,114,023</w:t>
            </w:r>
          </w:p>
        </w:tc>
        <w:tc>
          <w:tcPr>
            <w:tcW w:w="60" w:type="dxa"/>
            <w:vAlign w:val="bottom"/>
          </w:tcPr>
          <w:p>
            <w:pPr>
              <w:spacing w:after="0"/>
              <w:rPr>
                <w:sz w:val="15"/>
                <w:szCs w:val="15"/>
                <w:color w:val="auto"/>
              </w:rPr>
            </w:pPr>
          </w:p>
        </w:tc>
      </w:tr>
      <w:tr>
        <w:trPr>
          <w:trHeight w:val="175"/>
        </w:trPr>
        <w:tc>
          <w:tcPr>
            <w:tcW w:w="67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2026 Notes payable, net (par—$185,000,000 and $100,000,000, respectively) (See Notes 5 and 11)</w:t>
            </w:r>
          </w:p>
        </w:tc>
        <w:tc>
          <w:tcPr>
            <w:tcW w:w="26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181,693,294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97,170,665</w:t>
            </w:r>
          </w:p>
        </w:tc>
        <w:tc>
          <w:tcPr>
            <w:tcW w:w="60" w:type="dxa"/>
            <w:vAlign w:val="bottom"/>
            <w:shd w:val="clear" w:color="auto" w:fill="CCECFF"/>
          </w:tcPr>
          <w:p>
            <w:pPr>
              <w:spacing w:after="0"/>
              <w:rPr>
                <w:sz w:val="15"/>
                <w:szCs w:val="15"/>
                <w:color w:val="auto"/>
              </w:rPr>
            </w:pPr>
          </w:p>
        </w:tc>
      </w:tr>
      <w:tr>
        <w:trPr>
          <w:trHeight w:val="176"/>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2031 Asset-Backed Debt, net (par—$228,000,000 ) (See Notes 5 and 11)</w:t>
            </w: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225,654,887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225,497,177</w:t>
            </w:r>
          </w:p>
        </w:tc>
        <w:tc>
          <w:tcPr>
            <w:tcW w:w="60" w:type="dxa"/>
            <w:vAlign w:val="bottom"/>
          </w:tcPr>
          <w:p>
            <w:pPr>
              <w:spacing w:after="0"/>
              <w:rPr>
                <w:sz w:val="15"/>
                <w:szCs w:val="15"/>
                <w:color w:val="auto"/>
              </w:rPr>
            </w:pPr>
          </w:p>
        </w:tc>
      </w:tr>
      <w:tr>
        <w:trPr>
          <w:trHeight w:val="176"/>
        </w:trPr>
        <w:tc>
          <w:tcPr>
            <w:tcW w:w="3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debt</w:t>
            </w:r>
          </w:p>
        </w:tc>
        <w:tc>
          <w:tcPr>
            <w:tcW w:w="2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4,014,294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5,454,784</w:t>
            </w:r>
          </w:p>
        </w:tc>
        <w:tc>
          <w:tcPr>
            <w:tcW w:w="60" w:type="dxa"/>
            <w:vAlign w:val="bottom"/>
            <w:shd w:val="clear" w:color="auto" w:fill="CCECFF"/>
          </w:tcPr>
          <w:p>
            <w:pPr>
              <w:spacing w:after="0"/>
              <w:rPr>
                <w:sz w:val="15"/>
                <w:szCs w:val="15"/>
                <w:color w:val="auto"/>
              </w:rPr>
            </w:pPr>
          </w:p>
        </w:tc>
      </w:tr>
      <w:tr>
        <w:trPr>
          <w:trHeight w:val="175"/>
        </w:trPr>
        <w:tc>
          <w:tcPr>
            <w:tcW w:w="3780" w:type="dxa"/>
            <w:vAlign w:val="bottom"/>
          </w:tcPr>
          <w:p>
            <w:pPr>
              <w:ind w:left="20"/>
              <w:spacing w:after="0"/>
              <w:rPr>
                <w:sz w:val="20"/>
                <w:szCs w:val="20"/>
                <w:color w:val="auto"/>
              </w:rPr>
            </w:pPr>
            <w:r>
              <w:rPr>
                <w:rFonts w:ascii="Arial" w:cs="Arial" w:eastAsia="Arial" w:hAnsi="Arial"/>
                <w:sz w:val="14"/>
                <w:szCs w:val="14"/>
                <w:color w:val="auto"/>
              </w:rPr>
              <w:t>Base-management fee payable (See Note 3)</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2,896,251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2,706,828</w:t>
            </w:r>
          </w:p>
        </w:tc>
        <w:tc>
          <w:tcPr>
            <w:tcW w:w="60" w:type="dxa"/>
            <w:vAlign w:val="bottom"/>
          </w:tcPr>
          <w:p>
            <w:pPr>
              <w:spacing w:after="0"/>
              <w:rPr>
                <w:sz w:val="15"/>
                <w:szCs w:val="15"/>
                <w:color w:val="auto"/>
              </w:rPr>
            </w:pPr>
          </w:p>
        </w:tc>
      </w:tr>
      <w:tr>
        <w:trPr>
          <w:trHeight w:val="176"/>
        </w:trPr>
        <w:tc>
          <w:tcPr>
            <w:tcW w:w="3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Performance-based incentive fee payable (See Note 3)</w:t>
            </w:r>
          </w:p>
        </w:tc>
        <w:tc>
          <w:tcPr>
            <w:tcW w:w="2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3,180,464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623,718</w:t>
            </w:r>
          </w:p>
        </w:tc>
        <w:tc>
          <w:tcPr>
            <w:tcW w:w="60" w:type="dxa"/>
            <w:vAlign w:val="bottom"/>
            <w:shd w:val="clear" w:color="auto" w:fill="CCECFF"/>
          </w:tcPr>
          <w:p>
            <w:pPr>
              <w:spacing w:after="0"/>
              <w:rPr>
                <w:sz w:val="15"/>
                <w:szCs w:val="15"/>
                <w:color w:val="auto"/>
              </w:rPr>
            </w:pPr>
          </w:p>
        </w:tc>
      </w:tr>
      <w:tr>
        <w:trPr>
          <w:trHeight w:val="175"/>
        </w:trPr>
        <w:tc>
          <w:tcPr>
            <w:tcW w:w="378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1,539,871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3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Accrued other expenses</w:t>
            </w:r>
          </w:p>
        </w:tc>
        <w:tc>
          <w:tcPr>
            <w:tcW w:w="29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1,368,667</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1,590,679</w:t>
            </w:r>
          </w:p>
        </w:tc>
        <w:tc>
          <w:tcPr>
            <w:tcW w:w="60" w:type="dxa"/>
            <w:vAlign w:val="bottom"/>
            <w:tcBorders>
              <w:bottom w:val="single" w:sz="8" w:color="CCECFF"/>
            </w:tcBorders>
            <w:shd w:val="clear" w:color="auto" w:fill="CCECFF"/>
          </w:tcPr>
          <w:p>
            <w:pPr>
              <w:spacing w:after="0"/>
              <w:rPr>
                <w:sz w:val="15"/>
                <w:szCs w:val="15"/>
                <w:color w:val="auto"/>
              </w:rPr>
            </w:pPr>
          </w:p>
        </w:tc>
      </w:tr>
      <w:tr>
        <w:trPr>
          <w:trHeight w:val="169"/>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767,946,171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680,245,216</w:t>
            </w:r>
          </w:p>
        </w:tc>
        <w:tc>
          <w:tcPr>
            <w:tcW w:w="60" w:type="dxa"/>
            <w:vAlign w:val="bottom"/>
          </w:tcPr>
          <w:p>
            <w:pPr>
              <w:spacing w:after="0"/>
              <w:rPr>
                <w:sz w:val="14"/>
                <w:szCs w:val="14"/>
                <w:color w:val="auto"/>
              </w:rPr>
            </w:pPr>
          </w:p>
        </w:tc>
      </w:tr>
      <w:tr>
        <w:trPr>
          <w:trHeight w:val="169"/>
        </w:trPr>
        <w:tc>
          <w:tcPr>
            <w:tcW w:w="3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Commitments and contingencies (See Note 12)</w:t>
            </w:r>
          </w:p>
        </w:tc>
        <w:tc>
          <w:tcPr>
            <w:tcW w:w="29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9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Net assets</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3"/>
        </w:trPr>
        <w:tc>
          <w:tcPr>
            <w:tcW w:w="6720" w:type="dxa"/>
            <w:vAlign w:val="bottom"/>
            <w:gridSpan w:val="2"/>
            <w:shd w:val="clear" w:color="auto" w:fill="CCECFF"/>
          </w:tcPr>
          <w:p>
            <w:pPr>
              <w:ind w:left="20"/>
              <w:spacing w:after="0" w:line="143" w:lineRule="exact"/>
              <w:rPr>
                <w:sz w:val="20"/>
                <w:szCs w:val="20"/>
                <w:color w:val="auto"/>
              </w:rPr>
            </w:pPr>
            <w:r>
              <w:rPr>
                <w:rFonts w:ascii="Arial" w:cs="Arial" w:eastAsia="Arial" w:hAnsi="Arial"/>
                <w:sz w:val="14"/>
                <w:szCs w:val="14"/>
                <w:color w:val="auto"/>
              </w:rPr>
              <w:t>Common stock, 39,150,794 and 38,880,728 shares issued and outstanding, respectively</w:t>
            </w:r>
          </w:p>
        </w:tc>
        <w:tc>
          <w:tcPr>
            <w:tcW w:w="260" w:type="dxa"/>
            <w:vAlign w:val="bottom"/>
            <w:shd w:val="clear" w:color="auto" w:fill="CCECFF"/>
          </w:tcPr>
          <w:p>
            <w:pPr>
              <w:spacing w:after="0"/>
              <w:rPr>
                <w:sz w:val="12"/>
                <w:szCs w:val="12"/>
                <w:color w:val="auto"/>
              </w:rPr>
            </w:pPr>
          </w:p>
        </w:tc>
        <w:tc>
          <w:tcPr>
            <w:tcW w:w="1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9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81"/>
        </w:trPr>
        <w:tc>
          <w:tcPr>
            <w:tcW w:w="3780" w:type="dxa"/>
            <w:vAlign w:val="bottom"/>
            <w:shd w:val="clear" w:color="auto" w:fill="CCECFF"/>
          </w:tcPr>
          <w:p>
            <w:pPr>
              <w:ind w:left="120"/>
              <w:spacing w:after="0"/>
              <w:rPr>
                <w:sz w:val="20"/>
                <w:szCs w:val="20"/>
                <w:color w:val="auto"/>
              </w:rPr>
            </w:pPr>
            <w:r>
              <w:rPr>
                <w:rFonts w:ascii="Arial" w:cs="Arial" w:eastAsia="Arial" w:hAnsi="Arial"/>
                <w:sz w:val="14"/>
                <w:szCs w:val="14"/>
                <w:color w:val="auto"/>
                <w:w w:val="92"/>
              </w:rPr>
              <w:t>Par value $0.001 per share and 100,000,000 shares authorized</w:t>
            </w:r>
          </w:p>
        </w:tc>
        <w:tc>
          <w:tcPr>
            <w:tcW w:w="2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39,151</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38,881</w:t>
            </w:r>
          </w:p>
        </w:tc>
        <w:tc>
          <w:tcPr>
            <w:tcW w:w="60" w:type="dxa"/>
            <w:vAlign w:val="bottom"/>
            <w:shd w:val="clear" w:color="auto" w:fill="CCECFF"/>
          </w:tcPr>
          <w:p>
            <w:pPr>
              <w:spacing w:after="0"/>
              <w:rPr>
                <w:sz w:val="15"/>
                <w:szCs w:val="15"/>
                <w:color w:val="auto"/>
              </w:rPr>
            </w:pPr>
          </w:p>
        </w:tc>
      </w:tr>
      <w:tr>
        <w:trPr>
          <w:trHeight w:val="175"/>
        </w:trPr>
        <w:tc>
          <w:tcPr>
            <w:tcW w:w="3780" w:type="dxa"/>
            <w:vAlign w:val="bottom"/>
          </w:tcPr>
          <w:p>
            <w:pPr>
              <w:ind w:left="20"/>
              <w:spacing w:after="0"/>
              <w:rPr>
                <w:sz w:val="20"/>
                <w:szCs w:val="20"/>
                <w:color w:val="auto"/>
              </w:rPr>
            </w:pPr>
            <w:r>
              <w:rPr>
                <w:rFonts w:ascii="Arial" w:cs="Arial" w:eastAsia="Arial" w:hAnsi="Arial"/>
                <w:sz w:val="14"/>
                <w:szCs w:val="14"/>
                <w:color w:val="auto"/>
              </w:rPr>
              <w:t>Paid-in capital in excess of par value</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542,281,346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538,814,549</w:t>
            </w:r>
          </w:p>
        </w:tc>
        <w:tc>
          <w:tcPr>
            <w:tcW w:w="60" w:type="dxa"/>
            <w:vAlign w:val="bottom"/>
          </w:tcPr>
          <w:p>
            <w:pPr>
              <w:spacing w:after="0"/>
              <w:rPr>
                <w:sz w:val="15"/>
                <w:szCs w:val="15"/>
                <w:color w:val="auto"/>
              </w:rPr>
            </w:pPr>
          </w:p>
        </w:tc>
      </w:tr>
      <w:tr>
        <w:trPr>
          <w:trHeight w:val="175"/>
        </w:trPr>
        <w:tc>
          <w:tcPr>
            <w:tcW w:w="3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Accumulated Deficit</w:t>
            </w:r>
          </w:p>
        </w:tc>
        <w:tc>
          <w:tcPr>
            <w:tcW w:w="2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9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(44,915,009 )</w:t>
            </w:r>
          </w:p>
        </w:tc>
        <w:tc>
          <w:tcPr>
            <w:tcW w:w="300" w:type="dxa"/>
            <w:vAlign w:val="bottom"/>
            <w:shd w:val="clear" w:color="auto" w:fill="CCECFF"/>
          </w:tcPr>
          <w:p>
            <w:pPr>
              <w:spacing w:after="0"/>
              <w:rPr>
                <w:sz w:val="15"/>
                <w:szCs w:val="15"/>
                <w:color w:val="auto"/>
              </w:rPr>
            </w:pPr>
          </w:p>
        </w:tc>
        <w:tc>
          <w:tcPr>
            <w:tcW w:w="19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(48,242,174 )</w:t>
            </w:r>
          </w:p>
        </w:tc>
      </w:tr>
      <w:tr>
        <w:trPr>
          <w:trHeight w:val="169"/>
        </w:trPr>
        <w:tc>
          <w:tcPr>
            <w:tcW w:w="3780" w:type="dxa"/>
            <w:vAlign w:val="bottom"/>
            <w:tcBorders>
              <w:top w:val="single" w:sz="8" w:color="CCECFF"/>
            </w:tcBorders>
          </w:tcPr>
          <w:p>
            <w:pPr>
              <w:ind w:left="20"/>
              <w:spacing w:after="0"/>
              <w:rPr>
                <w:sz w:val="20"/>
                <w:szCs w:val="20"/>
                <w:color w:val="auto"/>
              </w:rPr>
            </w:pPr>
            <w:r>
              <w:rPr>
                <w:rFonts w:ascii="Arial" w:cs="Arial" w:eastAsia="Arial" w:hAnsi="Arial"/>
                <w:sz w:val="14"/>
                <w:szCs w:val="14"/>
                <w:b w:val="1"/>
                <w:bCs w:val="1"/>
                <w:color w:val="auto"/>
              </w:rPr>
              <w:t>Total net assets</w:t>
            </w:r>
          </w:p>
        </w:tc>
        <w:tc>
          <w:tcPr>
            <w:tcW w:w="2940" w:type="dxa"/>
            <w:vAlign w:val="bottom"/>
            <w:tcBorders>
              <w:top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497,405,488</w:t>
            </w:r>
          </w:p>
        </w:tc>
        <w:tc>
          <w:tcPr>
            <w:tcW w:w="240" w:type="dxa"/>
            <w:vAlign w:val="bottom"/>
            <w:tcBorders>
              <w:top w:val="single" w:sz="8" w:color="CCEC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490,611,256</w:t>
            </w:r>
          </w:p>
        </w:tc>
        <w:tc>
          <w:tcPr>
            <w:tcW w:w="60" w:type="dxa"/>
            <w:vAlign w:val="bottom"/>
            <w:tcBorders>
              <w:top w:val="single" w:sz="8" w:color="CCECFF"/>
            </w:tcBorders>
          </w:tcPr>
          <w:p>
            <w:pPr>
              <w:spacing w:after="0"/>
              <w:rPr>
                <w:sz w:val="14"/>
                <w:szCs w:val="14"/>
                <w:color w:val="auto"/>
              </w:rPr>
            </w:pPr>
          </w:p>
        </w:tc>
      </w:tr>
      <w:tr>
        <w:trPr>
          <w:trHeight w:val="209"/>
        </w:trPr>
        <w:tc>
          <w:tcPr>
            <w:tcW w:w="378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9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1,265,351,659</w:t>
            </w:r>
          </w:p>
        </w:tc>
        <w:tc>
          <w:tcPr>
            <w:tcW w:w="2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1,170,856,472</w:t>
            </w:r>
          </w:p>
        </w:tc>
        <w:tc>
          <w:tcPr>
            <w:tcW w:w="60" w:type="dxa"/>
            <w:vAlign w:val="bottom"/>
            <w:tcBorders>
              <w:bottom w:val="single" w:sz="8" w:color="CCECFF"/>
            </w:tcBorders>
            <w:shd w:val="clear" w:color="auto" w:fill="CCECFF"/>
          </w:tcPr>
          <w:p>
            <w:pPr>
              <w:spacing w:after="0"/>
              <w:rPr>
                <w:sz w:val="18"/>
                <w:szCs w:val="18"/>
                <w:color w:val="auto"/>
              </w:rPr>
            </w:pPr>
          </w:p>
        </w:tc>
      </w:tr>
      <w:tr>
        <w:trPr>
          <w:trHeight w:val="156"/>
        </w:trPr>
        <w:tc>
          <w:tcPr>
            <w:tcW w:w="37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asset value per share</w:t>
            </w:r>
          </w:p>
        </w:tc>
        <w:tc>
          <w:tcPr>
            <w:tcW w:w="294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12.70</w:t>
            </w:r>
          </w:p>
        </w:tc>
        <w:tc>
          <w:tcPr>
            <w:tcW w:w="2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12.62</w:t>
            </w:r>
          </w:p>
        </w:tc>
        <w:tc>
          <w:tcPr>
            <w:tcW w:w="60" w:type="dxa"/>
            <w:vAlign w:val="bottom"/>
          </w:tcPr>
          <w:p>
            <w:pPr>
              <w:spacing w:after="0"/>
              <w:rPr>
                <w:sz w:val="13"/>
                <w:szCs w:val="13"/>
                <w:color w:val="auto"/>
              </w:rPr>
            </w:pPr>
          </w:p>
        </w:tc>
      </w:tr>
      <w:tr>
        <w:trPr>
          <w:trHeight w:val="20"/>
        </w:trPr>
        <w:tc>
          <w:tcPr>
            <w:tcW w:w="3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-3211195</wp:posOffset>
            </wp:positionV>
            <wp:extent cx="51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-3211195</wp:posOffset>
            </wp:positionV>
            <wp:extent cx="431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-2525395</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-2525395</wp:posOffset>
            </wp:positionV>
            <wp:extent cx="431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-1179195</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-1179195</wp:posOffset>
            </wp:positionV>
            <wp:extent cx="431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-399415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-399415</wp:posOffset>
            </wp:positionV>
            <wp:extent cx="431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-162560</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-145415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-145415</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540" w:type="dxa"/>
            <w:vAlign w:val="bottom"/>
            <w:gridSpan w:val="6"/>
          </w:tcPr>
          <w:p>
            <w:pPr>
              <w:jc w:val="right"/>
              <w:ind w:right="648"/>
              <w:spacing w:after="0"/>
              <w:rPr>
                <w:sz w:val="20"/>
                <w:szCs w:val="20"/>
                <w:color w:val="auto"/>
              </w:rPr>
            </w:pPr>
            <w:r>
              <w:rPr>
                <w:rFonts w:ascii="Arial" w:cs="Arial" w:eastAsia="Arial" w:hAnsi="Arial"/>
                <w:sz w:val="14"/>
                <w:szCs w:val="14"/>
                <w:b w:val="1"/>
                <w:bCs w:val="1"/>
                <w:color w:val="auto"/>
              </w:rPr>
              <w:t>Three Months Ended December 31,</w:t>
            </w:r>
          </w:p>
        </w:tc>
      </w:tr>
      <w:tr>
        <w:trPr>
          <w:trHeight w:val="169"/>
        </w:trPr>
        <w:tc>
          <w:tcPr>
            <w:tcW w:w="77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Investment income:</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700" w:type="dxa"/>
            <w:vAlign w:val="bottom"/>
            <w:shd w:val="clear" w:color="auto" w:fill="CCECFF"/>
          </w:tcPr>
          <w:p>
            <w:pPr>
              <w:ind w:left="20"/>
              <w:spacing w:after="0"/>
              <w:rPr>
                <w:sz w:val="20"/>
                <w:szCs w:val="20"/>
                <w:color w:val="auto"/>
              </w:rPr>
            </w:pPr>
            <w:r>
              <w:rPr>
                <w:rFonts w:ascii="Arial" w:cs="Arial" w:eastAsia="Arial" w:hAnsi="Arial"/>
                <w:sz w:val="14"/>
                <w:szCs w:val="14"/>
                <w:color w:val="auto"/>
              </w:rPr>
              <w:t>From non-controlled, non-affiliated investments:</w:t>
            </w:r>
          </w:p>
        </w:tc>
        <w:tc>
          <w:tcPr>
            <w:tcW w:w="960" w:type="dxa"/>
            <w:vAlign w:val="bottom"/>
            <w:shd w:val="clear" w:color="auto" w:fill="CCECFF"/>
          </w:tcPr>
          <w:p>
            <w:pPr>
              <w:spacing w:after="0"/>
              <w:rPr>
                <w:sz w:val="15"/>
                <w:szCs w:val="15"/>
                <w:color w:val="auto"/>
              </w:rPr>
            </w:pPr>
          </w:p>
        </w:tc>
        <w:tc>
          <w:tcPr>
            <w:tcW w:w="6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88"/>
              </w:rPr>
              <w:t>16,857,701</w:t>
            </w:r>
          </w:p>
        </w:tc>
        <w:tc>
          <w:tcPr>
            <w:tcW w:w="26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15,301,431</w:t>
            </w:r>
          </w:p>
        </w:tc>
        <w:tc>
          <w:tcPr>
            <w:tcW w:w="60" w:type="dxa"/>
            <w:vAlign w:val="bottom"/>
          </w:tcPr>
          <w:p>
            <w:pPr>
              <w:spacing w:after="0"/>
              <w:rPr>
                <w:sz w:val="15"/>
                <w:szCs w:val="15"/>
                <w:color w:val="auto"/>
              </w:rPr>
            </w:pPr>
          </w:p>
        </w:tc>
      </w:tr>
      <w:tr>
        <w:trPr>
          <w:trHeight w:val="176"/>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Dividend</w:t>
            </w:r>
          </w:p>
        </w:tc>
        <w:tc>
          <w:tcPr>
            <w:tcW w:w="96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576,923</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2,823,467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881,785</w:t>
            </w:r>
          </w:p>
        </w:tc>
        <w:tc>
          <w:tcPr>
            <w:tcW w:w="60" w:type="dxa"/>
            <w:vAlign w:val="bottom"/>
          </w:tcPr>
          <w:p>
            <w:pPr>
              <w:spacing w:after="0"/>
              <w:rPr>
                <w:sz w:val="15"/>
                <w:szCs w:val="15"/>
                <w:color w:val="auto"/>
              </w:rPr>
            </w:pPr>
          </w:p>
        </w:tc>
      </w:tr>
      <w:tr>
        <w:trPr>
          <w:trHeight w:val="176"/>
        </w:trPr>
        <w:tc>
          <w:tcPr>
            <w:tcW w:w="7700" w:type="dxa"/>
            <w:vAlign w:val="bottom"/>
            <w:shd w:val="clear" w:color="auto" w:fill="CCECFF"/>
          </w:tcPr>
          <w:p>
            <w:pPr>
              <w:ind w:left="20"/>
              <w:spacing w:after="0"/>
              <w:rPr>
                <w:sz w:val="20"/>
                <w:szCs w:val="20"/>
                <w:color w:val="auto"/>
              </w:rPr>
            </w:pPr>
            <w:r>
              <w:rPr>
                <w:rFonts w:ascii="Arial" w:cs="Arial" w:eastAsia="Arial" w:hAnsi="Arial"/>
                <w:sz w:val="14"/>
                <w:szCs w:val="14"/>
                <w:color w:val="auto"/>
              </w:rPr>
              <w:t>From non-controlled, affiliated investments:</w:t>
            </w:r>
          </w:p>
        </w:tc>
        <w:tc>
          <w:tcPr>
            <w:tcW w:w="960" w:type="dxa"/>
            <w:vAlign w:val="bottom"/>
            <w:shd w:val="clear" w:color="auto" w:fill="CCECFF"/>
          </w:tcPr>
          <w:p>
            <w:pPr>
              <w:spacing w:after="0"/>
              <w:rPr>
                <w:sz w:val="15"/>
                <w:szCs w:val="15"/>
                <w:color w:val="auto"/>
              </w:rPr>
            </w:pPr>
          </w:p>
        </w:tc>
        <w:tc>
          <w:tcPr>
            <w:tcW w:w="6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112,082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96,462</w:t>
            </w: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96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20,307</w:t>
            </w:r>
          </w:p>
        </w:tc>
        <w:tc>
          <w:tcPr>
            <w:tcW w:w="60" w:type="dxa"/>
            <w:vAlign w:val="bottom"/>
            <w:shd w:val="clear" w:color="auto" w:fill="CCECFF"/>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From controlled, affiliated investments:</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96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3,165,289</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2,662,876</w:t>
            </w:r>
          </w:p>
        </w:tc>
        <w:tc>
          <w:tcPr>
            <w:tcW w:w="60" w:type="dxa"/>
            <w:vAlign w:val="bottom"/>
            <w:shd w:val="clear" w:color="auto" w:fill="CCECFF"/>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Dividend</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2,800,000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1,575,000</w:t>
            </w:r>
          </w:p>
        </w:tc>
        <w:tc>
          <w:tcPr>
            <w:tcW w:w="60" w:type="dxa"/>
            <w:vAlign w:val="bottom"/>
          </w:tcPr>
          <w:p>
            <w:pPr>
              <w:spacing w:after="0"/>
              <w:rPr>
                <w:sz w:val="15"/>
                <w:szCs w:val="15"/>
                <w:color w:val="auto"/>
              </w:rPr>
            </w:pPr>
          </w:p>
        </w:tc>
      </w:tr>
      <w:tr>
        <w:trPr>
          <w:trHeight w:val="176"/>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96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195,630</w:t>
            </w:r>
          </w:p>
        </w:tc>
        <w:tc>
          <w:tcPr>
            <w:tcW w:w="60" w:type="dxa"/>
            <w:vAlign w:val="bottom"/>
            <w:shd w:val="clear" w:color="auto" w:fill="CCECFF"/>
          </w:tcPr>
          <w:p>
            <w:pPr>
              <w:spacing w:after="0"/>
              <w:rPr>
                <w:sz w:val="15"/>
                <w:szCs w:val="15"/>
                <w:color w:val="auto"/>
              </w:rPr>
            </w:pPr>
          </w:p>
        </w:tc>
      </w:tr>
      <w:tr>
        <w:trPr>
          <w:trHeight w:val="169"/>
        </w:trPr>
        <w:tc>
          <w:tcPr>
            <w:tcW w:w="7700" w:type="dxa"/>
            <w:vAlign w:val="bottom"/>
            <w:tcBorders>
              <w:top w:val="single" w:sz="8" w:color="CCECFF"/>
            </w:tcBorders>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9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26,335,462</w:t>
            </w:r>
          </w:p>
        </w:tc>
        <w:tc>
          <w:tcPr>
            <w:tcW w:w="260" w:type="dxa"/>
            <w:vAlign w:val="bottom"/>
            <w:tcBorders>
              <w:top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20,733,491</w:t>
            </w:r>
          </w:p>
        </w:tc>
        <w:tc>
          <w:tcPr>
            <w:tcW w:w="60" w:type="dxa"/>
            <w:vAlign w:val="bottom"/>
            <w:tcBorders>
              <w:top w:val="single" w:sz="8" w:color="CCECFF"/>
            </w:tcBorders>
          </w:tcPr>
          <w:p>
            <w:pPr>
              <w:spacing w:after="0"/>
              <w:rPr>
                <w:sz w:val="14"/>
                <w:szCs w:val="14"/>
                <w:color w:val="auto"/>
              </w:rPr>
            </w:pPr>
          </w:p>
        </w:tc>
      </w:tr>
      <w:tr>
        <w:trPr>
          <w:trHeight w:val="169"/>
        </w:trPr>
        <w:tc>
          <w:tcPr>
            <w:tcW w:w="77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96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Base-management fee (See Note 3)</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2,896,252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2,716,172</w:t>
            </w: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Performance-based incentive fee (See Note 3)</w:t>
            </w:r>
          </w:p>
        </w:tc>
        <w:tc>
          <w:tcPr>
            <w:tcW w:w="96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3,180,464</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1,761,874</w:t>
            </w:r>
          </w:p>
        </w:tc>
        <w:tc>
          <w:tcPr>
            <w:tcW w:w="60" w:type="dxa"/>
            <w:vAlign w:val="bottom"/>
            <w:shd w:val="clear" w:color="auto" w:fill="CCECFF"/>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Interest and expenses on debt (See Note 11)</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6,638,782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5,341,340</w:t>
            </w: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Administrative services expenses (See Note 3)</w:t>
            </w:r>
          </w:p>
        </w:tc>
        <w:tc>
          <w:tcPr>
            <w:tcW w:w="96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143,750</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60" w:type="dxa"/>
            <w:vAlign w:val="bottom"/>
            <w:shd w:val="clear" w:color="auto" w:fill="CCECFF"/>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654,600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60" w:type="dxa"/>
            <w:vAlign w:val="bottom"/>
          </w:tcPr>
          <w:p>
            <w:pPr>
              <w:spacing w:after="0"/>
              <w:rPr>
                <w:sz w:val="15"/>
                <w:szCs w:val="15"/>
                <w:color w:val="auto"/>
              </w:rPr>
            </w:pPr>
          </w:p>
        </w:tc>
      </w:tr>
      <w:tr>
        <w:trPr>
          <w:trHeight w:val="169"/>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b w:val="1"/>
                <w:bCs w:val="1"/>
                <w:color w:val="auto"/>
              </w:rPr>
              <w:t>Expenses before provision for taxes</w:t>
            </w:r>
          </w:p>
        </w:tc>
        <w:tc>
          <w:tcPr>
            <w:tcW w:w="96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8"/>
              </w:rPr>
              <w:t>13,513,848</w:t>
            </w: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10,519,386</w:t>
            </w:r>
          </w:p>
        </w:tc>
        <w:tc>
          <w:tcPr>
            <w:tcW w:w="60" w:type="dxa"/>
            <w:vAlign w:val="bottom"/>
            <w:shd w:val="clear" w:color="auto" w:fill="CCECFF"/>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Provision for taxes</w:t>
            </w: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60" w:type="dxa"/>
            <w:vAlign w:val="bottom"/>
          </w:tcPr>
          <w:p>
            <w:pPr>
              <w:spacing w:after="0"/>
              <w:rPr>
                <w:sz w:val="15"/>
                <w:szCs w:val="15"/>
                <w:color w:val="auto"/>
              </w:rPr>
            </w:pPr>
          </w:p>
        </w:tc>
      </w:tr>
      <w:tr>
        <w:trPr>
          <w:trHeight w:val="169"/>
        </w:trPr>
        <w:tc>
          <w:tcPr>
            <w:tcW w:w="77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Total expenses</w:t>
            </w:r>
          </w:p>
        </w:tc>
        <w:tc>
          <w:tcPr>
            <w:tcW w:w="96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88"/>
              </w:rPr>
              <w:t>13,613,848</w:t>
            </w:r>
          </w:p>
        </w:tc>
        <w:tc>
          <w:tcPr>
            <w:tcW w:w="26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10,619,386</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7700" w:type="dxa"/>
            <w:vAlign w:val="bottom"/>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12,721,614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10,114,105</w:t>
            </w:r>
          </w:p>
        </w:tc>
        <w:tc>
          <w:tcPr>
            <w:tcW w:w="60" w:type="dxa"/>
            <w:vAlign w:val="bottom"/>
          </w:tcPr>
          <w:p>
            <w:pPr>
              <w:spacing w:after="0"/>
              <w:rPr>
                <w:sz w:val="14"/>
                <w:szCs w:val="14"/>
                <w:color w:val="auto"/>
              </w:rPr>
            </w:pPr>
          </w:p>
        </w:tc>
      </w:tr>
      <w:tr>
        <w:trPr>
          <w:trHeight w:val="169"/>
        </w:trPr>
        <w:tc>
          <w:tcPr>
            <w:tcW w:w="77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Realized and unrealized (loss) gain on investments and debt:</w:t>
            </w:r>
          </w:p>
        </w:tc>
        <w:tc>
          <w:tcPr>
            <w:tcW w:w="96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Net realized gain (loss) on:</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96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3,072,810</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(1,707,698 )</w:t>
            </w: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Non-controlled and controlled, affiliated investments</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65,244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(1,052,048 )</w:t>
            </w:r>
          </w:p>
        </w:tc>
      </w:tr>
      <w:tr>
        <w:trPr>
          <w:trHeight w:val="169"/>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b w:val="1"/>
                <w:bCs w:val="1"/>
                <w:color w:val="auto"/>
              </w:rPr>
              <w:t>Net realized gain (loss) on investments</w:t>
            </w:r>
          </w:p>
        </w:tc>
        <w:tc>
          <w:tcPr>
            <w:tcW w:w="960" w:type="dxa"/>
            <w:vAlign w:val="bottom"/>
            <w:tcBorders>
              <w:top w:val="single" w:sz="8" w:color="auto"/>
            </w:tcBorders>
            <w:shd w:val="clear" w:color="auto" w:fill="CCECFF"/>
          </w:tcPr>
          <w:p>
            <w:pPr>
              <w:spacing w:after="0"/>
              <w:rPr>
                <w:sz w:val="14"/>
                <w:szCs w:val="14"/>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9"/>
              </w:rPr>
              <w:t>3,138,054</w:t>
            </w:r>
          </w:p>
        </w:tc>
        <w:tc>
          <w:tcPr>
            <w:tcW w:w="26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(2,759,746</w:t>
            </w:r>
          </w:p>
        </w:tc>
        <w:tc>
          <w:tcPr>
            <w:tcW w:w="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Net change in unrealized (depreciation) appreciation on:</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96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4,386,904</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22,537,278</w:t>
            </w: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Controlled and non-controlled, affiliated investments</w:t>
            </w:r>
          </w:p>
        </w:tc>
        <w:tc>
          <w:tcPr>
            <w:tcW w:w="960" w:type="dxa"/>
            <w:vAlign w:val="bottom"/>
          </w:tcPr>
          <w:p>
            <w:pPr>
              <w:spacing w:after="0"/>
              <w:rPr>
                <w:sz w:val="15"/>
                <w:szCs w:val="15"/>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4"/>
                <w:szCs w:val="14"/>
                <w:color w:val="auto"/>
                <w:w w:val="92"/>
              </w:rPr>
              <w:t>(7,884,198 )</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252,766</w:t>
            </w: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Provision for taxes on unrealized appreciation on investments</w:t>
            </w:r>
          </w:p>
        </w:tc>
        <w:tc>
          <w:tcPr>
            <w:tcW w:w="96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w w:val="92"/>
              </w:rPr>
              <w:t>(1,539,871 )</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Debt depreciation (appreciation) (See Note 5 and 11)</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3,610,604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(4,013,815 )</w:t>
            </w:r>
          </w:p>
        </w:tc>
      </w:tr>
      <w:tr>
        <w:trPr>
          <w:trHeight w:val="169"/>
        </w:trPr>
        <w:tc>
          <w:tcPr>
            <w:tcW w:w="77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960" w:type="dxa"/>
            <w:vAlign w:val="bottom"/>
            <w:tcBorders>
              <w:top w:val="single" w:sz="8" w:color="auto"/>
              <w:bottom w:val="single" w:sz="8" w:color="auto"/>
            </w:tcBorders>
            <w:shd w:val="clear" w:color="auto" w:fill="CCECFF"/>
          </w:tcPr>
          <w:p>
            <w:pPr>
              <w:spacing w:after="0"/>
              <w:rPr>
                <w:sz w:val="14"/>
                <w:szCs w:val="14"/>
                <w:color w:val="auto"/>
              </w:rPr>
            </w:pP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2"/>
              </w:rPr>
              <w:t>(1,426,561</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18,776,229</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1,711,493</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16,016,483</w:t>
            </w:r>
          </w:p>
        </w:tc>
        <w:tc>
          <w:tcPr>
            <w:tcW w:w="60" w:type="dxa"/>
            <w:vAlign w:val="bottom"/>
          </w:tcPr>
          <w:p>
            <w:pPr>
              <w:spacing w:after="0"/>
              <w:rPr>
                <w:sz w:val="14"/>
                <w:szCs w:val="14"/>
                <w:color w:val="auto"/>
              </w:rPr>
            </w:pPr>
          </w:p>
        </w:tc>
      </w:tr>
      <w:tr>
        <w:trPr>
          <w:trHeight w:val="209"/>
        </w:trPr>
        <w:tc>
          <w:tcPr>
            <w:tcW w:w="7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960" w:type="dxa"/>
            <w:vAlign w:val="bottom"/>
            <w:tcBorders>
              <w:bottom w:val="single" w:sz="8" w:color="auto"/>
            </w:tcBorders>
            <w:shd w:val="clear" w:color="auto" w:fill="CCECFF"/>
          </w:tcPr>
          <w:p>
            <w:pPr>
              <w:jc w:val="right"/>
              <w:ind w:right="8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88"/>
              </w:rPr>
              <w:t>14,433,107</w:t>
            </w:r>
          </w:p>
        </w:tc>
        <w:tc>
          <w:tcPr>
            <w:tcW w:w="26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26,130,588</w:t>
            </w:r>
          </w:p>
        </w:tc>
        <w:tc>
          <w:tcPr>
            <w:tcW w:w="60" w:type="dxa"/>
            <w:vAlign w:val="bottom"/>
            <w:tcBorders>
              <w:bottom w:val="single" w:sz="8" w:color="CCECFF"/>
            </w:tcBorders>
            <w:shd w:val="clear" w:color="auto" w:fill="CCECFF"/>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960" w:type="dxa"/>
            <w:vAlign w:val="bottom"/>
            <w:tcBorders>
              <w:bottom w:val="single" w:sz="8" w:color="auto"/>
            </w:tcBorders>
          </w:tcPr>
          <w:p>
            <w:pPr>
              <w:jc w:val="right"/>
              <w:ind w:right="808"/>
              <w:spacing w:after="0" w:line="156"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0.37</w:t>
            </w:r>
          </w:p>
        </w:tc>
        <w:tc>
          <w:tcPr>
            <w:tcW w:w="26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0.67</w:t>
            </w:r>
          </w:p>
        </w:tc>
        <w:tc>
          <w:tcPr>
            <w:tcW w:w="6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700" w:type="dxa"/>
            <w:vAlign w:val="bottom"/>
            <w:tcBorders>
              <w:bottom w:val="single" w:sz="8" w:color="CCECFF"/>
            </w:tcBorders>
            <w:shd w:val="clear" w:color="auto" w:fill="CCECFF"/>
          </w:tcPr>
          <w:p>
            <w:pPr>
              <w:ind w:left="20"/>
              <w:spacing w:after="0" w:line="156" w:lineRule="exact"/>
              <w:rPr>
                <w:sz w:val="20"/>
                <w:szCs w:val="20"/>
                <w:color w:val="auto"/>
              </w:rPr>
            </w:pPr>
            <w:r>
              <w:rPr>
                <w:rFonts w:ascii="Arial" w:cs="Arial" w:eastAsia="Arial" w:hAnsi="Arial"/>
                <w:sz w:val="14"/>
                <w:szCs w:val="14"/>
                <w:color w:val="auto"/>
              </w:rPr>
              <w:t>Net investment income per common share</w:t>
            </w:r>
          </w:p>
        </w:tc>
        <w:tc>
          <w:tcPr>
            <w:tcW w:w="960" w:type="dxa"/>
            <w:vAlign w:val="bottom"/>
            <w:tcBorders>
              <w:bottom w:val="single" w:sz="8" w:color="auto"/>
            </w:tcBorders>
            <w:shd w:val="clear" w:color="auto" w:fill="CCECFF"/>
          </w:tcPr>
          <w:p>
            <w:pPr>
              <w:jc w:val="right"/>
              <w:ind w:right="808"/>
              <w:spacing w:after="0" w:line="156"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0.33</w:t>
            </w:r>
          </w:p>
        </w:tc>
        <w:tc>
          <w:tcPr>
            <w:tcW w:w="260" w:type="dxa"/>
            <w:vAlign w:val="bottom"/>
            <w:tcBorders>
              <w:bottom w:val="single" w:sz="8" w:color="CCECFF"/>
            </w:tcBorders>
            <w:shd w:val="clear" w:color="auto" w:fill="CCECFF"/>
          </w:tcPr>
          <w:p>
            <w:pPr>
              <w:spacing w:after="0"/>
              <w:rPr>
                <w:sz w:val="17"/>
                <w:szCs w:val="17"/>
                <w:color w:val="auto"/>
              </w:rPr>
            </w:pPr>
          </w:p>
        </w:tc>
        <w:tc>
          <w:tcPr>
            <w:tcW w:w="360" w:type="dxa"/>
            <w:vAlign w:val="bottom"/>
            <w:tcBorders>
              <w:bottom w:val="single" w:sz="8" w:color="auto"/>
            </w:tcBorders>
            <w:shd w:val="clear" w:color="auto" w:fill="CCECFF"/>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0.26</w:t>
            </w:r>
          </w:p>
        </w:tc>
        <w:tc>
          <w:tcPr>
            <w:tcW w:w="60" w:type="dxa"/>
            <w:vAlign w:val="bottom"/>
            <w:tcBorders>
              <w:bottom w:val="single" w:sz="8" w:color="CCECFF"/>
            </w:tcBorders>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-3056890</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-3056890</wp:posOffset>
            </wp:positionV>
            <wp:extent cx="431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-1908175</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-1908175</wp:posOffset>
            </wp:positionV>
            <wp:extent cx="431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-536575</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-536575</wp:posOffset>
            </wp:positionV>
            <wp:extent cx="431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-299720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-281940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-299720</wp:posOffset>
            </wp:positionV>
            <wp:extent cx="43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-281940</wp:posOffset>
            </wp:positionV>
            <wp:extent cx="43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 December 31,</w:t>
            </w:r>
          </w:p>
        </w:tc>
      </w:tr>
      <w:tr>
        <w:trPr>
          <w:trHeight w:val="169"/>
        </w:trPr>
        <w:tc>
          <w:tcPr>
            <w:tcW w:w="7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69"/>
        </w:trPr>
        <w:tc>
          <w:tcPr>
            <w:tcW w:w="77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in net assets from operations:</w:t>
            </w:r>
          </w:p>
        </w:tc>
        <w:tc>
          <w:tcPr>
            <w:tcW w:w="360" w:type="dxa"/>
            <w:vAlign w:val="bottom"/>
            <w:shd w:val="clear" w:color="auto" w:fill="CCECFF"/>
          </w:tcPr>
          <w:p>
            <w:pPr>
              <w:spacing w:after="0"/>
              <w:rPr>
                <w:sz w:val="14"/>
                <w:szCs w:val="14"/>
                <w:color w:val="auto"/>
              </w:rPr>
            </w:pPr>
          </w:p>
        </w:tc>
        <w:tc>
          <w:tcPr>
            <w:tcW w:w="1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00" w:type="dxa"/>
            <w:vAlign w:val="bottom"/>
            <w:tcBorders>
              <w:right w:val="single" w:sz="8" w:color="CCECFF"/>
            </w:tcBorders>
            <w:shd w:val="clear" w:color="auto" w:fill="CCECFF"/>
          </w:tcPr>
          <w:p>
            <w:pPr>
              <w:spacing w:after="0"/>
              <w:rPr>
                <w:sz w:val="14"/>
                <w:szCs w:val="14"/>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12,721,614</w:t>
            </w:r>
          </w:p>
        </w:tc>
        <w:tc>
          <w:tcPr>
            <w:tcW w:w="26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10,114,105</w:t>
            </w: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3,138,054</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4"/>
                <w:szCs w:val="14"/>
                <w:color w:val="auto"/>
              </w:rPr>
              <w:t>(2,759,746 )</w:t>
            </w: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36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(3,497,294 )</w:t>
            </w: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22,790,044</w:t>
            </w: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change in provision for taxes on unrealized appreciation on investments</w:t>
            </w:r>
          </w:p>
        </w:tc>
        <w:tc>
          <w:tcPr>
            <w:tcW w:w="36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(1,539,871 )</w:t>
            </w:r>
          </w:p>
        </w:tc>
        <w:tc>
          <w:tcPr>
            <w:tcW w:w="360" w:type="dxa"/>
            <w:vAlign w:val="bottom"/>
            <w:shd w:val="clear" w:color="auto" w:fill="CCECFF"/>
          </w:tcPr>
          <w:p>
            <w:pPr>
              <w:spacing w:after="0"/>
              <w:rPr>
                <w:sz w:val="15"/>
                <w:szCs w:val="15"/>
                <w:color w:val="auto"/>
              </w:rPr>
            </w:pPr>
          </w:p>
        </w:tc>
        <w:tc>
          <w:tcPr>
            <w:tcW w:w="1300" w:type="dxa"/>
            <w:vAlign w:val="bottom"/>
            <w:tcBorders>
              <w:right w:val="single" w:sz="8" w:color="CCECFF"/>
            </w:tcBorders>
            <w:shd w:val="clear" w:color="auto" w:fill="CCECFF"/>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3,610,604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(4,013,815 )</w:t>
            </w:r>
          </w:p>
        </w:tc>
      </w:tr>
      <w:tr>
        <w:trPr>
          <w:trHeight w:val="169"/>
        </w:trPr>
        <w:tc>
          <w:tcPr>
            <w:tcW w:w="77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14,433,107</w:t>
            </w:r>
          </w:p>
        </w:tc>
        <w:tc>
          <w:tcPr>
            <w:tcW w:w="26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1300" w:type="dxa"/>
            <w:vAlign w:val="bottom"/>
            <w:tcBorders>
              <w:top w:val="single" w:sz="8" w:color="auto"/>
              <w:bottom w:val="single" w:sz="8" w:color="auto"/>
              <w:right w:val="single" w:sz="8" w:color="CCECFF"/>
            </w:tcBorders>
            <w:shd w:val="clear" w:color="auto" w:fill="CCECFF"/>
          </w:tcPr>
          <w:p>
            <w:pPr>
              <w:jc w:val="right"/>
              <w:ind w:right="8"/>
              <w:spacing w:after="0"/>
              <w:rPr>
                <w:sz w:val="20"/>
                <w:szCs w:val="20"/>
                <w:color w:val="auto"/>
              </w:rPr>
            </w:pPr>
            <w:r>
              <w:rPr>
                <w:rFonts w:ascii="Arial" w:cs="Arial" w:eastAsia="Arial" w:hAnsi="Arial"/>
                <w:sz w:val="14"/>
                <w:szCs w:val="14"/>
                <w:color w:val="auto"/>
              </w:rPr>
              <w:t>26,130,588</w:t>
            </w: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Distributions to stockholders: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Distribution of net investment income</w:t>
            </w:r>
          </w:p>
        </w:tc>
        <w:tc>
          <w:tcPr>
            <w:tcW w:w="36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(11,105,942 )</w:t>
            </w:r>
          </w:p>
        </w:tc>
        <w:tc>
          <w:tcPr>
            <w:tcW w:w="360" w:type="dxa"/>
            <w:vAlign w:val="bottom"/>
            <w:shd w:val="clear" w:color="auto" w:fill="CCECFF"/>
          </w:tcPr>
          <w:p>
            <w:pPr>
              <w:spacing w:after="0"/>
              <w:rPr>
                <w:sz w:val="15"/>
                <w:szCs w:val="15"/>
                <w:color w:val="auto"/>
              </w:rPr>
            </w:pPr>
          </w:p>
        </w:tc>
        <w:tc>
          <w:tcPr>
            <w:tcW w:w="1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4"/>
                <w:szCs w:val="14"/>
                <w:color w:val="auto"/>
              </w:rPr>
              <w:t>(11,050,041 )</w:t>
            </w:r>
          </w:p>
        </w:tc>
      </w:tr>
      <w:tr>
        <w:trPr>
          <w:trHeight w:val="20"/>
        </w:trPr>
        <w:tc>
          <w:tcPr>
            <w:tcW w:w="770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Borders>
              <w:right w:val="single" w:sz="8" w:color="CCECFF"/>
            </w:tcBorders>
            <w:shd w:val="clear" w:color="auto" w:fill="000000"/>
          </w:tcPr>
          <w:p>
            <w:pPr>
              <w:spacing w:after="0" w:line="20" w:lineRule="exact"/>
              <w:rPr>
                <w:sz w:val="1"/>
                <w:szCs w:val="1"/>
                <w:color w:val="auto"/>
              </w:rPr>
            </w:pPr>
          </w:p>
        </w:tc>
      </w:tr>
      <w:tr>
        <w:trPr>
          <w:trHeight w:val="169"/>
        </w:trPr>
        <w:tc>
          <w:tcPr>
            <w:tcW w:w="7700" w:type="dxa"/>
            <w:vAlign w:val="bottom"/>
          </w:tcPr>
          <w:p>
            <w:pPr>
              <w:ind w:left="200"/>
              <w:spacing w:after="0"/>
              <w:rPr>
                <w:sz w:val="20"/>
                <w:szCs w:val="20"/>
                <w:color w:val="auto"/>
              </w:rPr>
            </w:pPr>
            <w:r>
              <w:rPr>
                <w:rFonts w:ascii="Arial" w:cs="Arial" w:eastAsia="Arial" w:hAnsi="Arial"/>
                <w:sz w:val="14"/>
                <w:szCs w:val="14"/>
                <w:b w:val="1"/>
                <w:bCs w:val="1"/>
                <w:color w:val="auto"/>
              </w:rPr>
              <w:t>Total distributions to stockholders</w:t>
            </w:r>
          </w:p>
        </w:tc>
        <w:tc>
          <w:tcPr>
            <w:tcW w:w="36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(11,105,942 )</w:t>
            </w: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(11,050,041 )</w:t>
            </w:r>
          </w:p>
        </w:tc>
      </w:tr>
      <w:tr>
        <w:trPr>
          <w:trHeight w:val="169"/>
        </w:trPr>
        <w:tc>
          <w:tcPr>
            <w:tcW w:w="77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Capital transactions</w:t>
            </w:r>
          </w:p>
        </w:tc>
        <w:tc>
          <w:tcPr>
            <w:tcW w:w="360" w:type="dxa"/>
            <w:vAlign w:val="bottom"/>
            <w:tcBorders>
              <w:top w:val="single" w:sz="8" w:color="auto"/>
            </w:tcBorders>
            <w:shd w:val="clear" w:color="auto" w:fill="CCECFF"/>
          </w:tcPr>
          <w:p>
            <w:pPr>
              <w:spacing w:after="0"/>
              <w:rPr>
                <w:sz w:val="14"/>
                <w:szCs w:val="14"/>
                <w:color w:val="auto"/>
              </w:rPr>
            </w:pPr>
          </w:p>
        </w:tc>
        <w:tc>
          <w:tcPr>
            <w:tcW w:w="126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spacing w:after="0"/>
              <w:rPr>
                <w:sz w:val="14"/>
                <w:szCs w:val="14"/>
                <w:color w:val="auto"/>
              </w:rPr>
            </w:pPr>
          </w:p>
        </w:tc>
        <w:tc>
          <w:tcPr>
            <w:tcW w:w="1300" w:type="dxa"/>
            <w:vAlign w:val="bottom"/>
            <w:tcBorders>
              <w:top w:val="single" w:sz="8" w:color="auto"/>
              <w:right w:val="single" w:sz="8" w:color="CCECFF"/>
            </w:tcBorders>
            <w:shd w:val="clear" w:color="auto" w:fill="CCECFF"/>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Public offering (See Note 1)</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3,519,865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Offering costs</w:t>
            </w:r>
          </w:p>
        </w:tc>
        <w:tc>
          <w:tcPr>
            <w:tcW w:w="36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(52,798 )</w:t>
            </w:r>
          </w:p>
        </w:tc>
        <w:tc>
          <w:tcPr>
            <w:tcW w:w="360" w:type="dxa"/>
            <w:vAlign w:val="bottom"/>
            <w:shd w:val="clear" w:color="auto" w:fill="CCECFF"/>
          </w:tcPr>
          <w:p>
            <w:pPr>
              <w:spacing w:after="0"/>
              <w:rPr>
                <w:sz w:val="15"/>
                <w:szCs w:val="15"/>
                <w:color w:val="auto"/>
              </w:rPr>
            </w:pPr>
          </w:p>
        </w:tc>
        <w:tc>
          <w:tcPr>
            <w:tcW w:w="1300" w:type="dxa"/>
            <w:vAlign w:val="bottom"/>
            <w:tcBorders>
              <w:right w:val="single" w:sz="8" w:color="CCECFF"/>
            </w:tcBorders>
            <w:shd w:val="clear" w:color="auto" w:fill="CCECFF"/>
          </w:tcPr>
          <w:p>
            <w:pPr>
              <w:jc w:val="right"/>
              <w:ind w:right="8"/>
              <w:spacing w:after="0"/>
              <w:rPr>
                <w:sz w:val="20"/>
                <w:szCs w:val="20"/>
                <w:color w:val="auto"/>
              </w:rPr>
            </w:pPr>
            <w:r>
              <w:rPr>
                <w:rFonts w:ascii="Arial" w:cs="Arial" w:eastAsia="Arial" w:hAnsi="Arial"/>
                <w:sz w:val="14"/>
                <w:szCs w:val="14"/>
                <w:color w:val="auto"/>
              </w:rPr>
              <w:t>—</w:t>
            </w:r>
          </w:p>
        </w:tc>
      </w:tr>
      <w:tr>
        <w:trPr>
          <w:trHeight w:val="169"/>
        </w:trPr>
        <w:tc>
          <w:tcPr>
            <w:tcW w:w="7700" w:type="dxa"/>
            <w:vAlign w:val="bottom"/>
            <w:tcBorders>
              <w:top w:val="single" w:sz="8" w:color="CCECFF"/>
            </w:tcBorders>
          </w:tcPr>
          <w:p>
            <w:pPr>
              <w:ind w:left="200"/>
              <w:spacing w:after="0"/>
              <w:rPr>
                <w:sz w:val="20"/>
                <w:szCs w:val="20"/>
                <w:color w:val="auto"/>
              </w:rPr>
            </w:pPr>
            <w:r>
              <w:rPr>
                <w:rFonts w:ascii="Arial" w:cs="Arial" w:eastAsia="Arial" w:hAnsi="Arial"/>
                <w:sz w:val="14"/>
                <w:szCs w:val="14"/>
                <w:b w:val="1"/>
                <w:bCs w:val="1"/>
                <w:color w:val="auto"/>
              </w:rPr>
              <w:t>Net increase in net assets resulting from capital transactions</w:t>
            </w: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3,467,067</w:t>
            </w:r>
          </w:p>
        </w:tc>
        <w:tc>
          <w:tcPr>
            <w:tcW w:w="260" w:type="dxa"/>
            <w:vAlign w:val="bottom"/>
            <w:tcBorders>
              <w:top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69"/>
        </w:trPr>
        <w:tc>
          <w:tcPr>
            <w:tcW w:w="7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in net assets</w:t>
            </w:r>
          </w:p>
        </w:tc>
        <w:tc>
          <w:tcPr>
            <w:tcW w:w="360" w:type="dxa"/>
            <w:vAlign w:val="bottom"/>
            <w:tcBorders>
              <w:bottom w:val="single" w:sz="8" w:color="auto"/>
            </w:tcBorders>
            <w:shd w:val="clear" w:color="auto" w:fill="CCECFF"/>
          </w:tcPr>
          <w:p>
            <w:pPr>
              <w:spacing w:after="0"/>
              <w:rPr>
                <w:sz w:val="14"/>
                <w:szCs w:val="14"/>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6,794,232</w:t>
            </w:r>
          </w:p>
        </w:tc>
        <w:tc>
          <w:tcPr>
            <w:tcW w:w="26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right w:val="single" w:sz="8" w:color="CCECFF"/>
            </w:tcBorders>
            <w:shd w:val="clear" w:color="auto" w:fill="CCECFF"/>
          </w:tcPr>
          <w:p>
            <w:pPr>
              <w:jc w:val="right"/>
              <w:ind w:right="8"/>
              <w:spacing w:after="0"/>
              <w:rPr>
                <w:sz w:val="20"/>
                <w:szCs w:val="20"/>
                <w:color w:val="auto"/>
              </w:rPr>
            </w:pPr>
            <w:r>
              <w:rPr>
                <w:rFonts w:ascii="Arial" w:cs="Arial" w:eastAsia="Arial" w:hAnsi="Arial"/>
                <w:sz w:val="14"/>
                <w:szCs w:val="14"/>
                <w:color w:val="auto"/>
              </w:rPr>
              <w:t>15,080,547</w:t>
            </w: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Net assets: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6"/>
        </w:trPr>
        <w:tc>
          <w:tcPr>
            <w:tcW w:w="77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shd w:val="clear" w:color="auto" w:fill="CCECFF"/>
          </w:tcPr>
          <w:p>
            <w:pPr>
              <w:spacing w:after="0"/>
              <w:rPr>
                <w:sz w:val="15"/>
                <w:szCs w:val="15"/>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490,611,256</w:t>
            </w:r>
          </w:p>
        </w:tc>
        <w:tc>
          <w:tcPr>
            <w:tcW w:w="26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300" w:type="dxa"/>
            <w:vAlign w:val="bottom"/>
            <w:tcBorders>
              <w:bottom w:val="single" w:sz="8" w:color="auto"/>
              <w:right w:val="single" w:sz="8" w:color="CCECFF"/>
            </w:tcBorders>
            <w:shd w:val="clear" w:color="auto" w:fill="CCECFF"/>
          </w:tcPr>
          <w:p>
            <w:pPr>
              <w:jc w:val="right"/>
              <w:ind w:right="8"/>
              <w:spacing w:after="0"/>
              <w:rPr>
                <w:sz w:val="20"/>
                <w:szCs w:val="20"/>
                <w:color w:val="auto"/>
              </w:rPr>
            </w:pPr>
            <w:r>
              <w:rPr>
                <w:rFonts w:ascii="Arial" w:cs="Arial" w:eastAsia="Arial" w:hAnsi="Arial"/>
                <w:sz w:val="14"/>
                <w:szCs w:val="14"/>
                <w:color w:val="auto"/>
              </w:rPr>
              <w:t>477,270,392</w:t>
            </w:r>
          </w:p>
        </w:tc>
      </w:tr>
      <w:tr>
        <w:trPr>
          <w:trHeight w:val="169"/>
        </w:trPr>
        <w:tc>
          <w:tcPr>
            <w:tcW w:w="7700" w:type="dxa"/>
            <w:vAlign w:val="bottom"/>
          </w:tcPr>
          <w:p>
            <w:pPr>
              <w:ind w:left="200"/>
              <w:spacing w:after="0"/>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497,405,488</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492,350,939</w:t>
            </w: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6"/>
        </w:trPr>
        <w:tc>
          <w:tcPr>
            <w:tcW w:w="7700" w:type="dxa"/>
            <w:vAlign w:val="bottom"/>
            <w:shd w:val="clear" w:color="auto" w:fill="CCECFF"/>
          </w:tcPr>
          <w:p>
            <w:pPr>
              <w:ind w:left="20"/>
              <w:spacing w:after="0" w:line="156" w:lineRule="exact"/>
              <w:rPr>
                <w:sz w:val="20"/>
                <w:szCs w:val="20"/>
                <w:color w:val="auto"/>
              </w:rPr>
            </w:pPr>
            <w:r>
              <w:rPr>
                <w:rFonts w:ascii="Arial" w:cs="Arial" w:eastAsia="Arial" w:hAnsi="Arial"/>
                <w:sz w:val="14"/>
                <w:szCs w:val="14"/>
                <w:b w:val="1"/>
                <w:bCs w:val="1"/>
                <w:color w:val="auto"/>
              </w:rPr>
              <w:t>Capital share activity:</w:t>
            </w:r>
          </w:p>
        </w:tc>
        <w:tc>
          <w:tcPr>
            <w:tcW w:w="36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300" w:type="dxa"/>
            <w:vAlign w:val="bottom"/>
            <w:tcBorders>
              <w:right w:val="single" w:sz="8" w:color="CCECFF"/>
            </w:tcBorders>
            <w:shd w:val="clear" w:color="auto" w:fill="CCECFF"/>
          </w:tcPr>
          <w:p>
            <w:pPr>
              <w:spacing w:after="0"/>
              <w:rPr>
                <w:sz w:val="13"/>
                <w:szCs w:val="13"/>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Shares issued from public offering</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270,066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-1556385</wp:posOffset>
            </wp:positionV>
            <wp:extent cx="514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-1556385</wp:posOffset>
            </wp:positionV>
            <wp:extent cx="431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-1325245</wp:posOffset>
            </wp:positionV>
            <wp:extent cx="514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-1325245</wp:posOffset>
            </wp:positionV>
            <wp:extent cx="431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-862330</wp:posOffset>
            </wp:positionV>
            <wp:extent cx="514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-862330</wp:posOffset>
            </wp:positionV>
            <wp:extent cx="431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-622300</wp:posOffset>
            </wp:positionV>
            <wp:extent cx="5143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-622300</wp:posOffset>
            </wp:positionV>
            <wp:extent cx="431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-390525</wp:posOffset>
            </wp:positionV>
            <wp:extent cx="5143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-390525</wp:posOffset>
            </wp:positionV>
            <wp:extent cx="431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77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7700" w:type="dxa"/>
            <w:vAlign w:val="bottom"/>
          </w:tcPr>
          <w:p>
            <w:pPr>
              <w:ind w:left="380"/>
              <w:spacing w:after="0"/>
              <w:rPr>
                <w:sz w:val="20"/>
                <w:szCs w:val="20"/>
                <w:color w:val="auto"/>
              </w:rPr>
            </w:pPr>
            <w:r>
              <w:rPr>
                <w:rFonts w:ascii="Arial" w:cs="Arial" w:eastAsia="Arial" w:hAnsi="Arial"/>
                <w:sz w:val="14"/>
                <w:szCs w:val="14"/>
                <w:color w:val="auto"/>
              </w:rPr>
              <w:t>Net increase in net assets resulting from operations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14,433,107</w:t>
            </w:r>
          </w:p>
        </w:tc>
        <w:tc>
          <w:tcPr>
            <w:tcW w:w="26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26,130,588</w:t>
            </w:r>
          </w:p>
        </w:tc>
        <w:tc>
          <w:tcPr>
            <w:tcW w:w="60" w:type="dxa"/>
            <w:vAlign w:val="bottom"/>
          </w:tcPr>
          <w:p>
            <w:pPr>
              <w:spacing w:after="0"/>
              <w:rPr>
                <w:sz w:val="15"/>
                <w:szCs w:val="15"/>
                <w:color w:val="auto"/>
              </w:rPr>
            </w:pPr>
          </w:p>
        </w:tc>
      </w:tr>
      <w:tr>
        <w:trPr>
          <w:trHeight w:val="143"/>
        </w:trPr>
        <w:tc>
          <w:tcPr>
            <w:tcW w:w="7700" w:type="dxa"/>
            <w:vAlign w:val="bottom"/>
            <w:shd w:val="clear" w:color="auto" w:fill="CCECFF"/>
          </w:tcPr>
          <w:p>
            <w:pPr>
              <w:ind w:left="38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8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81"/>
        </w:trPr>
        <w:tc>
          <w:tcPr>
            <w:tcW w:w="7700" w:type="dxa"/>
            <w:vAlign w:val="bottom"/>
            <w:shd w:val="clear" w:color="auto" w:fill="CCECFF"/>
          </w:tcPr>
          <w:p>
            <w:pPr>
              <w:ind w:left="480"/>
              <w:spacing w:after="0"/>
              <w:rPr>
                <w:sz w:val="20"/>
                <w:szCs w:val="20"/>
                <w:color w:val="auto"/>
              </w:rPr>
            </w:pPr>
            <w:r>
              <w:rPr>
                <w:rFonts w:ascii="Arial" w:cs="Arial" w:eastAsia="Arial" w:hAnsi="Arial"/>
                <w:sz w:val="14"/>
                <w:szCs w:val="14"/>
                <w:color w:val="auto"/>
              </w:rPr>
              <w:t>(used in) provided by operating activities:</w:t>
            </w:r>
          </w:p>
        </w:tc>
        <w:tc>
          <w:tcPr>
            <w:tcW w:w="38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Net change in unrealized depreciation on investments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3,497,294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(22,790,044 )</w:t>
            </w:r>
          </w:p>
        </w:tc>
      </w:tr>
      <w:tr>
        <w:trPr>
          <w:trHeight w:val="176"/>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Net change in unrealized (depreciation) appreciation on debt</w:t>
            </w:r>
          </w:p>
        </w:tc>
        <w:tc>
          <w:tcPr>
            <w:tcW w:w="38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(3,610,604 )</w:t>
            </w: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4,013,815</w:t>
            </w: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Net realized loss on investments</w:t>
            </w:r>
          </w:p>
        </w:tc>
        <w:tc>
          <w:tcPr>
            <w:tcW w:w="380" w:type="dxa"/>
            <w:vAlign w:val="bottom"/>
          </w:tcPr>
          <w:p>
            <w:pPr>
              <w:spacing w:after="0"/>
              <w:rPr>
                <w:sz w:val="15"/>
                <w:szCs w:val="15"/>
                <w:color w:val="auto"/>
              </w:rPr>
            </w:pP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(3,138,054 )</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2,759,746</w:t>
            </w:r>
          </w:p>
        </w:tc>
        <w:tc>
          <w:tcPr>
            <w:tcW w:w="60" w:type="dxa"/>
            <w:vAlign w:val="bottom"/>
          </w:tcPr>
          <w:p>
            <w:pPr>
              <w:spacing w:after="0"/>
              <w:rPr>
                <w:sz w:val="15"/>
                <w:szCs w:val="15"/>
                <w:color w:val="auto"/>
              </w:rPr>
            </w:pPr>
          </w:p>
        </w:tc>
      </w:tr>
      <w:tr>
        <w:trPr>
          <w:trHeight w:val="176"/>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Net accretion of discount and amortization of premium</w:t>
            </w:r>
          </w:p>
        </w:tc>
        <w:tc>
          <w:tcPr>
            <w:tcW w:w="38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(1,357,680 )</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(557,400 )</w:t>
            </w: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Purchases of investments</w:t>
            </w:r>
          </w:p>
        </w:tc>
        <w:tc>
          <w:tcPr>
            <w:tcW w:w="380" w:type="dxa"/>
            <w:vAlign w:val="bottom"/>
          </w:tcPr>
          <w:p>
            <w:pPr>
              <w:spacing w:after="0"/>
              <w:rPr>
                <w:sz w:val="15"/>
                <w:szCs w:val="15"/>
                <w:color w:val="auto"/>
              </w:rPr>
            </w:pP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(335,103,427 )</w:t>
            </w: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(66,964,523 )</w:t>
            </w:r>
          </w:p>
        </w:tc>
      </w:tr>
      <w:tr>
        <w:trPr>
          <w:trHeight w:val="176"/>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Payment-in-kind interest</w:t>
            </w:r>
          </w:p>
        </w:tc>
        <w:tc>
          <w:tcPr>
            <w:tcW w:w="38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(440,720 )</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(1,522,805 )</w:t>
            </w:r>
          </w:p>
        </w:tc>
      </w:tr>
      <w:tr>
        <w:trPr>
          <w:trHeight w:val="176"/>
        </w:trPr>
        <w:tc>
          <w:tcPr>
            <w:tcW w:w="7700" w:type="dxa"/>
            <w:vAlign w:val="bottom"/>
          </w:tcPr>
          <w:p>
            <w:pPr>
              <w:ind w:left="560"/>
              <w:spacing w:after="0"/>
              <w:rPr>
                <w:sz w:val="20"/>
                <w:szCs w:val="20"/>
                <w:color w:val="auto"/>
              </w:rPr>
            </w:pPr>
            <w:r>
              <w:rPr>
                <w:rFonts w:ascii="Arial" w:cs="Arial" w:eastAsia="Arial" w:hAnsi="Arial"/>
                <w:sz w:val="14"/>
                <w:szCs w:val="14"/>
                <w:color w:val="auto"/>
              </w:rPr>
              <w:t>Proceeds from dispositions of investments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238,368,492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109,603,991</w:t>
            </w: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Amortization of deferred financing costs</w:t>
            </w:r>
          </w:p>
        </w:tc>
        <w:tc>
          <w:tcPr>
            <w:tcW w:w="38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(319,660 )</w:t>
            </w: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157,711</w:t>
            </w:r>
          </w:p>
        </w:tc>
        <w:tc>
          <w:tcPr>
            <w:tcW w:w="60" w:type="dxa"/>
            <w:vAlign w:val="bottom"/>
            <w:shd w:val="clear" w:color="auto" w:fill="CCECFF"/>
          </w:tcPr>
          <w:p>
            <w:pPr>
              <w:spacing w:after="0"/>
              <w:rPr>
                <w:sz w:val="15"/>
                <w:szCs w:val="15"/>
                <w:color w:val="auto"/>
              </w:rPr>
            </w:pPr>
          </w:p>
        </w:tc>
      </w:tr>
      <w:tr>
        <w:trPr>
          <w:trHeight w:val="176"/>
        </w:trPr>
        <w:tc>
          <w:tcPr>
            <w:tcW w:w="7700" w:type="dxa"/>
            <w:vAlign w:val="bottom"/>
          </w:tcPr>
          <w:p>
            <w:pPr>
              <w:ind w:left="560"/>
              <w:spacing w:after="0"/>
              <w:rPr>
                <w:sz w:val="20"/>
                <w:szCs w:val="20"/>
                <w:color w:val="auto"/>
              </w:rPr>
            </w:pPr>
            <w:r>
              <w:rPr>
                <w:rFonts w:ascii="Arial" w:cs="Arial" w:eastAsia="Arial" w:hAnsi="Arial"/>
                <w:sz w:val="14"/>
                <w:szCs w:val="14"/>
                <w:color w:val="auto"/>
              </w:rPr>
              <w:t>(Increase) decrease in interest receivable</w:t>
            </w:r>
          </w:p>
        </w:tc>
        <w:tc>
          <w:tcPr>
            <w:tcW w:w="380" w:type="dxa"/>
            <w:vAlign w:val="bottom"/>
          </w:tcPr>
          <w:p>
            <w:pPr>
              <w:spacing w:after="0"/>
              <w:rPr>
                <w:sz w:val="15"/>
                <w:szCs w:val="15"/>
                <w:color w:val="auto"/>
              </w:rPr>
            </w:pP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(291,317 )</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853,044</w:t>
            </w: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Decrease in receivable for investments sold</w:t>
            </w:r>
          </w:p>
        </w:tc>
        <w:tc>
          <w:tcPr>
            <w:tcW w:w="38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15,535,884</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00" w:type="dxa"/>
            <w:vAlign w:val="bottom"/>
          </w:tcPr>
          <w:p>
            <w:pPr>
              <w:ind w:left="560"/>
              <w:spacing w:after="0"/>
              <w:rPr>
                <w:sz w:val="20"/>
                <w:szCs w:val="20"/>
                <w:color w:val="auto"/>
              </w:rPr>
            </w:pPr>
            <w:r>
              <w:rPr>
                <w:rFonts w:ascii="Arial" w:cs="Arial" w:eastAsia="Arial" w:hAnsi="Arial"/>
                <w:sz w:val="14"/>
                <w:szCs w:val="14"/>
                <w:color w:val="auto"/>
              </w:rPr>
              <w:t>Increase in prepaid expenses and other assets</w:t>
            </w:r>
          </w:p>
        </w:tc>
        <w:tc>
          <w:tcPr>
            <w:tcW w:w="380" w:type="dxa"/>
            <w:vAlign w:val="bottom"/>
          </w:tcPr>
          <w:p>
            <w:pPr>
              <w:spacing w:after="0"/>
              <w:rPr>
                <w:sz w:val="15"/>
                <w:szCs w:val="15"/>
                <w:color w:val="auto"/>
              </w:rPr>
            </w:pP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(96,209 )</w:t>
            </w: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(13,338 )</w:t>
            </w:r>
          </w:p>
        </w:tc>
      </w:tr>
      <w:tr>
        <w:trPr>
          <w:trHeight w:val="176"/>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(Decrease) increase in payable for investments purchased</w:t>
            </w:r>
          </w:p>
        </w:tc>
        <w:tc>
          <w:tcPr>
            <w:tcW w:w="38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(12,487,122 )</w:t>
            </w: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5,778,076</w:t>
            </w:r>
          </w:p>
        </w:tc>
        <w:tc>
          <w:tcPr>
            <w:tcW w:w="60" w:type="dxa"/>
            <w:vAlign w:val="bottom"/>
            <w:shd w:val="clear" w:color="auto" w:fill="CCECFF"/>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Decrease in interest payable on debt</w:t>
            </w:r>
          </w:p>
        </w:tc>
        <w:tc>
          <w:tcPr>
            <w:tcW w:w="380" w:type="dxa"/>
            <w:vAlign w:val="bottom"/>
          </w:tcPr>
          <w:p>
            <w:pPr>
              <w:spacing w:after="0"/>
              <w:rPr>
                <w:sz w:val="15"/>
                <w:szCs w:val="15"/>
                <w:color w:val="auto"/>
              </w:rPr>
            </w:pP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(1,440,490 )</w:t>
            </w: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(1,709,954 )</w:t>
            </w:r>
          </w:p>
        </w:tc>
      </w:tr>
      <w:tr>
        <w:trPr>
          <w:trHeight w:val="176"/>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Increase (decrease) in base management fee payable</w:t>
            </w:r>
          </w:p>
        </w:tc>
        <w:tc>
          <w:tcPr>
            <w:tcW w:w="38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189,423</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(60,305 )</w:t>
            </w: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Increase (decrease) in performance-based incentive fee payable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2,556,746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(309,748 )</w:t>
            </w:r>
          </w:p>
        </w:tc>
      </w:tr>
      <w:tr>
        <w:trPr>
          <w:trHeight w:val="176"/>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Increase in deferred tax liability</w:t>
            </w:r>
          </w:p>
        </w:tc>
        <w:tc>
          <w:tcPr>
            <w:tcW w:w="38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1,539,871</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(Decrease) increase in accrued other expenses</w:t>
            </w:r>
          </w:p>
        </w:tc>
        <w:tc>
          <w:tcPr>
            <w:tcW w:w="380" w:type="dxa"/>
            <w:vAlign w:val="bottom"/>
          </w:tcPr>
          <w:p>
            <w:pPr>
              <w:spacing w:after="0"/>
              <w:rPr>
                <w:sz w:val="15"/>
                <w:szCs w:val="15"/>
                <w:color w:val="auto"/>
              </w:rPr>
            </w:pP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(222,012 )</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88,730</w:t>
            </w:r>
          </w:p>
        </w:tc>
        <w:tc>
          <w:tcPr>
            <w:tcW w:w="60" w:type="dxa"/>
            <w:vAlign w:val="bottom"/>
          </w:tcPr>
          <w:p>
            <w:pPr>
              <w:spacing w:after="0"/>
              <w:rPr>
                <w:sz w:val="15"/>
                <w:szCs w:val="15"/>
                <w:color w:val="auto"/>
              </w:rPr>
            </w:pPr>
          </w:p>
        </w:tc>
      </w:tr>
      <w:tr>
        <w:trPr>
          <w:trHeight w:val="169"/>
        </w:trPr>
        <w:tc>
          <w:tcPr>
            <w:tcW w:w="7700" w:type="dxa"/>
            <w:vAlign w:val="bottom"/>
            <w:tcBorders>
              <w:bottom w:val="single" w:sz="8" w:color="CCECFF"/>
            </w:tcBorders>
            <w:shd w:val="clear" w:color="auto" w:fill="CCECFF"/>
          </w:tcPr>
          <w:p>
            <w:pPr>
              <w:ind w:left="740"/>
              <w:spacing w:after="0"/>
              <w:rPr>
                <w:sz w:val="20"/>
                <w:szCs w:val="20"/>
                <w:color w:val="auto"/>
              </w:rPr>
            </w:pPr>
            <w:r>
              <w:rPr>
                <w:rFonts w:ascii="Arial" w:cs="Arial" w:eastAsia="Arial" w:hAnsi="Arial"/>
                <w:sz w:val="14"/>
                <w:szCs w:val="14"/>
                <w:color w:val="auto"/>
              </w:rPr>
              <w:t>Net cash (used in) provided by operating activities</w:t>
            </w:r>
          </w:p>
        </w:tc>
        <w:tc>
          <w:tcPr>
            <w:tcW w:w="380" w:type="dxa"/>
            <w:vAlign w:val="bottom"/>
            <w:tcBorders>
              <w:top w:val="single" w:sz="8" w:color="auto"/>
              <w:bottom w:val="single" w:sz="8" w:color="auto"/>
            </w:tcBorders>
            <w:shd w:val="clear" w:color="auto" w:fill="CCECFF"/>
          </w:tcPr>
          <w:p>
            <w:pPr>
              <w:spacing w:after="0"/>
              <w:rPr>
                <w:sz w:val="14"/>
                <w:szCs w:val="14"/>
                <w:color w:val="auto"/>
              </w:rPr>
            </w:pP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(82,386,478</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55,457,584</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Proceeds from public offering</w:t>
            </w:r>
          </w:p>
        </w:tc>
        <w:tc>
          <w:tcPr>
            <w:tcW w:w="38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3,519,865</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Offering costs</w:t>
            </w:r>
          </w:p>
        </w:tc>
        <w:tc>
          <w:tcPr>
            <w:tcW w:w="380" w:type="dxa"/>
            <w:vAlign w:val="bottom"/>
          </w:tcPr>
          <w:p>
            <w:pPr>
              <w:spacing w:after="0"/>
              <w:rPr>
                <w:sz w:val="15"/>
                <w:szCs w:val="15"/>
                <w:color w:val="auto"/>
              </w:rPr>
            </w:pP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(52,798 )</w:t>
            </w:r>
          </w:p>
        </w:tc>
        <w:tc>
          <w:tcPr>
            <w:tcW w:w="360" w:type="dxa"/>
            <w:vAlign w:val="bottom"/>
          </w:tcPr>
          <w:p>
            <w:pPr>
              <w:spacing w:after="0"/>
              <w:rPr>
                <w:sz w:val="15"/>
                <w:szCs w:val="15"/>
                <w:color w:val="auto"/>
              </w:rPr>
            </w:pPr>
          </w:p>
        </w:tc>
        <w:tc>
          <w:tcPr>
            <w:tcW w:w="1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Distributions paid to stockholders</w:t>
            </w:r>
          </w:p>
        </w:tc>
        <w:tc>
          <w:tcPr>
            <w:tcW w:w="38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(11,077,659 )</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(11,050,041 )</w:t>
            </w: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Repayment of 2023 Notes issuance (See Notes 5 and 11)</w:t>
            </w:r>
          </w:p>
        </w:tc>
        <w:tc>
          <w:tcPr>
            <w:tcW w:w="380" w:type="dxa"/>
            <w:vAlign w:val="bottom"/>
          </w:tcPr>
          <w:p>
            <w:pPr>
              <w:spacing w:after="0"/>
              <w:rPr>
                <w:sz w:val="15"/>
                <w:szCs w:val="15"/>
                <w:color w:val="auto"/>
              </w:rPr>
            </w:pP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(20,786,979 )</w:t>
            </w: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(20,786,979 )</w:t>
            </w:r>
          </w:p>
        </w:tc>
      </w:tr>
      <w:tr>
        <w:trPr>
          <w:trHeight w:val="176"/>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Proceeds from 2026 Notes issuance (See Notes 5 and 11)</w:t>
            </w:r>
          </w:p>
        </w:tc>
        <w:tc>
          <w:tcPr>
            <w:tcW w:w="38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84,332,500</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00" w:type="dxa"/>
            <w:vAlign w:val="bottom"/>
          </w:tcPr>
          <w:p>
            <w:pPr>
              <w:ind w:left="560"/>
              <w:spacing w:after="0"/>
              <w:rPr>
                <w:sz w:val="20"/>
                <w:szCs w:val="20"/>
                <w:color w:val="auto"/>
              </w:rPr>
            </w:pPr>
            <w:r>
              <w:rPr>
                <w:rFonts w:ascii="Arial" w:cs="Arial" w:eastAsia="Arial" w:hAnsi="Arial"/>
                <w:sz w:val="14"/>
                <w:szCs w:val="14"/>
                <w:color w:val="auto"/>
              </w:rPr>
              <w:t>Borrowings under Credit Facility (See Notes 5 and 11)</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137,253,500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27,500,000</w:t>
            </w: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560"/>
              <w:spacing w:after="0"/>
              <w:rPr>
                <w:sz w:val="20"/>
                <w:szCs w:val="20"/>
                <w:color w:val="auto"/>
              </w:rPr>
            </w:pPr>
            <w:r>
              <w:rPr>
                <w:rFonts w:ascii="Arial" w:cs="Arial" w:eastAsia="Arial" w:hAnsi="Arial"/>
                <w:sz w:val="14"/>
                <w:szCs w:val="14"/>
                <w:color w:val="auto"/>
              </w:rPr>
              <w:t>Repayments under Credit Facility (See Notes 5 and 11)</w:t>
            </w:r>
          </w:p>
        </w:tc>
        <w:tc>
          <w:tcPr>
            <w:tcW w:w="38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(100,000,000 )</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(79,198,500 )</w:t>
            </w:r>
          </w:p>
        </w:tc>
      </w:tr>
      <w:tr>
        <w:trPr>
          <w:trHeight w:val="20"/>
        </w:trPr>
        <w:tc>
          <w:tcPr>
            <w:tcW w:w="770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shd w:val="clear" w:color="auto" w:fill="CCECFF"/>
          </w:tcPr>
          <w:p>
            <w:pPr>
              <w:spacing w:after="0" w:line="20" w:lineRule="exact"/>
              <w:rPr>
                <w:sz w:val="1"/>
                <w:szCs w:val="1"/>
                <w:color w:val="auto"/>
              </w:rPr>
            </w:pPr>
          </w:p>
        </w:tc>
      </w:tr>
      <w:tr>
        <w:trPr>
          <w:trHeight w:val="169"/>
        </w:trPr>
        <w:tc>
          <w:tcPr>
            <w:tcW w:w="7700" w:type="dxa"/>
            <w:vAlign w:val="bottom"/>
          </w:tcPr>
          <w:p>
            <w:pPr>
              <w:ind w:left="740"/>
              <w:spacing w:after="0"/>
              <w:rPr>
                <w:sz w:val="20"/>
                <w:szCs w:val="20"/>
                <w:color w:val="auto"/>
              </w:rPr>
            </w:pPr>
            <w:r>
              <w:rPr>
                <w:rFonts w:ascii="Arial" w:cs="Arial" w:eastAsia="Arial" w:hAnsi="Arial"/>
                <w:sz w:val="14"/>
                <w:szCs w:val="14"/>
                <w:color w:val="auto"/>
              </w:rPr>
              <w:t>Net cash provided by (used in) financing activities</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93,188,429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(83,535,520 )</w:t>
            </w:r>
          </w:p>
        </w:tc>
      </w:tr>
      <w:tr>
        <w:trPr>
          <w:trHeight w:val="169"/>
        </w:trPr>
        <w:tc>
          <w:tcPr>
            <w:tcW w:w="77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Net (decrease) increase in cash equivalents</w:t>
            </w:r>
          </w:p>
        </w:tc>
        <w:tc>
          <w:tcPr>
            <w:tcW w:w="380" w:type="dxa"/>
            <w:vAlign w:val="bottom"/>
            <w:tcBorders>
              <w:top w:val="single" w:sz="8" w:color="auto"/>
            </w:tcBorders>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10,801,951</w:t>
            </w:r>
          </w:p>
        </w:tc>
        <w:tc>
          <w:tcPr>
            <w:tcW w:w="26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(28,077,936</w:t>
            </w:r>
          </w:p>
        </w:tc>
        <w:tc>
          <w:tcPr>
            <w:tcW w:w="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639,464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(945,881 )</w:t>
            </w:r>
          </w:p>
        </w:tc>
      </w:tr>
      <w:tr>
        <w:trPr>
          <w:trHeight w:val="176"/>
        </w:trPr>
        <w:tc>
          <w:tcPr>
            <w:tcW w:w="7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8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49,825,527</w:t>
            </w:r>
          </w:p>
        </w:tc>
        <w:tc>
          <w:tcPr>
            <w:tcW w:w="26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57,511,928</w:t>
            </w:r>
          </w:p>
        </w:tc>
        <w:tc>
          <w:tcPr>
            <w:tcW w:w="60" w:type="dxa"/>
            <w:vAlign w:val="bottom"/>
            <w:tcBorders>
              <w:bottom w:val="single" w:sz="8" w:color="CCECFF"/>
            </w:tcBorders>
            <w:shd w:val="clear" w:color="auto" w:fill="CCECFF"/>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61,266,942</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28,488,111</w:t>
            </w:r>
          </w:p>
        </w:tc>
        <w:tc>
          <w:tcPr>
            <w:tcW w:w="6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7700" w:type="dxa"/>
            <w:vAlign w:val="bottom"/>
            <w:shd w:val="clear" w:color="auto" w:fill="CCECFF"/>
          </w:tcPr>
          <w:p>
            <w:pPr>
              <w:ind w:left="20"/>
              <w:spacing w:after="0" w:line="156" w:lineRule="exact"/>
              <w:rPr>
                <w:sz w:val="20"/>
                <w:szCs w:val="20"/>
                <w:color w:val="auto"/>
              </w:rPr>
            </w:pPr>
            <w:r>
              <w:rPr>
                <w:rFonts w:ascii="Arial" w:cs="Arial" w:eastAsia="Arial" w:hAnsi="Arial"/>
                <w:sz w:val="14"/>
                <w:szCs w:val="14"/>
                <w:b w:val="1"/>
                <w:bCs w:val="1"/>
                <w:color w:val="auto"/>
              </w:rPr>
              <w:t>Supplemental disclosures:</w:t>
            </w:r>
          </w:p>
        </w:tc>
        <w:tc>
          <w:tcPr>
            <w:tcW w:w="38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Interest paid</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7,931,433</w:t>
            </w:r>
          </w:p>
        </w:tc>
        <w:tc>
          <w:tcPr>
            <w:tcW w:w="26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6,893,583</w:t>
            </w:r>
          </w:p>
        </w:tc>
        <w:tc>
          <w:tcPr>
            <w:tcW w:w="6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700" w:type="dxa"/>
            <w:vAlign w:val="bottom"/>
            <w:tcBorders>
              <w:bottom w:val="single" w:sz="8" w:color="CCECFF"/>
            </w:tcBorders>
            <w:shd w:val="clear" w:color="auto" w:fill="CCECFF"/>
          </w:tcPr>
          <w:p>
            <w:pPr>
              <w:ind w:left="200"/>
              <w:spacing w:after="0" w:line="156" w:lineRule="exact"/>
              <w:rPr>
                <w:sz w:val="20"/>
                <w:szCs w:val="20"/>
                <w:color w:val="auto"/>
              </w:rPr>
            </w:pPr>
            <w:r>
              <w:rPr>
                <w:rFonts w:ascii="Arial" w:cs="Arial" w:eastAsia="Arial" w:hAnsi="Arial"/>
                <w:sz w:val="14"/>
                <w:szCs w:val="14"/>
                <w:color w:val="auto"/>
              </w:rPr>
              <w:t>Taxes paid</w:t>
            </w:r>
          </w:p>
        </w:tc>
        <w:tc>
          <w:tcPr>
            <w:tcW w:w="380" w:type="dxa"/>
            <w:vAlign w:val="bottom"/>
            <w:tcBorders>
              <w:bottom w:val="single" w:sz="8" w:color="auto"/>
            </w:tcBorders>
            <w:shd w:val="clear" w:color="auto" w:fill="CCECFF"/>
          </w:tcPr>
          <w:p>
            <w:pPr>
              <w:jc w:val="right"/>
              <w:ind w:right="228"/>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182,588</w:t>
            </w:r>
          </w:p>
        </w:tc>
        <w:tc>
          <w:tcPr>
            <w:tcW w:w="260" w:type="dxa"/>
            <w:vAlign w:val="bottom"/>
            <w:tcBorders>
              <w:bottom w:val="single" w:sz="8" w:color="CCECFF"/>
            </w:tcBorders>
            <w:shd w:val="clear" w:color="auto" w:fill="CCECFF"/>
          </w:tcPr>
          <w:p>
            <w:pPr>
              <w:spacing w:after="0"/>
              <w:rPr>
                <w:sz w:val="17"/>
                <w:szCs w:val="17"/>
                <w:color w:val="auto"/>
              </w:rPr>
            </w:pPr>
          </w:p>
        </w:tc>
        <w:tc>
          <w:tcPr>
            <w:tcW w:w="360" w:type="dxa"/>
            <w:vAlign w:val="bottom"/>
            <w:tcBorders>
              <w:bottom w:val="single" w:sz="8" w:color="auto"/>
            </w:tcBorders>
            <w:shd w:val="clear" w:color="auto" w:fill="CCECFF"/>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3,682</w:t>
            </w:r>
          </w:p>
        </w:tc>
        <w:tc>
          <w:tcPr>
            <w:tcW w:w="60" w:type="dxa"/>
            <w:vAlign w:val="bottom"/>
            <w:tcBorders>
              <w:bottom w:val="single" w:sz="8" w:color="CCECFF"/>
            </w:tcBorders>
            <w:shd w:val="clear" w:color="auto" w:fill="CCECFF"/>
          </w:tcPr>
          <w:p>
            <w:pPr>
              <w:spacing w:after="0"/>
              <w:rPr>
                <w:sz w:val="17"/>
                <w:szCs w:val="17"/>
                <w:color w:val="auto"/>
              </w:rPr>
            </w:pPr>
          </w:p>
        </w:tc>
      </w:tr>
      <w:tr>
        <w:trPr>
          <w:trHeight w:val="156"/>
        </w:trPr>
        <w:tc>
          <w:tcPr>
            <w:tcW w:w="7700" w:type="dxa"/>
            <w:vAlign w:val="bottom"/>
          </w:tcPr>
          <w:p>
            <w:pPr>
              <w:ind w:left="200"/>
              <w:spacing w:after="0" w:line="156" w:lineRule="exact"/>
              <w:rPr>
                <w:sz w:val="20"/>
                <w:szCs w:val="20"/>
                <w:color w:val="auto"/>
              </w:rPr>
            </w:pPr>
            <w:r>
              <w:rPr>
                <w:rFonts w:ascii="Arial" w:cs="Arial" w:eastAsia="Arial" w:hAnsi="Arial"/>
                <w:sz w:val="14"/>
                <w:szCs w:val="14"/>
                <w:color w:val="auto"/>
              </w:rPr>
              <w:t>Non-cash exchanges and conversions</w:t>
            </w:r>
          </w:p>
        </w:tc>
        <w:tc>
          <w:tcPr>
            <w:tcW w:w="380" w:type="dxa"/>
            <w:vAlign w:val="bottom"/>
          </w:tcPr>
          <w:p>
            <w:pPr>
              <w:jc w:val="right"/>
              <w:ind w:right="228"/>
              <w:spacing w:after="0" w:line="156"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08"/>
              <w:spacing w:after="0" w:line="156"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20,334,379</w:t>
            </w:r>
          </w:p>
        </w:tc>
        <w:tc>
          <w:tcPr>
            <w:tcW w:w="6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-2028190</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-2028190</wp:posOffset>
            </wp:positionV>
            <wp:extent cx="431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-1127760</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-1127760</wp:posOffset>
            </wp:positionV>
            <wp:extent cx="431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-664845</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-664845</wp:posOffset>
            </wp:positionV>
            <wp:extent cx="431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-162560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-145415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-145415</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4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(2)</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3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6"/>
              </w:rPr>
              <w:t>Investments in Non-Controlled, Non-Affiliated Portfolio Companies—190.1%</w:t>
            </w:r>
          </w:p>
        </w:tc>
        <w:tc>
          <w:tcPr>
            <w:tcW w:w="660" w:type="dxa"/>
            <w:vAlign w:val="bottom"/>
          </w:tcPr>
          <w:p>
            <w:pPr>
              <w:jc w:val="right"/>
              <w:ind w:right="235"/>
              <w:spacing w:after="0" w:line="61" w:lineRule="exact"/>
              <w:rPr>
                <w:sz w:val="20"/>
                <w:szCs w:val="20"/>
                <w:color w:val="auto"/>
              </w:rPr>
            </w:pPr>
            <w:r>
              <w:rPr>
                <w:rFonts w:ascii="Arial" w:cs="Arial" w:eastAsia="Arial" w:hAnsi="Arial"/>
                <w:sz w:val="7"/>
                <w:szCs w:val="7"/>
                <w:b w:val="1"/>
                <w:bCs w:val="1"/>
                <w:color w:val="auto"/>
              </w:rPr>
              <w:t>(3), (4)</w:t>
            </w: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First Lien Secured Debt—169.3%</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Ad.net Acquisition,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05/06/2026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4,975,000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4,908,538</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4,975,000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05/06/2026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1,244,444</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Altamira Technologies,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07/24/2025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9.00 %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L+800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5,000,282</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4,951,372</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4,687,764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07/24/2025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9.00 %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L+800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575,000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539,062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07/24/2025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1,581,250</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(98,828 )</w:t>
            </w: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1" w:lineRule="exact"/>
              <w:rPr>
                <w:sz w:val="20"/>
                <w:szCs w:val="20"/>
                <w:color w:val="auto"/>
              </w:rPr>
            </w:pPr>
            <w:r>
              <w:rPr>
                <w:rFonts w:ascii="Arial" w:cs="Arial" w:eastAsia="Arial" w:hAnsi="Arial"/>
                <w:sz w:val="11"/>
                <w:szCs w:val="11"/>
                <w:color w:val="auto"/>
              </w:rPr>
              <w:t>American Insulated Glass, LLC</w:t>
            </w:r>
          </w:p>
        </w:tc>
        <w:tc>
          <w:tcPr>
            <w:tcW w:w="800" w:type="dxa"/>
            <w:vAlign w:val="bottom"/>
            <w:gridSpan w:val="2"/>
          </w:tcPr>
          <w:p>
            <w:pPr>
              <w:jc w:val="center"/>
              <w:ind w:left="86"/>
              <w:spacing w:after="0" w:line="121" w:lineRule="exact"/>
              <w:rPr>
                <w:sz w:val="20"/>
                <w:szCs w:val="20"/>
                <w:color w:val="auto"/>
              </w:rPr>
            </w:pPr>
            <w:r>
              <w:rPr>
                <w:rFonts w:ascii="Arial" w:cs="Arial" w:eastAsia="Arial" w:hAnsi="Arial"/>
                <w:sz w:val="11"/>
                <w:szCs w:val="11"/>
                <w:color w:val="auto"/>
                <w:w w:val="90"/>
              </w:rPr>
              <w:t>12/21/2023</w:t>
            </w:r>
          </w:p>
        </w:tc>
        <w:tc>
          <w:tcPr>
            <w:tcW w:w="140" w:type="dxa"/>
            <w:vAlign w:val="bottom"/>
          </w:tcPr>
          <w:p>
            <w:pPr>
              <w:spacing w:after="0"/>
              <w:rPr>
                <w:sz w:val="10"/>
                <w:szCs w:val="10"/>
                <w:color w:val="auto"/>
              </w:rPr>
            </w:pPr>
          </w:p>
        </w:tc>
        <w:tc>
          <w:tcPr>
            <w:tcW w:w="2340" w:type="dxa"/>
            <w:vAlign w:val="bottom"/>
          </w:tcPr>
          <w:p>
            <w:pPr>
              <w:jc w:val="center"/>
              <w:spacing w:after="0" w:line="121" w:lineRule="exact"/>
              <w:rPr>
                <w:sz w:val="20"/>
                <w:szCs w:val="20"/>
                <w:color w:val="auto"/>
              </w:rPr>
            </w:pPr>
            <w:r>
              <w:rPr>
                <w:rFonts w:ascii="Arial" w:cs="Arial" w:eastAsia="Arial" w:hAnsi="Arial"/>
                <w:sz w:val="11"/>
                <w:szCs w:val="11"/>
                <w:color w:val="auto"/>
                <w:w w:val="91"/>
              </w:rPr>
              <w:t>Building Products</w:t>
            </w:r>
          </w:p>
        </w:tc>
        <w:tc>
          <w:tcPr>
            <w:tcW w:w="9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6.50 %</w:t>
            </w:r>
          </w:p>
        </w:tc>
        <w:tc>
          <w:tcPr>
            <w:tcW w:w="140" w:type="dxa"/>
            <w:vAlign w:val="bottom"/>
          </w:tcPr>
          <w:p>
            <w:pPr>
              <w:jc w:val="right"/>
              <w:ind w:right="4"/>
              <w:spacing w:after="0"/>
              <w:rPr>
                <w:sz w:val="20"/>
                <w:szCs w:val="20"/>
                <w:color w:val="auto"/>
              </w:rPr>
            </w:pPr>
            <w:r>
              <w:rPr>
                <w:rFonts w:ascii="Arial" w:cs="Arial" w:eastAsia="Arial" w:hAnsi="Arial"/>
                <w:sz w:val="7"/>
                <w:szCs w:val="7"/>
                <w:color w:val="auto"/>
                <w:w w:val="92"/>
              </w:rPr>
              <w:t>(6)</w:t>
            </w:r>
          </w:p>
        </w:tc>
        <w:tc>
          <w:tcPr>
            <w:tcW w:w="760" w:type="dxa"/>
            <w:vAlign w:val="bottom"/>
          </w:tcPr>
          <w:p>
            <w:pPr>
              <w:jc w:val="right"/>
              <w:spacing w:after="0" w:line="121"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7,669,797</w:t>
            </w:r>
          </w:p>
        </w:tc>
        <w:tc>
          <w:tcPr>
            <w:tcW w:w="9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7,603,106</w:t>
            </w:r>
          </w:p>
        </w:tc>
        <w:tc>
          <w:tcPr>
            <w:tcW w:w="9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7,669,797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20"/>
              <w:spacing w:after="0" w:line="129" w:lineRule="exact"/>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09/09/2021</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11"/>
                <w:szCs w:val="11"/>
                <w:color w:val="auto"/>
              </w:rPr>
            </w:pPr>
          </w:p>
        </w:tc>
        <w:tc>
          <w:tcPr>
            <w:tcW w:w="140" w:type="dxa"/>
            <w:vAlign w:val="bottom"/>
            <w:vMerge w:val="restart"/>
          </w:tcPr>
          <w:p>
            <w:pPr>
              <w:jc w:val="right"/>
              <w:ind w:right="4"/>
              <w:spacing w:after="0"/>
              <w:rPr>
                <w:sz w:val="20"/>
                <w:szCs w:val="20"/>
                <w:color w:val="auto"/>
              </w:rPr>
            </w:pPr>
            <w:r>
              <w:rPr>
                <w:rFonts w:ascii="Arial" w:cs="Arial" w:eastAsia="Arial" w:hAnsi="Arial"/>
                <w:sz w:val="7"/>
                <w:szCs w:val="7"/>
                <w:color w:val="auto"/>
                <w:w w:val="92"/>
              </w:rPr>
              <w:t>(6)</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7,986,133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7,915,290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1,038,198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320" w:type="dxa"/>
            <w:vAlign w:val="bottom"/>
            <w:vMerge w:val="restart"/>
          </w:tcPr>
          <w:p>
            <w:pPr>
              <w:ind w:left="20"/>
              <w:spacing w:after="0" w:line="155" w:lineRule="exact"/>
              <w:rPr>
                <w:sz w:val="20"/>
                <w:szCs w:val="20"/>
                <w:color w:val="auto"/>
              </w:rPr>
            </w:pPr>
            <w:r>
              <w:rPr>
                <w:rFonts w:ascii="Arial" w:cs="Arial" w:eastAsia="Arial" w:hAnsi="Arial"/>
                <w:sz w:val="11"/>
                <w:szCs w:val="11"/>
                <w:color w:val="auto"/>
              </w:rPr>
              <w:t xml:space="preserve">American Teleconferencing Services, Ltd. (Revolver) </w:t>
            </w:r>
            <w:r>
              <w:rPr>
                <w:rFonts w:ascii="Arial" w:cs="Arial" w:eastAsia="Arial" w:hAnsi="Arial"/>
                <w:sz w:val="14"/>
                <w:szCs w:val="14"/>
                <w:color w:val="auto"/>
                <w:vertAlign w:val="superscript"/>
              </w:rPr>
              <w:t>(7)</w:t>
            </w:r>
          </w:p>
        </w:tc>
        <w:tc>
          <w:tcPr>
            <w:tcW w:w="800" w:type="dxa"/>
            <w:vAlign w:val="bottom"/>
            <w:gridSpan w:val="2"/>
            <w:vMerge w:val="restart"/>
          </w:tcPr>
          <w:p>
            <w:pPr>
              <w:jc w:val="center"/>
              <w:ind w:left="86"/>
              <w:spacing w:after="0"/>
              <w:rPr>
                <w:sz w:val="20"/>
                <w:szCs w:val="20"/>
                <w:color w:val="auto"/>
              </w:rPr>
            </w:pPr>
            <w:r>
              <w:rPr>
                <w:rFonts w:ascii="Arial" w:cs="Arial" w:eastAsia="Arial" w:hAnsi="Arial"/>
                <w:sz w:val="11"/>
                <w:szCs w:val="11"/>
                <w:color w:val="auto"/>
                <w:w w:val="90"/>
              </w:rPr>
              <w:t>12/08/2022</w:t>
            </w:r>
          </w:p>
        </w:tc>
        <w:tc>
          <w:tcPr>
            <w:tcW w:w="140" w:type="dxa"/>
            <w:vAlign w:val="bottom"/>
          </w:tcPr>
          <w:p>
            <w:pPr>
              <w:spacing w:after="0"/>
              <w:rPr>
                <w:sz w:val="5"/>
                <w:szCs w:val="5"/>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color w:val="auto"/>
                <w:w w:val="89"/>
              </w:rPr>
              <w:t>Telecommunications</w:t>
            </w: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1,656,423</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1,641,729</w:t>
            </w: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1,656,423</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33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Any Hour Services</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07/21/2027</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7"/>
              </w:rPr>
              <w:t>Energy Equipment and Services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9,993,750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9,835,645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9,993,750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07/21/2027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313,529</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3,135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07/21/2027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1,147,059</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07/31/2025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6,256,015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6,203,837</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6,177,815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07/31/2025</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3"/>
            <w:shd w:val="clear" w:color="auto" w:fill="CCECFF"/>
          </w:tcPr>
          <w:p>
            <w:pPr>
              <w:jc w:val="right"/>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300,396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300,396</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296,642</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Apex Service Partners, LLC Term Loan C</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07/31/2025</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3"/>
          </w:tcPr>
          <w:p>
            <w:pPr>
              <w:jc w:val="right"/>
              <w:spacing w:after="0" w:line="105" w:lineRule="exact"/>
              <w:rPr>
                <w:sz w:val="20"/>
                <w:szCs w:val="20"/>
                <w:color w:val="auto"/>
              </w:rPr>
            </w:pPr>
            <w:r>
              <w:rPr>
                <w:rFonts w:ascii="Arial" w:cs="Arial" w:eastAsia="Arial" w:hAnsi="Arial"/>
                <w:sz w:val="11"/>
                <w:szCs w:val="11"/>
                <w:color w:val="auto"/>
              </w:rPr>
              <w:t>6.25 %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20,038,791</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19,847,465</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19,788,306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07/29/2024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738,043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738,043</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721,438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07/29/2024</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1,107,065</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(24,909 )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API Technologies Corp.</w:t>
            </w:r>
          </w:p>
        </w:tc>
        <w:tc>
          <w:tcPr>
            <w:tcW w:w="80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05/11/2026</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960" w:type="dxa"/>
            <w:vAlign w:val="bottom"/>
            <w:gridSpan w:val="3"/>
            <w:shd w:val="clear" w:color="auto" w:fill="CCECFF"/>
          </w:tcPr>
          <w:p>
            <w:pPr>
              <w:jc w:val="right"/>
              <w:spacing w:after="0"/>
              <w:rPr>
                <w:sz w:val="20"/>
                <w:szCs w:val="20"/>
                <w:color w:val="auto"/>
              </w:rPr>
            </w:pPr>
            <w:r>
              <w:rPr>
                <w:rFonts w:ascii="Arial" w:cs="Arial" w:eastAsia="Arial" w:hAnsi="Arial"/>
                <w:sz w:val="11"/>
                <w:szCs w:val="11"/>
                <w:color w:val="auto"/>
              </w:rPr>
              <w:t>4.35 %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5,826,933</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5,557,500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Applied Technical Services, LLC</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12/29/2026</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90"/>
              </w:rPr>
              <w:t>Commercial Services &amp; Supplies</w:t>
            </w:r>
          </w:p>
        </w:tc>
        <w:tc>
          <w:tcPr>
            <w:tcW w:w="960" w:type="dxa"/>
            <w:vAlign w:val="bottom"/>
            <w:gridSpan w:val="3"/>
          </w:tcPr>
          <w:p>
            <w:pPr>
              <w:jc w:val="right"/>
              <w:spacing w:after="0" w:line="10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8,395,534</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8,261,891</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8,290,590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06/29/2022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5,116,391</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(6,395 )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12/29/2026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318,182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318,182</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314,205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954,545</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(11,932 )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Broder Bros., Co.</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12/02/2022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6,521,284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6,521,284</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6,521,284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By Light Professional IT Services,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05/16/2022</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9"/>
              </w:rPr>
              <w:t>High Tech Industries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7.25 %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45,208,541</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44,757,509</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44,304,370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05/16/2022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4,065,354</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(81,307 )</w:t>
            </w: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14"/>
                <w:szCs w:val="14"/>
                <w:color w:val="auto"/>
                <w:vertAlign w:val="superscript"/>
              </w:rPr>
              <w:t>(7)</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11/14/2023</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9.50 %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L+850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3,009,525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2,994,688</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2,988,459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1"/>
                <w:szCs w:val="11"/>
                <w:color w:val="auto"/>
              </w:rPr>
              <w:t>CF512, Inc.</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(PIK 9.50%)</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vMerge w:val="continue"/>
          </w:tcPr>
          <w:p>
            <w:pPr>
              <w:spacing w:after="0"/>
              <w:rPr>
                <w:sz w:val="9"/>
                <w:szCs w:val="9"/>
                <w:color w:val="auto"/>
              </w:rPr>
            </w:pP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08/20/2026</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spacing w:after="0" w:line="10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8,158,977</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8,028,486</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8,077,388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CF512, Inc.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08/20/2026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190,909</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CF512,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08/20/2026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954,545</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(9,545 )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CHA Holdings,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04/10/2025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Environmental Industries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5.50 %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1,593,262</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1,588,869</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1,585,295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08/31/2023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L+675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08/31/2023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711,447</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(21,343 )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Compex Legal Services,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02/09/2026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Professional Services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7,633,503</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7,516,648</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7,633,503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02/07/2025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843,396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843,396</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843,396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02/07/2025</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562,264</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Confluent Health,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06/24/2026</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 Providers and Services</w:t>
            </w:r>
          </w:p>
        </w:tc>
        <w:tc>
          <w:tcPr>
            <w:tcW w:w="960" w:type="dxa"/>
            <w:vAlign w:val="bottom"/>
            <w:gridSpan w:val="3"/>
            <w:shd w:val="clear" w:color="auto" w:fill="CCECFF"/>
          </w:tcPr>
          <w:p>
            <w:pPr>
              <w:jc w:val="right"/>
              <w:spacing w:after="0"/>
              <w:rPr>
                <w:sz w:val="20"/>
                <w:szCs w:val="20"/>
                <w:color w:val="auto"/>
              </w:rPr>
            </w:pPr>
            <w:r>
              <w:rPr>
                <w:rFonts w:ascii="Arial" w:cs="Arial" w:eastAsia="Arial" w:hAnsi="Arial"/>
                <w:sz w:val="11"/>
                <w:szCs w:val="11"/>
                <w:color w:val="auto"/>
              </w:rPr>
              <w:t>5.08 %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3,910,000</w:t>
            </w: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Connatix Buyer, Inc.</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07/13/2027</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spacing w:after="0" w:line="105" w:lineRule="exact"/>
              <w:rPr>
                <w:sz w:val="20"/>
                <w:szCs w:val="20"/>
                <w:color w:val="auto"/>
              </w:rPr>
            </w:pPr>
            <w:r>
              <w:rPr>
                <w:rFonts w:ascii="Arial" w:cs="Arial" w:eastAsia="Arial" w:hAnsi="Arial"/>
                <w:sz w:val="11"/>
                <w:szCs w:val="11"/>
                <w:color w:val="auto"/>
              </w:rPr>
              <w:t>6.25 %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3,990,000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3,913,088</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4,009,949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01/13/2023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2,105,263</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31,579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07/13/2027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1,234,375</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Services, Inc.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897,129</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(2,242 )</w:t>
            </w: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08/16/2027</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336,423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(3,364 )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Crash Champions,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08/05/2025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Automobiles</w:t>
            </w:r>
          </w:p>
        </w:tc>
        <w:tc>
          <w:tcPr>
            <w:tcW w:w="960" w:type="dxa"/>
            <w:vAlign w:val="bottom"/>
            <w:gridSpan w:val="3"/>
            <w:shd w:val="clear" w:color="auto" w:fill="CCECFF"/>
          </w:tcPr>
          <w:p>
            <w:pPr>
              <w:jc w:val="right"/>
              <w:spacing w:after="0"/>
              <w:rPr>
                <w:sz w:val="20"/>
                <w:szCs w:val="20"/>
                <w:color w:val="auto"/>
              </w:rPr>
            </w:pPr>
            <w:r>
              <w:rPr>
                <w:rFonts w:ascii="Arial" w:cs="Arial" w:eastAsia="Arial" w:hAnsi="Arial"/>
                <w:sz w:val="11"/>
                <w:szCs w:val="11"/>
                <w:color w:val="auto"/>
              </w:rPr>
              <w:t>5.96 %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19,973,600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19,719,678</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19,574,128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Douglas Products and Packaging Company LLC</w:t>
            </w: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3"/>
          </w:tcPr>
          <w:p>
            <w:pPr>
              <w:jc w:val="right"/>
              <w:spacing w:after="0" w:line="12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6,528,135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6,503,667</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6,528,135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Douglas Products and Packaging Company LLC (Revolver)</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8.00 %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P+475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2,488,333</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2,488,333</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2,488,333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Douglas Products and Packaging Company LLC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1,902,843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3"/>
            <w:shd w:val="clear" w:color="auto" w:fill="CCECFF"/>
          </w:tcPr>
          <w:p>
            <w:pPr>
              <w:jc w:val="right"/>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3,950,887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3,935,718</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3,950,887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Dr. Squatch, LLC</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08/27/2026</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Personal Products</w:t>
            </w:r>
          </w:p>
        </w:tc>
        <w:tc>
          <w:tcPr>
            <w:tcW w:w="960" w:type="dxa"/>
            <w:vAlign w:val="bottom"/>
            <w:gridSpan w:val="3"/>
          </w:tcPr>
          <w:p>
            <w:pPr>
              <w:jc w:val="right"/>
              <w:spacing w:after="0" w:line="10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9,461,573</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9,280,861</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9,461,573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08/27/2026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2,459,120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2,459,120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2,459,120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08/27/2026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894,225</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DRS Holdings III, Inc.</w:t>
            </w:r>
          </w:p>
        </w:tc>
        <w:tc>
          <w:tcPr>
            <w:tcW w:w="80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87"/>
              </w:rPr>
              <w:t>11/03/2025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17,626,527</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17,478,099</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17,520,769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11/03/2025</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1,426,470</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(8,559 )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Duraco Specialty Tapes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06/30/2024</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Containers and Packaging</w:t>
            </w:r>
          </w:p>
        </w:tc>
        <w:tc>
          <w:tcPr>
            <w:tcW w:w="960" w:type="dxa"/>
            <w:vAlign w:val="bottom"/>
            <w:gridSpan w:val="3"/>
            <w:shd w:val="clear" w:color="auto" w:fill="CCECFF"/>
          </w:tcPr>
          <w:p>
            <w:pPr>
              <w:jc w:val="right"/>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3,275,696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3,220,537</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3,223,285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ECL Entertainment, LLC</w:t>
            </w: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03/31/2028</w:t>
            </w:r>
          </w:p>
        </w:tc>
        <w:tc>
          <w:tcPr>
            <w:tcW w:w="1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87"/>
              </w:rPr>
              <w:t>Hotels, Restaurants and Leisure</w:t>
            </w:r>
          </w:p>
        </w:tc>
        <w:tc>
          <w:tcPr>
            <w:tcW w:w="960" w:type="dxa"/>
            <w:vAlign w:val="bottom"/>
            <w:gridSpan w:val="3"/>
          </w:tcPr>
          <w:p>
            <w:pPr>
              <w:jc w:val="right"/>
              <w:spacing w:after="0" w:line="125" w:lineRule="exact"/>
              <w:rPr>
                <w:sz w:val="20"/>
                <w:szCs w:val="20"/>
                <w:color w:val="auto"/>
              </w:rPr>
            </w:pPr>
            <w:r>
              <w:rPr>
                <w:rFonts w:ascii="Arial" w:cs="Arial" w:eastAsia="Arial" w:hAnsi="Arial"/>
                <w:sz w:val="11"/>
                <w:szCs w:val="11"/>
                <w:color w:val="auto"/>
              </w:rPr>
              <w:t>8.25 %</w:t>
            </w:r>
          </w:p>
        </w:tc>
        <w:tc>
          <w:tcPr>
            <w:tcW w:w="14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5,242,885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5,192,642</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5,321,528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ECM Industries, LLC (Revolver)</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12/23/2025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 Equipment, Instruments, and Components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5.75 %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L+475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285,755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285,755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278,611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12/23/2025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628,661</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(15,717 )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4"/>
                <w:szCs w:val="14"/>
                <w:color w:val="auto"/>
                <w:vertAlign w:val="superscript"/>
              </w:rPr>
              <w:t>(10)</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10/05/2023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6.00 %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6,765,000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6,765,000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6,765,000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4"/>
                <w:szCs w:val="14"/>
                <w:color w:val="auto"/>
                <w:vertAlign w:val="superscript"/>
              </w:rPr>
              <w:t>(7), (9), (10)</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10/05/2023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5,000,000</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Efficient Collaborative Retail Marketing Company,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06/15/2022</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Diversified and Production</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7.75 %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7,189,139</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7,183,481</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7,153,193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4"/>
                <w:szCs w:val="14"/>
                <w:color w:val="auto"/>
                <w:vertAlign w:val="superscript"/>
              </w:rPr>
              <w:t>(5)(10)(11)</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05/31/2024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5.10 %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L+500</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AUD</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7,358,345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7,270,500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10,000,000</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Gantech Acquisition Corp.</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7.25 %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22,319,447</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21,907,857</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22,096,253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3,733,280</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(37,333 )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Global Holdings InterCo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03/16/2026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Diversified Financial Services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3,473,750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3,428,171</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3,456,381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08/10/2023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1,071,429</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158,531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158,531</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155,439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08/10/2027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706,182</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(13,771 )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Hancock Roofing and Construction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12/31/2026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Insurance</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6.00 %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4,565,000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4,490,677</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4,565,000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12/31/2022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400,000</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12/31/2026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750,000</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Holdco Sands Intermediate, LLC</w:t>
            </w:r>
          </w:p>
        </w:tc>
        <w:tc>
          <w:tcPr>
            <w:tcW w:w="80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87"/>
              </w:rPr>
              <w:t>11/23/2028</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9,801,984</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9,801,984</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9,800,000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Holdco Sands Intermediate, LLC (Revolver) </w:t>
            </w:r>
            <w:r>
              <w:rPr>
                <w:rFonts w:ascii="Arial" w:cs="Arial" w:eastAsia="Arial" w:hAnsi="Arial"/>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11/23/2027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(35,825 )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HW Holdco,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12/10/2024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7,321,936</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7,279,772</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7,175,497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2,887,174</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(28,872 )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1,451,613</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(29,032 )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IDC Infusion Services,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12/30/2026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Equipment and Supplies</w:t>
            </w:r>
          </w:p>
        </w:tc>
        <w:tc>
          <w:tcPr>
            <w:tcW w:w="96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500,000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490,012</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IDC Infusion Services, Inc.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06/30/2023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12,500,000</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IDC Infusion Services, Inc.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12/30/2026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4,166,667</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IG Investments Holdings, LLC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09/22/2028</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4,507,009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4,417,617</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4,416,869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09/22/2027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238,439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238,439</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233,671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09/22/2027</w:t>
            </w:r>
          </w:p>
        </w:tc>
        <w:tc>
          <w:tcPr>
            <w:tcW w:w="14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238,439</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(4,769 )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-7034530</wp:posOffset>
            </wp:positionV>
            <wp:extent cx="7132320" cy="93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-6854190</wp:posOffset>
            </wp:positionV>
            <wp:extent cx="7132320"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-6682740</wp:posOffset>
            </wp:positionV>
            <wp:extent cx="7132320"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-6511290</wp:posOffset>
            </wp:positionV>
            <wp:extent cx="7132320" cy="85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-6339840</wp:posOffset>
            </wp:positionV>
            <wp:extent cx="7132320" cy="85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-6168390</wp:posOffset>
            </wp:positionV>
            <wp:extent cx="7132320"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-5996940</wp:posOffset>
            </wp:positionV>
            <wp:extent cx="7132320"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-5654040</wp:posOffset>
            </wp:positionV>
            <wp:extent cx="7132320"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-5311140</wp:posOffset>
            </wp:positionV>
            <wp:extent cx="7132320"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-5139690</wp:posOffset>
            </wp:positionV>
            <wp:extent cx="7132320" cy="85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-4968240</wp:posOffset>
            </wp:positionV>
            <wp:extent cx="7132320"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-4796790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-4539615</wp:posOffset>
            </wp:positionV>
            <wp:extent cx="7132320"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-4368165</wp:posOffset>
            </wp:positionV>
            <wp:extent cx="7132320"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-4196715</wp:posOffset>
            </wp:positionV>
            <wp:extent cx="713232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-4025265</wp:posOffset>
            </wp:positionV>
            <wp:extent cx="7132320"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-3682365</wp:posOffset>
            </wp:positionV>
            <wp:extent cx="7132320"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-3510915</wp:posOffset>
            </wp:positionV>
            <wp:extent cx="713232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-3168015</wp:posOffset>
            </wp:positionV>
            <wp:extent cx="7132320"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-2825115</wp:posOffset>
            </wp:positionV>
            <wp:extent cx="7132320"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-2653665</wp:posOffset>
            </wp:positionV>
            <wp:extent cx="7132320"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-2310765</wp:posOffset>
            </wp:positionV>
            <wp:extent cx="713232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-2139315</wp:posOffset>
            </wp:positionV>
            <wp:extent cx="713232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-1967865</wp:posOffset>
            </wp:positionV>
            <wp:extent cx="713232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-1727835</wp:posOffset>
            </wp:positionV>
            <wp:extent cx="713232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-1556385</wp:posOffset>
            </wp:positionV>
            <wp:extent cx="7132320"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-1384935</wp:posOffset>
            </wp:positionV>
            <wp:extent cx="7132320"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-1213485</wp:posOffset>
            </wp:positionV>
            <wp:extent cx="713232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-1042035</wp:posOffset>
            </wp:positionV>
            <wp:extent cx="713232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366"/>
              <w:spacing w:after="0"/>
              <w:rPr>
                <w:sz w:val="20"/>
                <w:szCs w:val="20"/>
                <w:color w:val="auto"/>
              </w:rPr>
            </w:pPr>
            <w:r>
              <w:rPr>
                <w:rFonts w:ascii="Arial" w:cs="Arial" w:eastAsia="Arial" w:hAnsi="Arial"/>
                <w:sz w:val="11"/>
                <w:szCs w:val="11"/>
                <w:b w:val="1"/>
                <w:bCs w:val="1"/>
                <w:color w:val="auto"/>
              </w:rPr>
              <w:t>Current</w:t>
            </w: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14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8"/>
        </w:trPr>
        <w:tc>
          <w:tcPr>
            <w:tcW w:w="3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7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320" w:type="dxa"/>
            <w:vAlign w:val="bottom"/>
            <w:tcBorders>
              <w:top w:val="single" w:sz="8" w:color="auto"/>
            </w:tcBorders>
          </w:tcPr>
          <w:p>
            <w:pPr>
              <w:ind w:left="20"/>
              <w:spacing w:after="0" w:line="99" w:lineRule="exact"/>
              <w:rPr>
                <w:sz w:val="20"/>
                <w:szCs w:val="20"/>
                <w:color w:val="auto"/>
              </w:rPr>
            </w:pPr>
            <w:r>
              <w:rPr>
                <w:rFonts w:ascii="Arial" w:cs="Arial" w:eastAsia="Arial" w:hAnsi="Arial"/>
                <w:sz w:val="11"/>
                <w:szCs w:val="11"/>
                <w:color w:val="auto"/>
              </w:rPr>
              <w:t>Imagine Acquisitionco, LLC</w:t>
            </w:r>
          </w:p>
        </w:tc>
        <w:tc>
          <w:tcPr>
            <w:tcW w:w="140" w:type="dxa"/>
            <w:vAlign w:val="bottom"/>
          </w:tcPr>
          <w:p>
            <w:pPr>
              <w:spacing w:after="0"/>
              <w:rPr>
                <w:sz w:val="8"/>
                <w:szCs w:val="8"/>
                <w:color w:val="auto"/>
              </w:rPr>
            </w:pPr>
          </w:p>
        </w:tc>
        <w:tc>
          <w:tcPr>
            <w:tcW w:w="66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7"/>
              </w:rPr>
              <w:t>11/15/2027</w:t>
            </w:r>
          </w:p>
        </w:tc>
        <w:tc>
          <w:tcPr>
            <w:tcW w:w="140" w:type="dxa"/>
            <w:vAlign w:val="bottom"/>
          </w:tcPr>
          <w:p>
            <w:pPr>
              <w:spacing w:after="0"/>
              <w:rPr>
                <w:sz w:val="8"/>
                <w:szCs w:val="8"/>
                <w:color w:val="auto"/>
              </w:rPr>
            </w:pPr>
          </w:p>
        </w:tc>
        <w:tc>
          <w:tcPr>
            <w:tcW w:w="234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92"/>
              </w:rPr>
              <w:t>Software</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6.50</w:t>
            </w:r>
          </w:p>
        </w:tc>
        <w:tc>
          <w:tcPr>
            <w:tcW w:w="260" w:type="dxa"/>
            <w:vAlign w:val="bottom"/>
          </w:tcPr>
          <w:p>
            <w:pPr>
              <w:jc w:val="right"/>
              <w:ind w:right="86"/>
              <w:spacing w:after="0" w:line="99" w:lineRule="exact"/>
              <w:rPr>
                <w:sz w:val="20"/>
                <w:szCs w:val="20"/>
                <w:color w:val="auto"/>
              </w:rPr>
            </w:pPr>
            <w:r>
              <w:rPr>
                <w:rFonts w:ascii="Arial" w:cs="Arial" w:eastAsia="Arial" w:hAnsi="Arial"/>
                <w:sz w:val="11"/>
                <w:szCs w:val="11"/>
                <w:color w:val="auto"/>
              </w:rPr>
              <w:t>%</w:t>
            </w:r>
          </w:p>
        </w:tc>
        <w:tc>
          <w:tcPr>
            <w:tcW w:w="7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3M L+550</w:t>
            </w:r>
          </w:p>
        </w:tc>
        <w:tc>
          <w:tcPr>
            <w:tcW w:w="160" w:type="dxa"/>
            <w:vAlign w:val="bottom"/>
          </w:tcPr>
          <w:p>
            <w:pPr>
              <w:spacing w:after="0"/>
              <w:rPr>
                <w:sz w:val="8"/>
                <w:szCs w:val="8"/>
                <w:color w:val="auto"/>
              </w:rPr>
            </w:pPr>
          </w:p>
        </w:tc>
        <w:tc>
          <w:tcPr>
            <w:tcW w:w="7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4,008,612</w:t>
            </w:r>
          </w:p>
        </w:tc>
        <w:tc>
          <w:tcPr>
            <w:tcW w:w="160" w:type="dxa"/>
            <w:vAlign w:val="bottom"/>
          </w:tcPr>
          <w:p>
            <w:pPr>
              <w:spacing w:after="0"/>
              <w:rPr>
                <w:sz w:val="8"/>
                <w:szCs w:val="8"/>
                <w:color w:val="auto"/>
              </w:rPr>
            </w:pPr>
          </w:p>
        </w:tc>
        <w:tc>
          <w:tcPr>
            <w:tcW w:w="160" w:type="dxa"/>
            <w:vAlign w:val="bottom"/>
            <w:tcBorders>
              <w:top w:val="single" w:sz="8" w:color="auto"/>
            </w:tcBorders>
          </w:tcPr>
          <w:p>
            <w:pPr>
              <w:jc w:val="right"/>
              <w:ind w:right="51"/>
              <w:spacing w:after="0" w:line="99"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3,929,541</w:t>
            </w:r>
          </w:p>
        </w:tc>
        <w:tc>
          <w:tcPr>
            <w:tcW w:w="160" w:type="dxa"/>
            <w:vAlign w:val="bottom"/>
          </w:tcPr>
          <w:p>
            <w:pPr>
              <w:spacing w:after="0"/>
              <w:rPr>
                <w:sz w:val="8"/>
                <w:szCs w:val="8"/>
                <w:color w:val="auto"/>
              </w:rPr>
            </w:pPr>
          </w:p>
        </w:tc>
        <w:tc>
          <w:tcPr>
            <w:tcW w:w="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3,928,440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Imagine Acquisitionco, LLC </w:t>
            </w:r>
            <w:r>
              <w:rPr>
                <w:rFonts w:ascii="Arial" w:cs="Arial" w:eastAsia="Arial" w:hAnsi="Arial"/>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11/15/2027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1,656,603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(16,566 )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Imagine Acquisitionco, LLC (Revolver) </w:t>
            </w:r>
            <w:r>
              <w:rPr>
                <w:rFonts w:ascii="Arial" w:cs="Arial" w:eastAsia="Arial" w:hAnsi="Arial"/>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11/15/2027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1,192,754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(23,855 )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Inception Fertility Ventures,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12/07/2023</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7"/>
              </w:rPr>
              <w:t>Healthcare Providers and Services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3,482,388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3,399,755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3,395,328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Inception Fertility Ventures, LLC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12/07/2023</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9,185,272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(114,816 )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Infolinks Media Buyco, LLC</w:t>
            </w:r>
          </w:p>
        </w:tc>
        <w:tc>
          <w:tcPr>
            <w:tcW w:w="80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11/01/2026</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2,644,552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2,593,121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2,591,661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Infolinks Media Buyco, LLC- Unfunded Term Loan</w:t>
            </w:r>
          </w:p>
        </w:tc>
        <w:tc>
          <w:tcPr>
            <w:tcW w:w="800" w:type="dxa"/>
            <w:vAlign w:val="bottom"/>
            <w:gridSpan w:val="2"/>
          </w:tcPr>
          <w:p>
            <w:pPr>
              <w:jc w:val="center"/>
              <w:ind w:left="106"/>
              <w:spacing w:after="0" w:line="105" w:lineRule="exact"/>
              <w:rPr>
                <w:sz w:val="20"/>
                <w:szCs w:val="20"/>
                <w:color w:val="auto"/>
              </w:rPr>
            </w:pPr>
            <w:r>
              <w:rPr>
                <w:rFonts w:ascii="Arial" w:cs="Arial" w:eastAsia="Arial" w:hAnsi="Arial"/>
                <w:sz w:val="11"/>
                <w:szCs w:val="11"/>
                <w:color w:val="auto"/>
                <w:w w:val="87"/>
              </w:rPr>
              <w:t>11/01/2023</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9"/>
                <w:szCs w:val="9"/>
                <w:color w:val="auto"/>
              </w:rPr>
            </w:pPr>
          </w:p>
        </w:tc>
        <w:tc>
          <w:tcPr>
            <w:tcW w:w="960" w:type="dxa"/>
            <w:vAlign w:val="bottom"/>
            <w:gridSpan w:val="2"/>
          </w:tcPr>
          <w:p>
            <w:pPr>
              <w:jc w:val="right"/>
              <w:ind w:right="206"/>
              <w:spacing w:after="0" w:line="10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968,644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(9,686 )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14"/>
                <w:szCs w:val="14"/>
                <w:color w:val="auto"/>
                <w:vertAlign w:val="superscript"/>
              </w:rPr>
              <w:t>(5), (10)</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3,244,904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3,227,166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3,244,904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4"/>
                <w:szCs w:val="14"/>
                <w:color w:val="auto"/>
                <w:vertAlign w:val="superscript"/>
              </w:rPr>
              <w:t>(5), (7), (10)</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533,525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533,525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533,525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Integrative Nutrition,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09/29/2023</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7"/>
              </w:rPr>
              <w:t>Consumer Services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16,114,175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16,051,093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16,114,175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09/29/2023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Consumer Services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08/27/2025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18,105,120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17,971,638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18,014,594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3,841,538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9,604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8.00 %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642,857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642,857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630,000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785,714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(15,714 )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Kinetic Purchaser, LLC</w:t>
            </w:r>
          </w:p>
        </w:tc>
        <w:tc>
          <w:tcPr>
            <w:tcW w:w="80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11/10/2027</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21,025,154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20,609,268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20,604,650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Kinetic Purchaser, LLC - (Revolver)</w:t>
            </w:r>
          </w:p>
        </w:tc>
        <w:tc>
          <w:tcPr>
            <w:tcW w:w="800" w:type="dxa"/>
            <w:vAlign w:val="bottom"/>
            <w:gridSpan w:val="2"/>
          </w:tcPr>
          <w:p>
            <w:pPr>
              <w:jc w:val="center"/>
              <w:ind w:left="106"/>
              <w:spacing w:after="0" w:line="105" w:lineRule="exact"/>
              <w:rPr>
                <w:sz w:val="20"/>
                <w:szCs w:val="20"/>
                <w:color w:val="auto"/>
              </w:rPr>
            </w:pPr>
            <w:r>
              <w:rPr>
                <w:rFonts w:ascii="Arial" w:cs="Arial" w:eastAsia="Arial" w:hAnsi="Arial"/>
                <w:sz w:val="11"/>
                <w:szCs w:val="11"/>
                <w:color w:val="auto"/>
                <w:w w:val="87"/>
              </w:rPr>
              <w:t>11/10/2026</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Personal Products</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1,648,651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1,648,651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1,615,678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Kinetic Purchaser, LLC - (Revolver) </w:t>
            </w:r>
            <w:r>
              <w:rPr>
                <w:rFonts w:ascii="Arial" w:cs="Arial" w:eastAsia="Arial" w:hAnsi="Arial"/>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11/10/2026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1,786,039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(35,721 )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Lash OpCo,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02/18/2027</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17,119,082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16,757,462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16,947,892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1,920,443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(19,204 )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10/31/2024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8.50 %</w:t>
            </w:r>
          </w:p>
        </w:tc>
        <w:tc>
          <w:tcPr>
            <w:tcW w:w="760" w:type="dxa"/>
            <w:vAlign w:val="bottom"/>
          </w:tcPr>
          <w:p>
            <w:pPr>
              <w:jc w:val="right"/>
              <w:spacing w:after="0"/>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9,512,965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9,480,648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9,065,855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5.00%)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20" w:type="dxa"/>
            <w:vAlign w:val="bottom"/>
            <w:vMerge w:val="continue"/>
          </w:tcPr>
          <w:p>
            <w:pPr>
              <w:spacing w:after="0"/>
              <w:rPr>
                <w:sz w:val="12"/>
                <w:szCs w:val="12"/>
                <w:color w:val="auto"/>
              </w:rPr>
            </w:pP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10/31/2024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8.50 %</w:t>
            </w:r>
          </w:p>
        </w:tc>
        <w:tc>
          <w:tcPr>
            <w:tcW w:w="760" w:type="dxa"/>
            <w:vAlign w:val="bottom"/>
          </w:tcPr>
          <w:p>
            <w:pPr>
              <w:jc w:val="right"/>
              <w:spacing w:after="0"/>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1,699,283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1,699,283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1,619,416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1"/>
                <w:szCs w:val="11"/>
                <w:color w:val="auto"/>
              </w:rPr>
              <w:t>Ledge Lounger, Inc.</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(PIK 5.00%)</w:t>
            </w: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vMerge w:val="continue"/>
          </w:tcPr>
          <w:p>
            <w:pPr>
              <w:spacing w:after="0"/>
              <w:rPr>
                <w:sz w:val="10"/>
                <w:szCs w:val="10"/>
                <w:color w:val="auto"/>
              </w:rPr>
            </w:pPr>
          </w:p>
        </w:tc>
        <w:tc>
          <w:tcPr>
            <w:tcW w:w="800" w:type="dxa"/>
            <w:vAlign w:val="bottom"/>
            <w:gridSpan w:val="2"/>
          </w:tcPr>
          <w:p>
            <w:pPr>
              <w:jc w:val="center"/>
              <w:ind w:left="106"/>
              <w:spacing w:after="0" w:line="125" w:lineRule="exact"/>
              <w:rPr>
                <w:sz w:val="20"/>
                <w:szCs w:val="20"/>
                <w:color w:val="auto"/>
              </w:rPr>
            </w:pPr>
            <w:r>
              <w:rPr>
                <w:rFonts w:ascii="Arial" w:cs="Arial" w:eastAsia="Arial" w:hAnsi="Arial"/>
                <w:sz w:val="11"/>
                <w:szCs w:val="11"/>
                <w:color w:val="auto"/>
                <w:w w:val="87"/>
              </w:rPr>
              <w:t>11/09/2026</w:t>
            </w:r>
          </w:p>
        </w:tc>
        <w:tc>
          <w:tcPr>
            <w:tcW w:w="1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87"/>
              </w:rPr>
              <w:t>Leisure Products</w:t>
            </w:r>
          </w:p>
        </w:tc>
        <w:tc>
          <w:tcPr>
            <w:tcW w:w="110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3,775,397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3,701,297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3,699,889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Ledge Lounger, Inc. (Revolver)</w:t>
            </w:r>
          </w:p>
        </w:tc>
        <w:tc>
          <w:tcPr>
            <w:tcW w:w="80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87"/>
              </w:rPr>
              <w:t>11/09/2026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7"/>
              </w:rPr>
              <w:t>Leisure Products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526,061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526,061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515,540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Ledge Lounger, Inc. (Revolver) </w:t>
            </w:r>
            <w:r>
              <w:rPr>
                <w:rFonts w:ascii="Arial" w:cs="Arial" w:eastAsia="Arial" w:hAnsi="Arial"/>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263,030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(5,261 )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Lightspeed Buyer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24,544,628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24,197,861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23,869,650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666,480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666,480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648,152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1,832,819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(50,403 )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Lombart Brothers,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14,247,442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14,179,437</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14,247,442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516,105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516,105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516,105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rPr>
                <w:sz w:val="20"/>
                <w:szCs w:val="20"/>
                <w:color w:val="auto"/>
              </w:rPr>
            </w:pPr>
            <w:r>
              <w:rPr>
                <w:rFonts w:ascii="Arial" w:cs="Arial" w:eastAsia="Arial" w:hAnsi="Arial"/>
                <w:sz w:val="11"/>
                <w:szCs w:val="11"/>
                <w:color w:val="auto"/>
              </w:rPr>
              <w:t>Lucky Bucks,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07/20/2027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4,500,000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4,413,607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4,415,625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 DS Corp.</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04/01/2027</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6.50 %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3,812,401</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3,651,144</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3,459,754</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Management Consulting &amp; Research, LLC</w:t>
            </w:r>
          </w:p>
        </w:tc>
        <w:tc>
          <w:tcPr>
            <w:tcW w:w="800" w:type="dxa"/>
            <w:vAlign w:val="bottom"/>
            <w:gridSpan w:val="2"/>
          </w:tcPr>
          <w:p>
            <w:pPr>
              <w:jc w:val="center"/>
              <w:ind w:left="106"/>
              <w:spacing w:after="0" w:line="105" w:lineRule="exact"/>
              <w:rPr>
                <w:sz w:val="20"/>
                <w:szCs w:val="20"/>
                <w:color w:val="auto"/>
              </w:rPr>
            </w:pPr>
            <w:r>
              <w:rPr>
                <w:rFonts w:ascii="Arial" w:cs="Arial" w:eastAsia="Arial" w:hAnsi="Arial"/>
                <w:sz w:val="11"/>
                <w:szCs w:val="11"/>
                <w:color w:val="auto"/>
                <w:w w:val="89"/>
              </w:rPr>
              <w:t>8/16/2027</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Aerospace and Defense</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18,700,000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18,333,196</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18,326,000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Management Consulting &amp; Research, LLC (Revolver) </w:t>
            </w:r>
            <w:r>
              <w:rPr>
                <w:rFonts w:ascii="Arial" w:cs="Arial" w:eastAsia="Arial" w:hAnsi="Arial"/>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8/16/2027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5,188,416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(103,768 )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Mars Acquisition Holdings Corp.</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6,097,621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5,987,827</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6,067,132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1,623,661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(8,118 )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MBS Holdings, Inc. (Revolver)</w:t>
            </w:r>
            <w:r>
              <w:rPr>
                <w:rFonts w:ascii="Arial" w:cs="Arial" w:eastAsia="Arial" w:hAnsi="Arial"/>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04/16/2027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1,157,407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(11,574 )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Meadowlark Acquirer,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Professional Services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2,413,793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2,389,683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2,389,655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Meadowlark Acquirer, LLC - Term Loan I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3,103,448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Meadowlark Acquirer, LLC - Term Loan II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9,482,759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Meadowlark Acquirer, LLC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1,692,790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MeritDirect,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15,153,628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15,031,784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15,002,092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2,869,470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(28,695 )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Mission Critical Electronics,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604,461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602,768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604,461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468,198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468,198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468,198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856,890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946,586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(5,679 )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946,586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(15,145 )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1,676,672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(16,767 )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OIS Management Services,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07/09/2026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Equipment and Supplies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5,098,111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5,047,323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5,047,130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6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444,444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444,444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440,000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One Stop Mailing,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05/07/2027</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Air Freight and Logistics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8,929,288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8,762,330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8,773,023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Acquisition, Inc.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7,249,717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7,106,788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7,177,220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860,692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(8,607 )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Output Services Group,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03/27/2024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60" w:type="dxa"/>
            <w:vAlign w:val="bottom"/>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4,887,690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4,474,897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4,398,920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Ox Two,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Construction and Building</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22,579,375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22,260,103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22,127,788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2,483,871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2,483,871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2,434,194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903,226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(18,065 )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PL Acquisitionco, LLC</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11/09/2027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7.50 %</w:t>
            </w:r>
          </w:p>
        </w:tc>
        <w:tc>
          <w:tcPr>
            <w:tcW w:w="760" w:type="dxa"/>
            <w:vAlign w:val="bottom"/>
          </w:tcPr>
          <w:p>
            <w:pPr>
              <w:jc w:val="right"/>
              <w:spacing w:after="0"/>
              <w:rPr>
                <w:sz w:val="20"/>
                <w:szCs w:val="20"/>
                <w:color w:val="auto"/>
              </w:rPr>
            </w:pPr>
            <w:r>
              <w:rPr>
                <w:rFonts w:ascii="Arial" w:cs="Arial" w:eastAsia="Arial" w:hAnsi="Arial"/>
                <w:sz w:val="11"/>
                <w:szCs w:val="11"/>
                <w:color w:val="auto"/>
              </w:rPr>
              <w:t>3M L+650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6,156,436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6,049,751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6,048,698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PL Acquisitionco, LLC (Revolver)</w:t>
            </w:r>
          </w:p>
        </w:tc>
        <w:tc>
          <w:tcPr>
            <w:tcW w:w="80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87"/>
              </w:rPr>
              <w:t>11/09/2027</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Textiles, Apparel and Luxury Goods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610,612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610,612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599,926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PL Acquisitionco, LLC - (Revolver) </w:t>
            </w:r>
            <w:r>
              <w:rPr>
                <w:rFonts w:ascii="Arial" w:cs="Arial" w:eastAsia="Arial" w:hAnsi="Arial"/>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11/09/2027</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1,679,182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(29,386 )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Plant Health Intermediate,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642,366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640,601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642,366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05/08/2026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5.72 %</w:t>
            </w:r>
          </w:p>
        </w:tc>
        <w:tc>
          <w:tcPr>
            <w:tcW w:w="760" w:type="dxa"/>
            <w:vAlign w:val="bottom"/>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3,468,324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3,444,191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3,387,408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PRA Events, Inc.</w:t>
            </w:r>
          </w:p>
        </w:tc>
        <w:tc>
          <w:tcPr>
            <w:tcW w:w="80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90"/>
              </w:rPr>
              <w:t>08/07/2025</w:t>
            </w:r>
          </w:p>
        </w:tc>
        <w:tc>
          <w:tcPr>
            <w:tcW w:w="14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100" w:type="dxa"/>
            <w:vAlign w:val="bottom"/>
            <w:gridSpan w:val="3"/>
            <w:shd w:val="clear" w:color="auto" w:fill="CCECFF"/>
          </w:tcPr>
          <w:p>
            <w:pPr>
              <w:jc w:val="right"/>
              <w:ind w:right="86"/>
              <w:spacing w:after="0" w:line="125" w:lineRule="exact"/>
              <w:rPr>
                <w:sz w:val="20"/>
                <w:szCs w:val="20"/>
                <w:color w:val="auto"/>
              </w:rPr>
            </w:pPr>
            <w:r>
              <w:rPr>
                <w:rFonts w:ascii="Arial" w:cs="Arial" w:eastAsia="Arial" w:hAnsi="Arial"/>
                <w:sz w:val="11"/>
                <w:szCs w:val="11"/>
                <w:color w:val="auto"/>
              </w:rPr>
              <w:t>11.50 %</w:t>
            </w:r>
          </w:p>
        </w:tc>
        <w:tc>
          <w:tcPr>
            <w:tcW w:w="7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1M L+1,050</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3,250,039</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2,816,020</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3,136,287</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3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(PIK 11.50%)</w:t>
            </w: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Quantic Electronics, LLC</w:t>
            </w:r>
          </w:p>
        </w:tc>
        <w:tc>
          <w:tcPr>
            <w:tcW w:w="800" w:type="dxa"/>
            <w:vAlign w:val="bottom"/>
            <w:gridSpan w:val="2"/>
          </w:tcPr>
          <w:p>
            <w:pPr>
              <w:jc w:val="center"/>
              <w:ind w:left="106"/>
              <w:spacing w:after="0" w:line="105" w:lineRule="exact"/>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9"/>
              </w:rPr>
              <w:t>Electronic Equipment, Instruments, and Components</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4,742,142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4,654,000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4,647,299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Quantic Electronics, LLC </w:t>
            </w:r>
            <w:r>
              <w:rPr>
                <w:rFonts w:ascii="Arial" w:cs="Arial" w:eastAsia="Arial" w:hAnsi="Arial"/>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2,809,953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(28,099 )</w:t>
            </w: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669,972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(13,399 )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Questex,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09/09/2024</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7,256,250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7,183,661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6,748,313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Questex, LLC (Revolver)</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91"/>
              </w:rPr>
              <w:t>Media: Diversified and Production</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6.00 %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718,085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718,085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667,819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478,723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(33,511 )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-6000115</wp:posOffset>
            </wp:positionV>
            <wp:extent cx="713232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-5657215</wp:posOffset>
            </wp:positionV>
            <wp:extent cx="713232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-5485765</wp:posOffset>
            </wp:positionV>
            <wp:extent cx="713232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-5314315</wp:posOffset>
            </wp:positionV>
            <wp:extent cx="713232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-5142865</wp:posOffset>
            </wp:positionV>
            <wp:extent cx="713232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-4799965</wp:posOffset>
            </wp:positionV>
            <wp:extent cx="713232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-4371340</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-4114165</wp:posOffset>
            </wp:positionV>
            <wp:extent cx="713232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-3942715</wp:posOffset>
            </wp:positionV>
            <wp:extent cx="713232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-3771265</wp:posOffset>
            </wp:positionV>
            <wp:extent cx="713232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71323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02"/>
        </w:trPr>
        <w:tc>
          <w:tcPr>
            <w:tcW w:w="3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366"/>
              <w:spacing w:after="0"/>
              <w:rPr>
                <w:sz w:val="20"/>
                <w:szCs w:val="20"/>
                <w:color w:val="auto"/>
              </w:rPr>
            </w:pPr>
            <w:r>
              <w:rPr>
                <w:rFonts w:ascii="Arial" w:cs="Arial" w:eastAsia="Arial" w:hAnsi="Arial"/>
                <w:sz w:val="11"/>
                <w:szCs w:val="11"/>
                <w:b w:val="1"/>
                <w:bCs w:val="1"/>
                <w:color w:val="auto"/>
              </w:rPr>
              <w:t>Current</w:t>
            </w: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14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760" w:type="dxa"/>
            <w:vAlign w:val="bottom"/>
          </w:tcPr>
          <w:p>
            <w:pPr>
              <w:jc w:val="center"/>
              <w:spacing w:after="0" w:line="132"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color w:val="auto"/>
              </w:rPr>
              <w:t xml:space="preserve">Rancho Health MSO, Inc. </w:t>
            </w:r>
            <w:r>
              <w:rPr>
                <w:rFonts w:ascii="Arial" w:cs="Arial" w:eastAsia="Arial" w:hAnsi="Arial"/>
                <w:sz w:val="12"/>
                <w:szCs w:val="12"/>
                <w:color w:val="auto"/>
                <w:vertAlign w:val="superscript"/>
              </w:rPr>
              <w:t>(7)</w:t>
            </w:r>
          </w:p>
        </w:tc>
        <w:tc>
          <w:tcPr>
            <w:tcW w:w="140" w:type="dxa"/>
            <w:vAlign w:val="bottom"/>
          </w:tcPr>
          <w:p>
            <w:pPr>
              <w:spacing w:after="0"/>
              <w:rPr>
                <w:sz w:val="9"/>
                <w:szCs w:val="9"/>
                <w:color w:val="auto"/>
              </w:rPr>
            </w:pPr>
          </w:p>
        </w:tc>
        <w:tc>
          <w:tcPr>
            <w:tcW w:w="66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9"/>
                <w:szCs w:val="9"/>
                <w:color w:val="auto"/>
              </w:rPr>
            </w:pPr>
          </w:p>
        </w:tc>
        <w:tc>
          <w:tcPr>
            <w:tcW w:w="234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9"/>
                <w:szCs w:val="9"/>
                <w:color w:val="auto"/>
              </w:rPr>
            </w:pPr>
          </w:p>
        </w:tc>
        <w:tc>
          <w:tcPr>
            <w:tcW w:w="7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6.75</w:t>
            </w:r>
          </w:p>
        </w:tc>
        <w:tc>
          <w:tcPr>
            <w:tcW w:w="260" w:type="dxa"/>
            <w:vAlign w:val="bottom"/>
          </w:tcPr>
          <w:p>
            <w:pPr>
              <w:jc w:val="right"/>
              <w:ind w:right="86"/>
              <w:spacing w:after="0" w:line="105" w:lineRule="exact"/>
              <w:rPr>
                <w:sz w:val="20"/>
                <w:szCs w:val="20"/>
                <w:color w:val="auto"/>
              </w:rPr>
            </w:pPr>
            <w:r>
              <w:rPr>
                <w:rFonts w:ascii="Arial" w:cs="Arial" w:eastAsia="Arial" w:hAnsi="Arial"/>
                <w:sz w:val="11"/>
                <w:szCs w:val="11"/>
                <w:color w:val="auto"/>
              </w:rPr>
              <w:t>%</w:t>
            </w:r>
          </w:p>
        </w:tc>
        <w:tc>
          <w:tcPr>
            <w:tcW w:w="7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3M L+575</w:t>
            </w:r>
          </w:p>
        </w:tc>
        <w:tc>
          <w:tcPr>
            <w:tcW w:w="160" w:type="dxa"/>
            <w:vAlign w:val="bottom"/>
          </w:tcPr>
          <w:p>
            <w:pPr>
              <w:spacing w:after="0"/>
              <w:rPr>
                <w:sz w:val="9"/>
                <w:szCs w:val="9"/>
                <w:color w:val="auto"/>
              </w:rPr>
            </w:pPr>
          </w:p>
        </w:tc>
        <w:tc>
          <w:tcPr>
            <w:tcW w:w="7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1,047,375</w:t>
            </w:r>
          </w:p>
        </w:tc>
        <w:tc>
          <w:tcPr>
            <w:tcW w:w="160" w:type="dxa"/>
            <w:vAlign w:val="bottom"/>
          </w:tcPr>
          <w:p>
            <w:pPr>
              <w:spacing w:after="0"/>
              <w:rPr>
                <w:sz w:val="9"/>
                <w:szCs w:val="9"/>
                <w:color w:val="auto"/>
              </w:rPr>
            </w:pPr>
          </w:p>
        </w:tc>
        <w:tc>
          <w:tcPr>
            <w:tcW w:w="140" w:type="dxa"/>
            <w:vAlign w:val="bottom"/>
            <w:tcBorders>
              <w:top w:val="single" w:sz="8" w:color="auto"/>
            </w:tcBorders>
          </w:tcPr>
          <w:p>
            <w:pPr>
              <w:jc w:val="right"/>
              <w:ind w:right="31"/>
              <w:spacing w:after="0" w:line="105"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1,047,375</w:t>
            </w:r>
          </w:p>
        </w:tc>
        <w:tc>
          <w:tcPr>
            <w:tcW w:w="160" w:type="dxa"/>
            <w:vAlign w:val="bottom"/>
          </w:tcPr>
          <w:p>
            <w:pPr>
              <w:spacing w:after="0"/>
              <w:rPr>
                <w:sz w:val="9"/>
                <w:szCs w:val="9"/>
                <w:color w:val="auto"/>
              </w:rPr>
            </w:pPr>
          </w:p>
        </w:tc>
        <w:tc>
          <w:tcPr>
            <w:tcW w:w="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1,047,375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525,000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Recteq,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7"/>
              </w:rPr>
              <w:t>Leisure Products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1,488,750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1,463,642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1,466,419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1,295,775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(19,437 )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Horizons,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06/28/2022</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6,534,713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6,518,284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6,469,366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Research Now Group, Inc. and Dynata, LLC</w:t>
            </w: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6.50 %</w:t>
            </w: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17,277,093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17,069,921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17,028,821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Riverpoint Medical,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06/20/2025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Equipment and Supplies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8,094,205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8,023,148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8,037,545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03/10/2025</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909,091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(6,364 )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Riverside Assessments,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03/10/2025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15,474,375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15,275,291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15,319,631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Sales Benchmark Index LLC</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Professional Services</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7.75 %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7,526,789</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7,429,129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7,413,888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1,292,683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(19,390 )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Sargent &amp; Greenleaf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3,664,672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3,629,699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3,664,672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Sargent &amp; Greenleaf Inc. (Revolver)</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 Equipment, Instruments, and Components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871,503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871,503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871,503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184,864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07/14/2025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13,411,280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13,313,113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12,975,413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Schlesinger Global, Inc. (Revolver)</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Professional Services</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8.00 %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1,478,438</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1,478,438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1,430,388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391,864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(12,736 )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Sigma Defense Systems,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9.50 %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L+850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13,017,869</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12,700,308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12,692,422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2,620,725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(65,518 )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Signature Systems Holding Company</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11,537,500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11,446,742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11,422,125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1,747,312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(17,473 )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Smile Brands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10/14/2024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Healthcare and Pharmaceuticals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1,952,988</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1,952,988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1,879,751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10/14/2024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88,159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88,159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84,853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10/14/2024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1,420,340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(53,263 )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Smile Brands Inc. 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10/14/2024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107,751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(4,041 )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07/19/2021</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Beverage, Food and Tobacco</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33,333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33,333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33,333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07/19/2021</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Beverage, Food and Tobacco</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Solutionreach,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01/17/2024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5,972,701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5,917,760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5,972,701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01/17/2024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1,665,000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Spear Education,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02/26/2025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Professional Services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14,860,313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14,723,214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14,860,313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02/26/2022</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6,875,000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STV Group Incorporated</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12/11/2026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5.35 %</w:t>
            </w: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4,751,892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4,713,780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4,728,132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TAC LifePort Purchaser,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03/01/2026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499,294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490,724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499,294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03/01/2026</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1,302,326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80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11/20/2025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Wireless Telecommunication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5.50 %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3,118,449</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3,095,290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3,087,264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07/18/2025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5,837,665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5,745,195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5,847,414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Aegis Technologies Group,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10/31/2025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4,958,556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4,893,314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4,908,971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The Bluebird Group LLC</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07/27/2026</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Professional Services</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8.00 %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L+700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4,820,188</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4,730,406</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4,916,591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07/27/2026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862,381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17,248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The Infosoft Group,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09/16/2024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9"/>
              </w:rPr>
              <w:t>Media: Broadcasting and Subscription</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15,624,451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15,519,378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15,624,451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2,733,889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(2,734 )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08/30/2027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911,296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(10,024 )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14"/>
                <w:szCs w:val="14"/>
                <w:color w:val="auto"/>
                <w:vertAlign w:val="superscript"/>
              </w:rPr>
              <w:t>(5), (10)</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11/24/2025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4,900,000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4,865,865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4,753,000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TVC Enterprises,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03/26/2026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24,923,795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24,618,802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24,923,795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03/26/2026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1,303,813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TWS Acquisition Corporation</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06/16/2025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Diversified Consumer Services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6,636,062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6,530,195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6,636,062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06/16/2025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2,627,857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Tyto Athene,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04/01/2028</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12,739,804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12,563,592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12,644,255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04/01/2026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1,039,799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(7,799 )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UBEO,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04/03/2024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18,065,444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17,978,310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17,975,117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04/03/2024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2,933,333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(14,667 )</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rPr>
                <w:sz w:val="20"/>
                <w:szCs w:val="20"/>
                <w:color w:val="auto"/>
              </w:rPr>
            </w:pPr>
            <w:r>
              <w:rPr>
                <w:rFonts w:ascii="Arial" w:cs="Arial" w:eastAsia="Arial" w:hAnsi="Arial"/>
                <w:sz w:val="11"/>
                <w:szCs w:val="11"/>
                <w:color w:val="auto"/>
              </w:rPr>
              <w:t>Vision Purchaser Corporation</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06/10/2025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7.75 %</w:t>
            </w:r>
          </w:p>
        </w:tc>
        <w:tc>
          <w:tcPr>
            <w:tcW w:w="760" w:type="dxa"/>
            <w:vAlign w:val="bottom"/>
          </w:tcPr>
          <w:p>
            <w:pPr>
              <w:jc w:val="right"/>
              <w:spacing w:after="0"/>
              <w:rPr>
                <w:sz w:val="20"/>
                <w:szCs w:val="20"/>
                <w:color w:val="auto"/>
              </w:rPr>
            </w:pPr>
            <w:r>
              <w:rPr>
                <w:rFonts w:ascii="Arial" w:cs="Arial" w:eastAsia="Arial" w:hAnsi="Arial"/>
                <w:sz w:val="11"/>
                <w:szCs w:val="11"/>
                <w:color w:val="auto"/>
              </w:rPr>
              <w:t>3M L+675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14,212,480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14,021,143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14,070,355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03/31/2027</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12,492,395</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12,210,715</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12,305,009</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Wildcat Buyerco, Inc.</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02/27/2026</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9"/>
              </w:rPr>
              <w:t>Electronic Equipment, Instruments, and Components</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6.00 %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9,003,293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8,881,925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8,958,277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Wildcat Buyerco, Inc. Term Loan B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02/15/2022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1,451,623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25,403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Wildcat Buyerco, Inc. Term Loan C </w:t>
            </w:r>
            <w:r>
              <w:rPr>
                <w:rFonts w:ascii="Arial" w:cs="Arial" w:eastAsia="Arial" w:hAnsi="Arial"/>
                <w:sz w:val="14"/>
                <w:szCs w:val="14"/>
                <w:color w:val="auto"/>
                <w:vertAlign w:val="superscript"/>
              </w:rPr>
              <w:t>(9)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05/11/2023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1,961,652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12,260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02/27/2026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533,824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(7,046 )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Zips Car Wash,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03/01/2024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2"/>
              </w:rPr>
              <w:t>Automobiles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7.99 %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18,458,089</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18,203,563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18,088,924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Zips Car Wash, LLC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03/01/2024</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2,546,662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(25,467 )</w:t>
            </w: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4"/>
              </w:rPr>
              <w:t>851,126,092</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842,291,665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2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Debt—0.8%</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Mailsouth Inc.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04/23/2025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15.00 %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896,967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896,967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896,967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15.00%)</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PT Network Intermediate Holdings,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8"/>
              </w:rPr>
              <w:t>11/30/24</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2,752,289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2,727,439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2,752,289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(PIK 11.00%)</w:t>
            </w: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QuantiTech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02/04/2027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760" w:type="dxa"/>
            <w:vAlign w:val="bottom"/>
          </w:tcPr>
          <w:p>
            <w:pPr>
              <w:jc w:val="right"/>
              <w:spacing w:after="0"/>
              <w:rPr>
                <w:sz w:val="20"/>
                <w:szCs w:val="20"/>
                <w:color w:val="auto"/>
              </w:rPr>
            </w:pPr>
            <w:r>
              <w:rPr>
                <w:rFonts w:ascii="Arial" w:cs="Arial" w:eastAsia="Arial" w:hAnsi="Arial"/>
                <w:sz w:val="11"/>
                <w:szCs w:val="11"/>
                <w:color w:val="auto"/>
              </w:rPr>
              <w:t>3M L+1,000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150,000</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147,326</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3,771,732</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3,799,256</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-5871210</wp:posOffset>
            </wp:positionV>
            <wp:extent cx="7132320"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-5691505</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-5348605</wp:posOffset>
            </wp:positionV>
            <wp:extent cx="713232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-5005705</wp:posOffset>
            </wp:positionV>
            <wp:extent cx="713232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-4834255</wp:posOffset>
            </wp:positionV>
            <wp:extent cx="713232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-4491355</wp:posOffset>
            </wp:positionV>
            <wp:extent cx="713232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-4319905</wp:posOffset>
            </wp:positionV>
            <wp:extent cx="713232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-4148455</wp:posOffset>
            </wp:positionV>
            <wp:extent cx="713232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-3805555</wp:posOffset>
            </wp:positionV>
            <wp:extent cx="713232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713232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-3462655</wp:posOffset>
            </wp:positionV>
            <wp:extent cx="713232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-3119755</wp:posOffset>
            </wp:positionV>
            <wp:extent cx="713232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3232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946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-5080</wp:posOffset>
            </wp:positionV>
            <wp:extent cx="260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-5080</wp:posOffset>
            </wp:positionV>
            <wp:extent cx="260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5020" cy="398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5020" cy="3987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2"/>
        </w:trPr>
        <w:tc>
          <w:tcPr>
            <w:tcW w:w="3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Basis Point</w:t>
            </w: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Current</w:t>
            </w: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3"/>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12"/>
                <w:szCs w:val="1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760" w:type="dxa"/>
            <w:vAlign w:val="bottom"/>
          </w:tcPr>
          <w:p>
            <w:pPr>
              <w:jc w:val="center"/>
              <w:spacing w:after="0" w:line="130"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160" w:type="dxa"/>
            <w:vAlign w:val="bottom"/>
          </w:tcPr>
          <w:p>
            <w:pPr>
              <w:spacing w:after="0"/>
              <w:rPr>
                <w:sz w:val="12"/>
                <w:szCs w:val="12"/>
                <w:color w:val="auto"/>
              </w:rPr>
            </w:pPr>
          </w:p>
        </w:tc>
        <w:tc>
          <w:tcPr>
            <w:tcW w:w="76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 1.7% </w:t>
            </w:r>
            <w:r>
              <w:rPr>
                <w:rFonts w:ascii="Arial" w:cs="Arial" w:eastAsia="Arial" w:hAnsi="Arial"/>
                <w:sz w:val="12"/>
                <w:szCs w:val="12"/>
                <w:b w:val="1"/>
                <w:bCs w:val="1"/>
                <w:color w:val="auto"/>
                <w:vertAlign w:val="superscript"/>
              </w:rPr>
              <w:t>(6)</w:t>
            </w: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6,720</w:t>
            </w: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672,000</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672,000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1,458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21,870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32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(7), (8)</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2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Imagine Topco, LP</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2"/>
              </w:rPr>
              <w:t>Software</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1,236,027</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1,236,027</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1,236,027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835,000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896,853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2,018,400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2,348,389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733,049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734,618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132,654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135,898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11.00 %</w:t>
            </w:r>
          </w:p>
        </w:tc>
        <w:tc>
          <w:tcPr>
            <w:tcW w:w="760" w:type="dxa"/>
            <w:vAlign w:val="bottom"/>
          </w:tcPr>
          <w:p>
            <w:pPr>
              <w:jc w:val="right"/>
              <w:spacing w:after="0"/>
              <w:rPr>
                <w:sz w:val="20"/>
                <w:szCs w:val="20"/>
                <w:color w:val="auto"/>
              </w:rPr>
            </w:pPr>
            <w:r>
              <w:rPr>
                <w:rFonts w:ascii="Arial" w:cs="Arial" w:eastAsia="Arial" w:hAnsi="Arial"/>
                <w:sz w:val="11"/>
                <w:szCs w:val="11"/>
                <w:color w:val="auto"/>
              </w:rPr>
              <w:t>3M L+1,000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429,000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548,404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12.00 %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1,323,421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1,237,495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409,011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502,327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14"/>
                <w:szCs w:val="14"/>
                <w:color w:val="auto"/>
                <w:vertAlign w:val="superscript"/>
              </w:rPr>
              <w:t>(7)</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36,686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UniTek Global Services, Inc. -</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Telecommunications</w:t>
            </w:r>
          </w:p>
        </w:tc>
        <w:tc>
          <w:tcPr>
            <w:tcW w:w="104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20.00 %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343,861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343,861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32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4"/>
                <w:szCs w:val="14"/>
                <w:color w:val="auto"/>
                <w:vertAlign w:val="superscript"/>
              </w:rPr>
              <w:t>(7)</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3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color w:val="auto"/>
              </w:rPr>
              <w:t xml:space="preserve">UniTek Global Services, Inc. - Senior Preferred Equity </w:t>
            </w:r>
            <w:r>
              <w:rPr>
                <w:rFonts w:ascii="Arial" w:cs="Arial" w:eastAsia="Arial" w:hAnsi="Arial"/>
                <w:sz w:val="12"/>
                <w:szCs w:val="12"/>
                <w:color w:val="auto"/>
                <w:vertAlign w:val="superscript"/>
              </w:rPr>
              <w:t>(7)</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9"/>
              </w:rPr>
              <w:t>Telecommunications</w:t>
            </w:r>
          </w:p>
        </w:tc>
        <w:tc>
          <w:tcPr>
            <w:tcW w:w="1040" w:type="dxa"/>
            <w:vAlign w:val="bottom"/>
            <w:gridSpan w:val="3"/>
          </w:tcPr>
          <w:p>
            <w:pPr>
              <w:jc w:val="right"/>
              <w:ind w:right="120"/>
              <w:spacing w:after="0" w:line="105" w:lineRule="exact"/>
              <w:rPr>
                <w:sz w:val="20"/>
                <w:szCs w:val="20"/>
                <w:color w:val="auto"/>
              </w:rPr>
            </w:pPr>
            <w:r>
              <w:rPr>
                <w:rFonts w:ascii="Arial" w:cs="Arial" w:eastAsia="Arial" w:hAnsi="Arial"/>
                <w:sz w:val="11"/>
                <w:szCs w:val="11"/>
                <w:color w:val="auto"/>
              </w:rPr>
              <w:t>19.00 %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448,851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448,851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13.50 %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1,047,317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670,283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2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9,310,113</w:t>
            </w: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8,349,920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Equity/Warrants— 18.3% </w:t>
            </w:r>
            <w:r>
              <w:rPr>
                <w:rFonts w:ascii="Arial" w:cs="Arial" w:eastAsia="Arial" w:hAnsi="Arial"/>
                <w:sz w:val="12"/>
                <w:szCs w:val="12"/>
                <w:b w:val="1"/>
                <w:bCs w:val="1"/>
                <w:color w:val="auto"/>
                <w:vertAlign w:val="superscript"/>
              </w:rPr>
              <w:t>(6)</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74,667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191,160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14"/>
                <w:szCs w:val="14"/>
                <w:color w:val="auto"/>
                <w:vertAlign w:val="superscript"/>
              </w:rPr>
              <w:t>(7)</w:t>
            </w:r>
          </w:p>
        </w:tc>
        <w:tc>
          <w:tcPr>
            <w:tcW w:w="780" w:type="dxa"/>
            <w:vAlign w:val="bottom"/>
            <w:gridSpan w:val="2"/>
          </w:tcPr>
          <w:p>
            <w:pPr>
              <w:jc w:val="right"/>
              <w:ind w:right="26"/>
              <w:spacing w:after="0"/>
              <w:rPr>
                <w:sz w:val="20"/>
                <w:szCs w:val="20"/>
                <w:color w:val="auto"/>
              </w:rPr>
            </w:pPr>
            <w:r>
              <w:rPr>
                <w:rFonts w:ascii="Arial" w:cs="Arial" w:eastAsia="Arial" w:hAnsi="Arial"/>
                <w:sz w:val="11"/>
                <w:szCs w:val="11"/>
                <w:color w:val="auto"/>
              </w:rPr>
              <w:t>04/10/2024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8,893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244,998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805,164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1,161,409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 (9)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1,437,500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351,000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21,908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13,603,960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 (9)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7,401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CI (Allied) Investment Holdings,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120,962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1,243,217</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612,281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32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(7), (8)</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2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13,333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200,000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Parent, LLC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38,278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421,058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558,161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Acquisition Parent Holdings, L.P.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132,289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Crash Champions Holdings, LLC </w:t>
            </w:r>
            <w:r>
              <w:rPr>
                <w:rFonts w:ascii="Arial" w:cs="Arial" w:eastAsia="Arial" w:hAnsi="Arial"/>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677,778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1,477,543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615,484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615,484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999,868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389,386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Electronic Equipment, Instruments, and Components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295,982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71,965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801,341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(7), (10)</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251,156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317,150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8,672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867,188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2,371,856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2,330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Gauge InfosoftCoInvest,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Media: Broadcasting and Subscription</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143,663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2,312,217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1,485,953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226,555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7,663,802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437,371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733,245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391,144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1,584,864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19,184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3,342,015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4,550,858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Go Dawgs Capital III, LP</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1"/>
              </w:rPr>
              <w:t>Building Products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324,675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324,675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431,818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32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(7), (8)</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3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(7), (8)</w:t>
            </w:r>
          </w:p>
        </w:tc>
        <w:tc>
          <w:tcPr>
            <w:tcW w:w="140" w:type="dxa"/>
            <w:vAlign w:val="bottom"/>
          </w:tcPr>
          <w:p>
            <w:pPr>
              <w:spacing w:after="0"/>
              <w:rPr>
                <w:sz w:val="10"/>
                <w:szCs w:val="10"/>
                <w:color w:val="auto"/>
              </w:rPr>
            </w:pP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450,000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450,000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614,151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Icon Partners V C, L.P.</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7"/>
              </w:rPr>
              <w:t>Internet Software and Services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1,851,852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1,851,852</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1,851,852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Icon Partners V C, L.P. </w:t>
            </w:r>
            <w:r>
              <w:rPr>
                <w:rFonts w:ascii="Arial" w:cs="Arial" w:eastAsia="Arial" w:hAnsi="Arial"/>
                <w:sz w:val="14"/>
                <w:szCs w:val="14"/>
                <w:color w:val="auto"/>
                <w:vertAlign w:val="superscript"/>
              </w:rPr>
              <w:t>(7)(8)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648,148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IIN Group Holdings,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7"/>
              </w:rPr>
              <w:t>Consumer Services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1,000,000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1,454,874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32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4"/>
                <w:szCs w:val="14"/>
                <w:color w:val="auto"/>
                <w:vertAlign w:val="superscript"/>
              </w:rPr>
              <w:t>(7), (8)</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3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color w:val="auto"/>
              </w:rPr>
              <w:t xml:space="preserve">Ironclad Holdco, LLC (Applied Technical Services, LLC) </w:t>
            </w:r>
            <w:r>
              <w:rPr>
                <w:rFonts w:ascii="Arial" w:cs="Arial" w:eastAsia="Arial" w:hAnsi="Arial"/>
                <w:sz w:val="12"/>
                <w:szCs w:val="12"/>
                <w:color w:val="auto"/>
                <w:vertAlign w:val="superscript"/>
              </w:rPr>
              <w:t>(7), (8)</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5,811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573,082</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702,301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(7),(8)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46,763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110,105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5,394,886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JWC-WE Holdings, L.P.</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Wholesale</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1,698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316,433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2,648,880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100"/>
              <w:spacing w:after="0" w:line="155"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(7), (8)</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Kinetic Purchaser,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1,734,775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1,734,775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1,734,775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Energy Equipment and Services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382,353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382,353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478,094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87,345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673,427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585,587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585,587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571,123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436,670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(7), (8)</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297,220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Meadowlark Title, LLC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819,231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819,231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819,231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MSpark, LLC (Mailsouth Inc.)</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1"/>
              </w:rPr>
              <w:t>Media: Advertising, Printing and Publishing</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3,988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1,287,502</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1,973,370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2,005,405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1,973,370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1,494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1,451,801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1,483,031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14,960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14,960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1,511,875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w w:val="88"/>
              </w:rPr>
              <w:t xml:space="preserve">OceanSound Discovery Equity, LP (Holdco Sands Intermediate, LLC) </w:t>
            </w:r>
            <w:r>
              <w:rPr>
                <w:rFonts w:ascii="Arial" w:cs="Arial" w:eastAsia="Arial" w:hAnsi="Arial"/>
                <w:sz w:val="14"/>
                <w:szCs w:val="14"/>
                <w:color w:val="auto"/>
                <w:w w:val="88"/>
                <w:vertAlign w:val="superscript"/>
              </w:rPr>
              <w:t>(7), (8)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173,638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1,729,029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2,670,243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OHCP V BC COI, L.P.</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743,750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743,750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743,750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OHCP V BC COI, L.P. </w:t>
            </w:r>
            <w:r>
              <w:rPr>
                <w:rFonts w:ascii="Arial" w:cs="Arial" w:eastAsia="Arial" w:hAnsi="Arial"/>
                <w:sz w:val="14"/>
                <w:szCs w:val="14"/>
                <w:color w:val="auto"/>
                <w:vertAlign w:val="superscript"/>
              </w:rPr>
              <w:t>(8)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506,250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w w:val="91"/>
              </w:rPr>
              <w:t xml:space="preserve">Oral Surgery (ITC) Holdings, LLC (OIS Management Services, LLC) </w:t>
            </w:r>
            <w:r>
              <w:rPr>
                <w:rFonts w:ascii="Arial" w:cs="Arial" w:eastAsia="Arial" w:hAnsi="Arial"/>
                <w:sz w:val="14"/>
                <w:szCs w:val="14"/>
                <w:color w:val="auto"/>
                <w:w w:val="91"/>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3,872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83,333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94,809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1,474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114,699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14"/>
                <w:szCs w:val="14"/>
                <w:color w:val="auto"/>
                <w:vertAlign w:val="superscript"/>
              </w:rPr>
              <w:t>(7)</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11,167,847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11,167,847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11,428,089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Pink Lily Holdco, LLC (PL Acquisitions,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0"/>
              </w:rPr>
              <w:t>Textiles, Apparel and Luxury Goods</w:t>
            </w:r>
          </w:p>
        </w:tc>
        <w:tc>
          <w:tcPr>
            <w:tcW w:w="140" w:type="dxa"/>
            <w:vAlign w:val="bottom"/>
          </w:tcPr>
          <w:p>
            <w:pPr>
              <w:spacing w:after="0"/>
              <w:rPr>
                <w:sz w:val="9"/>
                <w:szCs w:val="9"/>
                <w:color w:val="auto"/>
              </w:rPr>
            </w:pPr>
          </w:p>
        </w:tc>
        <w:tc>
          <w:tcPr>
            <w:tcW w:w="90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1,735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1,734,775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1,627,623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301,730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5,660,238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65,957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338,275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 (9)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40,378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14"/>
                <w:szCs w:val="14"/>
                <w:color w:val="auto"/>
                <w:vertAlign w:val="superscript"/>
              </w:rPr>
              <w:t>(7)</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1,050,000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1,154,150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-6617335</wp:posOffset>
            </wp:positionV>
            <wp:extent cx="7132320"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-6360160</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-6188710</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-6017260</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-5845810</wp:posOffset>
            </wp:positionV>
            <wp:extent cx="713232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-5674360</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-5417185</wp:posOffset>
            </wp:positionV>
            <wp:extent cx="7132320" cy="93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-5228590</wp:posOffset>
            </wp:positionV>
            <wp:extent cx="713232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-5057140</wp:posOffset>
            </wp:positionV>
            <wp:extent cx="7132320"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-4885690</wp:posOffset>
            </wp:positionV>
            <wp:extent cx="7132320"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-4714240</wp:posOffset>
            </wp:positionV>
            <wp:extent cx="713232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-4542790</wp:posOffset>
            </wp:positionV>
            <wp:extent cx="7132320" cy="85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713232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-3685540</wp:posOffset>
            </wp:positionV>
            <wp:extent cx="7132320" cy="857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71323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85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85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5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02"/>
        </w:trPr>
        <w:tc>
          <w:tcPr>
            <w:tcW w:w="3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3"/>
              </w:rPr>
              <w:t>Basis Point</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Current</w:t>
            </w:r>
          </w:p>
        </w:tc>
        <w:tc>
          <w:tcPr>
            <w:tcW w:w="16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Maturity</w:t>
            </w:r>
          </w:p>
        </w:tc>
        <w:tc>
          <w:tcPr>
            <w:tcW w:w="16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3"/>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82"/>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2"/>
        </w:trPr>
        <w:tc>
          <w:tcPr>
            <w:tcW w:w="350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60" w:type="dxa"/>
            <w:vAlign w:val="bottom"/>
          </w:tcPr>
          <w:p>
            <w:pPr>
              <w:spacing w:after="0"/>
              <w:rPr>
                <w:sz w:val="12"/>
                <w:szCs w:val="12"/>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16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00" w:type="dxa"/>
            <w:vAlign w:val="bottom"/>
          </w:tcPr>
          <w:p>
            <w:pPr>
              <w:ind w:left="20"/>
              <w:spacing w:after="0" w:line="105" w:lineRule="exact"/>
              <w:rPr>
                <w:sz w:val="20"/>
                <w:szCs w:val="20"/>
                <w:color w:val="auto"/>
              </w:rPr>
            </w:pPr>
            <w:r>
              <w:rPr>
                <w:rFonts w:ascii="Arial" w:cs="Arial" w:eastAsia="Arial" w:hAnsi="Arial"/>
                <w:sz w:val="9"/>
                <w:szCs w:val="9"/>
                <w:color w:val="auto"/>
              </w:rPr>
              <w:t xml:space="preserve">SBI Holdings Investments LLC (Sales Benchmark Index LLC) </w:t>
            </w:r>
            <w:r>
              <w:rPr>
                <w:rFonts w:ascii="Arial" w:cs="Arial" w:eastAsia="Arial" w:hAnsi="Arial"/>
                <w:sz w:val="12"/>
                <w:szCs w:val="12"/>
                <w:color w:val="auto"/>
                <w:vertAlign w:val="superscript"/>
              </w:rPr>
              <w:t>(7), (8)</w:t>
            </w: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ind w:left="460"/>
              <w:spacing w:after="0" w:line="105"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234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9"/>
                <w:szCs w:val="9"/>
                <w:color w:val="auto"/>
              </w:rPr>
            </w:pPr>
          </w:p>
        </w:tc>
        <w:tc>
          <w:tcPr>
            <w:tcW w:w="7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64,634</w:t>
            </w:r>
          </w:p>
        </w:tc>
        <w:tc>
          <w:tcPr>
            <w:tcW w:w="140" w:type="dxa"/>
            <w:vAlign w:val="bottom"/>
          </w:tcPr>
          <w:p>
            <w:pPr>
              <w:spacing w:after="0"/>
              <w:rPr>
                <w:sz w:val="9"/>
                <w:szCs w:val="9"/>
                <w:color w:val="auto"/>
              </w:rPr>
            </w:pPr>
          </w:p>
        </w:tc>
        <w:tc>
          <w:tcPr>
            <w:tcW w:w="1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646,341</w:t>
            </w:r>
          </w:p>
        </w:tc>
        <w:tc>
          <w:tcPr>
            <w:tcW w:w="140" w:type="dxa"/>
            <w:vAlign w:val="bottom"/>
          </w:tcPr>
          <w:p>
            <w:pPr>
              <w:spacing w:after="0"/>
              <w:rPr>
                <w:sz w:val="9"/>
                <w:szCs w:val="9"/>
                <w:color w:val="auto"/>
              </w:rPr>
            </w:pPr>
          </w:p>
        </w:tc>
        <w:tc>
          <w:tcPr>
            <w:tcW w:w="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553,446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500" w:type="dxa"/>
            <w:vAlign w:val="bottom"/>
            <w:gridSpan w:val="3"/>
          </w:tcPr>
          <w:p>
            <w:pPr>
              <w:ind w:left="20"/>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69,654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0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SP L2 Holdings, LLC (Ledge Lounger, Inc.)</w:t>
            </w:r>
          </w:p>
        </w:tc>
        <w:tc>
          <w:tcPr>
            <w:tcW w:w="580" w:type="dxa"/>
            <w:vAlign w:val="bottom"/>
            <w:shd w:val="clear" w:color="auto" w:fill="CCECFF"/>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360,103</w:t>
            </w: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360,103</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360,103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500" w:type="dxa"/>
            <w:vAlign w:val="bottom"/>
            <w:gridSpan w:val="3"/>
          </w:tcPr>
          <w:p>
            <w:pPr>
              <w:ind w:left="20"/>
              <w:spacing w:after="0" w:line="105" w:lineRule="exact"/>
              <w:rPr>
                <w:sz w:val="20"/>
                <w:szCs w:val="20"/>
                <w:color w:val="auto"/>
              </w:rPr>
            </w:pPr>
            <w:r>
              <w:rPr>
                <w:rFonts w:ascii="Arial" w:cs="Arial" w:eastAsia="Arial" w:hAnsi="Arial"/>
                <w:sz w:val="11"/>
                <w:szCs w:val="11"/>
                <w:color w:val="auto"/>
              </w:rPr>
              <w:t>SSC Dominion Holdings, LLC</w:t>
            </w:r>
          </w:p>
        </w:tc>
        <w:tc>
          <w:tcPr>
            <w:tcW w:w="580" w:type="dxa"/>
            <w:vAlign w:val="bottom"/>
          </w:tcPr>
          <w:p>
            <w:pPr>
              <w:ind w:left="460"/>
              <w:spacing w:after="0" w:line="105"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91"/>
              </w:rPr>
              <w:t>Capital Equipment</w:t>
            </w:r>
          </w:p>
        </w:tc>
        <w:tc>
          <w:tcPr>
            <w:tcW w:w="140" w:type="dxa"/>
            <w:vAlign w:val="bottom"/>
          </w:tcPr>
          <w:p>
            <w:pPr>
              <w:spacing w:after="0"/>
              <w:rPr>
                <w:sz w:val="9"/>
                <w:szCs w:val="9"/>
                <w:color w:val="auto"/>
              </w:rPr>
            </w:pPr>
          </w:p>
        </w:tc>
        <w:tc>
          <w:tcPr>
            <w:tcW w:w="820" w:type="dxa"/>
            <w:vAlign w:val="bottom"/>
            <w:gridSpan w:val="2"/>
          </w:tcPr>
          <w:p>
            <w:pPr>
              <w:jc w:val="right"/>
              <w:ind w:right="140"/>
              <w:spacing w:after="0" w:line="10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500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500,000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629,856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500" w:type="dxa"/>
            <w:vAlign w:val="bottom"/>
            <w:gridSpan w:val="3"/>
          </w:tcPr>
          <w:p>
            <w:pPr>
              <w:ind w:left="10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4"/>
                <w:szCs w:val="14"/>
                <w:color w:val="auto"/>
                <w:vertAlign w:val="superscript"/>
              </w:rPr>
              <w:t>(7)</w:t>
            </w:r>
          </w:p>
        </w:tc>
        <w:tc>
          <w:tcPr>
            <w:tcW w:w="580" w:type="dxa"/>
            <w:vAlign w:val="bottom"/>
            <w:vMerge w:val="restart"/>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color w:val="auto"/>
                <w:w w:val="91"/>
              </w:rPr>
              <w:t>Capital Equipment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1,243,271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300" w:type="dxa"/>
            <w:vAlign w:val="bottom"/>
          </w:tcPr>
          <w:p>
            <w:pPr>
              <w:ind w:left="20"/>
              <w:spacing w:after="0" w:line="105" w:lineRule="exact"/>
              <w:rPr>
                <w:sz w:val="20"/>
                <w:szCs w:val="20"/>
                <w:color w:val="auto"/>
              </w:rPr>
            </w:pPr>
            <w:r>
              <w:rPr>
                <w:rFonts w:ascii="Arial" w:cs="Arial" w:eastAsia="Arial" w:hAnsi="Arial"/>
                <w:sz w:val="11"/>
                <w:szCs w:val="11"/>
                <w:color w:val="auto"/>
              </w:rPr>
              <w:t>SSC Dominion Holdings, LLC</w:t>
            </w:r>
          </w:p>
        </w:tc>
        <w:tc>
          <w:tcPr>
            <w:tcW w:w="200" w:type="dxa"/>
            <w:vAlign w:val="bottom"/>
            <w:gridSpan w:val="2"/>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30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4"/>
                <w:szCs w:val="14"/>
                <w:color w:val="auto"/>
                <w:vertAlign w:val="superscript"/>
              </w:rPr>
              <w:t>(7)</w:t>
            </w:r>
          </w:p>
        </w:tc>
        <w:tc>
          <w:tcPr>
            <w:tcW w:w="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00" w:type="dxa"/>
            <w:vAlign w:val="bottom"/>
            <w:tcBorders>
              <w:bottom w:val="single" w:sz="8" w:color="CCECFF"/>
            </w:tcBorders>
            <w:gridSpan w:val="2"/>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234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00" w:type="dxa"/>
            <w:vAlign w:val="bottom"/>
          </w:tcPr>
          <w:p>
            <w:pPr>
              <w:ind w:left="20"/>
              <w:spacing w:after="0" w:line="105" w:lineRule="exact"/>
              <w:rPr>
                <w:sz w:val="20"/>
                <w:szCs w:val="20"/>
                <w:color w:val="auto"/>
              </w:rPr>
            </w:pPr>
            <w:r>
              <w:rPr>
                <w:rFonts w:ascii="Arial" w:cs="Arial" w:eastAsia="Arial" w:hAnsi="Arial"/>
                <w:sz w:val="9"/>
                <w:szCs w:val="9"/>
                <w:color w:val="auto"/>
              </w:rPr>
              <w:t xml:space="preserve">StellPen Holdings, LLC (CF512, Inc.) </w:t>
            </w:r>
            <w:r>
              <w:rPr>
                <w:rFonts w:ascii="Arial" w:cs="Arial" w:eastAsia="Arial" w:hAnsi="Arial"/>
                <w:sz w:val="12"/>
                <w:szCs w:val="12"/>
                <w:color w:val="auto"/>
                <w:vertAlign w:val="superscript"/>
              </w:rPr>
              <w:t>(7)</w:t>
            </w:r>
          </w:p>
        </w:tc>
        <w:tc>
          <w:tcPr>
            <w:tcW w:w="200" w:type="dxa"/>
            <w:vAlign w:val="bottom"/>
            <w:gridSpan w:val="2"/>
          </w:tcPr>
          <w:p>
            <w:pPr>
              <w:spacing w:after="0"/>
              <w:rPr>
                <w:sz w:val="9"/>
                <w:szCs w:val="9"/>
                <w:color w:val="auto"/>
              </w:rPr>
            </w:pPr>
          </w:p>
        </w:tc>
        <w:tc>
          <w:tcPr>
            <w:tcW w:w="580" w:type="dxa"/>
            <w:vAlign w:val="bottom"/>
          </w:tcPr>
          <w:p>
            <w:pPr>
              <w:ind w:left="460"/>
              <w:spacing w:after="0" w:line="105"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9"/>
                <w:szCs w:val="9"/>
                <w:color w:val="auto"/>
              </w:rPr>
            </w:pPr>
          </w:p>
        </w:tc>
        <w:tc>
          <w:tcPr>
            <w:tcW w:w="820" w:type="dxa"/>
            <w:vAlign w:val="bottom"/>
            <w:gridSpan w:val="2"/>
          </w:tcPr>
          <w:p>
            <w:pPr>
              <w:jc w:val="right"/>
              <w:ind w:right="140"/>
              <w:spacing w:after="0" w:line="10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161,538</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161,538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189,000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50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488,372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488,372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503,023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50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Tower Arch Infolinks Media, LP (Infolinks Media Buyco, LLC)</w:t>
            </w: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9"/>
                <w:szCs w:val="9"/>
                <w:color w:val="auto"/>
              </w:rPr>
            </w:pPr>
          </w:p>
        </w:tc>
        <w:tc>
          <w:tcPr>
            <w:tcW w:w="82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215,326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215,326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215,326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Tower Arch Infolinks Media, LP (Infolinks Media Buyco, LLC)</w:t>
            </w:r>
            <w:r>
              <w:rPr>
                <w:rFonts w:ascii="Arial" w:cs="Arial" w:eastAsia="Arial" w:hAnsi="Arial"/>
                <w:sz w:val="14"/>
                <w:szCs w:val="14"/>
                <w:color w:val="auto"/>
                <w:vertAlign w:val="superscript"/>
              </w:rPr>
              <w:t>(8)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150,280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21,527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21,531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6,029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749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213,739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23,889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412,768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500" w:type="dxa"/>
            <w:vAlign w:val="bottom"/>
            <w:gridSpan w:val="3"/>
          </w:tcPr>
          <w:p>
            <w:pPr>
              <w:ind w:left="20"/>
              <w:spacing w:after="0"/>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2,240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223,995</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411,037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Total Common Equity/Warrants</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44,090,309</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90,897,339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0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w w:val="91"/>
              </w:rPr>
              <w:t>Total Investments in Non-Controlled, Non-Affiliated Portfolio Companies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908,298,246</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945,338,180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88"/>
              </w:rPr>
              <w:t xml:space="preserve">Investments in Non-Controlled, Affiliated Portfolio Companies—0.1% </w:t>
            </w:r>
            <w:r>
              <w:rPr>
                <w:rFonts w:ascii="Arial" w:cs="Arial" w:eastAsia="Arial" w:hAnsi="Arial"/>
                <w:sz w:val="14"/>
                <w:szCs w:val="14"/>
                <w:b w:val="1"/>
                <w:bCs w:val="1"/>
                <w:color w:val="auto"/>
                <w:w w:val="88"/>
                <w:vertAlign w:val="superscript"/>
              </w:rPr>
              <w:t>(3), (4)</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500" w:type="dxa"/>
            <w:vAlign w:val="bottom"/>
            <w:gridSpan w:val="3"/>
          </w:tcPr>
          <w:p>
            <w:pPr>
              <w:ind w:left="20"/>
              <w:spacing w:after="0"/>
              <w:rPr>
                <w:sz w:val="20"/>
                <w:szCs w:val="20"/>
                <w:color w:val="auto"/>
              </w:rPr>
            </w:pPr>
            <w:r>
              <w:rPr>
                <w:rFonts w:ascii="Arial" w:cs="Arial" w:eastAsia="Arial" w:hAnsi="Arial"/>
                <w:sz w:val="11"/>
                <w:szCs w:val="11"/>
                <w:b w:val="1"/>
                <w:bCs w:val="1"/>
                <w:color w:val="auto"/>
              </w:rPr>
              <w:t>Second Lien Secured Debt—0.1%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20" w:type="dxa"/>
            <w:vAlign w:val="bottom"/>
            <w:gridSpan w:val="4"/>
            <w:vMerge w:val="restart"/>
          </w:tcPr>
          <w:p>
            <w:pPr>
              <w:jc w:val="right"/>
              <w:ind w:right="4"/>
              <w:spacing w:after="0"/>
              <w:rPr>
                <w:sz w:val="20"/>
                <w:szCs w:val="20"/>
                <w:color w:val="auto"/>
              </w:rPr>
            </w:pPr>
            <w:r>
              <w:rPr>
                <w:rFonts w:ascii="Arial" w:cs="Arial" w:eastAsia="Arial" w:hAnsi="Arial"/>
                <w:sz w:val="11"/>
                <w:szCs w:val="11"/>
                <w:color w:val="auto"/>
              </w:rPr>
              <w:t xml:space="preserve">11.00 % </w:t>
            </w:r>
            <w:r>
              <w:rPr>
                <w:rFonts w:ascii="Arial" w:cs="Arial" w:eastAsia="Arial" w:hAnsi="Arial"/>
                <w:sz w:val="14"/>
                <w:szCs w:val="14"/>
                <w:color w:val="auto"/>
                <w:vertAlign w:val="superscript"/>
              </w:rPr>
              <w:t>(6)</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rPr>
                <w:sz w:val="20"/>
                <w:szCs w:val="20"/>
                <w:color w:val="auto"/>
              </w:rPr>
            </w:pPr>
            <w:r>
              <w:rPr>
                <w:rFonts w:ascii="Arial" w:cs="Arial" w:eastAsia="Arial" w:hAnsi="Arial"/>
                <w:sz w:val="11"/>
                <w:szCs w:val="11"/>
                <w:color w:val="auto"/>
              </w:rPr>
              <w:t>DBI Holdings, LLC, Term Loan B</w:t>
            </w:r>
          </w:p>
        </w:tc>
        <w:tc>
          <w:tcPr>
            <w:tcW w:w="580" w:type="dxa"/>
            <w:vAlign w:val="bottom"/>
          </w:tcPr>
          <w:p>
            <w:pPr>
              <w:spacing w:after="0"/>
              <w:rPr>
                <w:sz w:val="20"/>
                <w:szCs w:val="20"/>
                <w:color w:val="auto"/>
              </w:rPr>
            </w:pPr>
            <w:r>
              <w:rPr>
                <w:rFonts w:ascii="Arial" w:cs="Arial" w:eastAsia="Arial" w:hAnsi="Arial"/>
                <w:sz w:val="11"/>
                <w:szCs w:val="11"/>
                <w:color w:val="auto"/>
              </w:rPr>
              <w:t>02/02/2026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4"/>
            <w:vMerge w:val="continue"/>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3,404,590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3,404,590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ind w:left="20"/>
              <w:spacing w:after="0"/>
              <w:rPr>
                <w:sz w:val="20"/>
                <w:szCs w:val="20"/>
                <w:color w:val="auto"/>
              </w:rPr>
            </w:pPr>
            <w:r>
              <w:rPr>
                <w:rFonts w:ascii="Arial" w:cs="Arial" w:eastAsia="Arial" w:hAnsi="Arial"/>
                <w:sz w:val="11"/>
                <w:szCs w:val="11"/>
                <w:color w:val="auto"/>
              </w:rPr>
              <w:t xml:space="preserve">DBI Holding, LLC - 1.5 Lien Term Loan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(PIK 3.00%)</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00" w:type="dxa"/>
            <w:vAlign w:val="bottom"/>
            <w:vMerge w:val="continue"/>
          </w:tcPr>
          <w:p>
            <w:pPr>
              <w:spacing w:after="0"/>
              <w:rPr>
                <w:sz w:val="12"/>
                <w:szCs w:val="12"/>
                <w:color w:val="auto"/>
              </w:rPr>
            </w:pPr>
          </w:p>
        </w:tc>
        <w:tc>
          <w:tcPr>
            <w:tcW w:w="200" w:type="dxa"/>
            <w:vAlign w:val="bottom"/>
            <w:gridSpan w:val="2"/>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1"/>
                <w:szCs w:val="11"/>
                <w:color w:val="auto"/>
              </w:rPr>
              <w:t>05/01/2023</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14.00 %</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2,189,596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2,189,596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640,457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14.00%)</w:t>
            </w: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00" w:type="dxa"/>
            <w:vAlign w:val="bottom"/>
            <w:vMerge w:val="continue"/>
          </w:tcPr>
          <w:p>
            <w:pPr>
              <w:spacing w:after="0"/>
              <w:rPr>
                <w:sz w:val="10"/>
                <w:szCs w:val="10"/>
                <w:color w:val="auto"/>
              </w:rPr>
            </w:pPr>
          </w:p>
        </w:tc>
        <w:tc>
          <w:tcPr>
            <w:tcW w:w="2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5,594,186</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640,457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500" w:type="dxa"/>
            <w:vAlign w:val="bottom"/>
            <w:gridSpan w:val="3"/>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 0.0% </w:t>
            </w:r>
            <w:r>
              <w:rPr>
                <w:rFonts w:ascii="Arial" w:cs="Arial" w:eastAsia="Arial" w:hAnsi="Arial"/>
                <w:sz w:val="12"/>
                <w:szCs w:val="12"/>
                <w:b w:val="1"/>
                <w:bCs w:val="1"/>
                <w:color w:val="auto"/>
                <w:vertAlign w:val="superscript"/>
              </w:rPr>
              <w:t>(6)</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120" w:type="dxa"/>
            <w:vAlign w:val="bottom"/>
            <w:gridSpan w:val="4"/>
            <w:vMerge w:val="restart"/>
          </w:tcPr>
          <w:p>
            <w:pPr>
              <w:jc w:val="right"/>
              <w:ind w:right="4"/>
              <w:spacing w:after="0"/>
              <w:rPr>
                <w:sz w:val="20"/>
                <w:szCs w:val="20"/>
                <w:color w:val="auto"/>
              </w:rPr>
            </w:pPr>
            <w:r>
              <w:rPr>
                <w:rFonts w:ascii="Arial" w:cs="Arial" w:eastAsia="Arial" w:hAnsi="Arial"/>
                <w:sz w:val="11"/>
                <w:szCs w:val="11"/>
                <w:color w:val="auto"/>
              </w:rPr>
              <w:t xml:space="preserve">14.00 % </w:t>
            </w:r>
            <w:r>
              <w:rPr>
                <w:rFonts w:ascii="Arial" w:cs="Arial" w:eastAsia="Arial" w:hAnsi="Arial"/>
                <w:sz w:val="14"/>
                <w:szCs w:val="14"/>
                <w:color w:val="auto"/>
                <w:vertAlign w:val="superscript"/>
              </w:rPr>
              <w:t>(6)</w:t>
            </w: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14"/>
                <w:szCs w:val="14"/>
                <w:color w:val="auto"/>
                <w:vertAlign w:val="superscript"/>
              </w:rPr>
              <w:t>(8)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4"/>
            <w:vMerge w:val="continue"/>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9,488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7,040,844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500" w:type="dxa"/>
            <w:vAlign w:val="bottom"/>
            <w:gridSpan w:val="3"/>
          </w:tcPr>
          <w:p>
            <w:pPr>
              <w:ind w:left="20"/>
              <w:spacing w:after="0"/>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14"/>
                <w:szCs w:val="14"/>
                <w:color w:val="auto"/>
                <w:vertAlign w:val="superscript"/>
              </w:rPr>
              <w:t>(8)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9,800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9,414,271</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10" w:lineRule="exact"/>
              <w:rPr>
                <w:sz w:val="20"/>
                <w:szCs w:val="20"/>
                <w:color w:val="auto"/>
              </w:rPr>
            </w:pPr>
            <w:r>
              <w:rPr>
                <w:rFonts w:ascii="Arial" w:cs="Arial" w:eastAsia="Arial" w:hAnsi="Arial"/>
                <w:sz w:val="11"/>
                <w:szCs w:val="11"/>
                <w:color w:val="auto"/>
              </w:rPr>
              <w:t>16,455,115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2"/>
              <w:spacing w:after="0" w:line="11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3500" w:type="dxa"/>
            <w:vAlign w:val="bottom"/>
            <w:gridSpan w:val="3"/>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 0.0% </w:t>
            </w:r>
            <w:r>
              <w:rPr>
                <w:rFonts w:ascii="Arial" w:cs="Arial" w:eastAsia="Arial" w:hAnsi="Arial"/>
                <w:sz w:val="12"/>
                <w:szCs w:val="12"/>
                <w:b w:val="1"/>
                <w:bCs w:val="1"/>
                <w:color w:val="auto"/>
                <w:vertAlign w:val="superscript"/>
              </w:rPr>
              <w:t>(6)</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500" w:type="dxa"/>
            <w:vAlign w:val="bottom"/>
            <w:gridSpan w:val="3"/>
          </w:tcPr>
          <w:p>
            <w:pPr>
              <w:ind w:left="20"/>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14"/>
                <w:szCs w:val="14"/>
                <w:color w:val="auto"/>
                <w:vertAlign w:val="superscript"/>
              </w:rPr>
              <w:t>(8)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1,489,508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330,791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5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w:t>
            </w: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330,791</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0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w w:val="97"/>
              </w:rPr>
              <w:t>Total Investments in Non-Controlled, Affiliated Portfolio Companies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22,380,092</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640,457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2"/>
              </w:rPr>
              <w:t xml:space="preserve">Investments in Controlled, Affiliated Portfolio Companies—47.0% </w:t>
            </w:r>
            <w:r>
              <w:rPr>
                <w:rFonts w:ascii="Arial" w:cs="Arial" w:eastAsia="Arial" w:hAnsi="Arial"/>
                <w:sz w:val="14"/>
                <w:szCs w:val="14"/>
                <w:b w:val="1"/>
                <w:bCs w:val="1"/>
                <w:color w:val="auto"/>
                <w:w w:val="92"/>
                <w:vertAlign w:val="superscript"/>
              </w:rPr>
              <w:t>(3), (4)</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5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First Lien Secured Debt—36.7%</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00" w:type="dxa"/>
            <w:vAlign w:val="bottom"/>
          </w:tcPr>
          <w:p>
            <w:pPr>
              <w:ind w:left="20"/>
              <w:spacing w:after="0"/>
              <w:rPr>
                <w:sz w:val="20"/>
                <w:szCs w:val="20"/>
                <w:color w:val="auto"/>
              </w:rPr>
            </w:pPr>
            <w:r>
              <w:rPr>
                <w:rFonts w:ascii="Arial" w:cs="Arial" w:eastAsia="Arial" w:hAnsi="Arial"/>
                <w:sz w:val="11"/>
                <w:szCs w:val="11"/>
                <w:color w:val="auto"/>
              </w:rPr>
              <w:t xml:space="preserve">Marketplace Events, LLC - Super Priority First Lien Term Loan </w:t>
            </w:r>
            <w:r>
              <w:rPr>
                <w:rFonts w:ascii="Arial" w:cs="Arial" w:eastAsia="Arial" w:hAnsi="Arial"/>
                <w:sz w:val="14"/>
                <w:szCs w:val="14"/>
                <w:color w:val="auto"/>
                <w:vertAlign w:val="superscript"/>
              </w:rPr>
              <w:t>(7)</w:t>
            </w:r>
          </w:p>
        </w:tc>
        <w:tc>
          <w:tcPr>
            <w:tcW w:w="200" w:type="dxa"/>
            <w:vAlign w:val="bottom"/>
            <w:gridSpan w:val="2"/>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1"/>
                <w:szCs w:val="11"/>
                <w:color w:val="auto"/>
              </w:rPr>
              <w:t>09/30/2025</w:t>
            </w:r>
          </w:p>
        </w:tc>
        <w:tc>
          <w:tcPr>
            <w:tcW w:w="1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6.25 %</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3,472,075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3,472,075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3,472,075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ind w:left="20"/>
              <w:spacing w:after="0"/>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14"/>
                <w:szCs w:val="14"/>
                <w:color w:val="auto"/>
                <w:vertAlign w:val="superscript"/>
              </w:rPr>
              <w:t>(7), (9)</w:t>
            </w:r>
          </w:p>
        </w:tc>
        <w:tc>
          <w:tcPr>
            <w:tcW w:w="1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6.25%)</w:t>
            </w: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00" w:type="dxa"/>
            <w:vAlign w:val="bottom"/>
            <w:vMerge w:val="continue"/>
          </w:tcPr>
          <w:p>
            <w:pPr>
              <w:spacing w:after="0"/>
              <w:rPr>
                <w:sz w:val="10"/>
                <w:szCs w:val="10"/>
                <w:color w:val="auto"/>
              </w:rPr>
            </w:pPr>
          </w:p>
        </w:tc>
        <w:tc>
          <w:tcPr>
            <w:tcW w:w="200" w:type="dxa"/>
            <w:vAlign w:val="bottom"/>
            <w:gridSpan w:val="2"/>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color w:val="auto"/>
              </w:rPr>
              <w:t>09/30/2025</w:t>
            </w:r>
          </w:p>
        </w:tc>
        <w:tc>
          <w:tcPr>
            <w:tcW w:w="16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91"/>
              </w:rPr>
              <w:t>Media: Diversified and Production</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vMerge w:val="restart"/>
          </w:tcPr>
          <w:p>
            <w:pPr>
              <w:jc w:val="right"/>
              <w:ind w:right="4"/>
              <w:spacing w:after="0"/>
              <w:rPr>
                <w:sz w:val="20"/>
                <w:szCs w:val="20"/>
                <w:color w:val="auto"/>
              </w:rPr>
            </w:pPr>
            <w:r>
              <w:rPr>
                <w:rFonts w:ascii="Arial" w:cs="Arial" w:eastAsia="Arial" w:hAnsi="Arial"/>
                <w:sz w:val="7"/>
                <w:szCs w:val="7"/>
                <w:color w:val="auto"/>
              </w:rPr>
              <w:t>(6)</w:t>
            </w: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3,260,502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2"/>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50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Marketplace Events, LLC</w:t>
            </w:r>
          </w:p>
        </w:tc>
        <w:tc>
          <w:tcPr>
            <w:tcW w:w="580" w:type="dxa"/>
            <w:vAlign w:val="bottom"/>
          </w:tcPr>
          <w:p>
            <w:pPr>
              <w:spacing w:after="0" w:line="115" w:lineRule="exact"/>
              <w:rPr>
                <w:sz w:val="20"/>
                <w:szCs w:val="20"/>
                <w:color w:val="auto"/>
              </w:rPr>
            </w:pPr>
            <w:r>
              <w:rPr>
                <w:rFonts w:ascii="Arial" w:cs="Arial" w:eastAsia="Arial" w:hAnsi="Arial"/>
                <w:sz w:val="11"/>
                <w:szCs w:val="11"/>
                <w:color w:val="auto"/>
              </w:rPr>
              <w:t>09/30/2026</w:t>
            </w:r>
          </w:p>
        </w:tc>
        <w:tc>
          <w:tcPr>
            <w:tcW w:w="16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Diversified and Production</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0.00 %</w:t>
            </w:r>
          </w:p>
        </w:tc>
        <w:tc>
          <w:tcPr>
            <w:tcW w:w="160" w:type="dxa"/>
            <w:vAlign w:val="bottom"/>
            <w:vMerge w:val="continue"/>
          </w:tcPr>
          <w:p>
            <w:pPr>
              <w:spacing w:after="0"/>
              <w:rPr>
                <w:sz w:val="9"/>
                <w:szCs w:val="9"/>
                <w:color w:val="auto"/>
              </w:rPr>
            </w:pPr>
          </w:p>
        </w:tc>
        <w:tc>
          <w:tcPr>
            <w:tcW w:w="7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25,541,622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19,046,876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25,949,579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500" w:type="dxa"/>
            <w:vAlign w:val="bottom"/>
            <w:gridSpan w:val="3"/>
          </w:tcPr>
          <w:p>
            <w:pPr>
              <w:ind w:left="20"/>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580" w:type="dxa"/>
            <w:vAlign w:val="bottom"/>
          </w:tcPr>
          <w:p>
            <w:pPr>
              <w:spacing w:after="0"/>
              <w:rPr>
                <w:sz w:val="20"/>
                <w:szCs w:val="20"/>
                <w:color w:val="auto"/>
              </w:rPr>
            </w:pPr>
            <w:r>
              <w:rPr>
                <w:rFonts w:ascii="Arial" w:cs="Arial" w:eastAsia="Arial" w:hAnsi="Arial"/>
                <w:sz w:val="11"/>
                <w:szCs w:val="11"/>
                <w:color w:val="auto"/>
              </w:rPr>
              <w:t>05/06/2024</w:t>
            </w:r>
          </w:p>
        </w:tc>
        <w:tc>
          <w:tcPr>
            <w:tcW w:w="1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8.13 %</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3M L+800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153,125,000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153,125,000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153,125,000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175,643,951</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182,546,654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500" w:type="dxa"/>
            <w:vAlign w:val="bottom"/>
            <w:gridSpan w:val="3"/>
          </w:tcPr>
          <w:p>
            <w:pPr>
              <w:ind w:left="20"/>
              <w:spacing w:after="0" w:line="99" w:lineRule="exact"/>
              <w:rPr>
                <w:sz w:val="20"/>
                <w:szCs w:val="20"/>
                <w:color w:val="auto"/>
              </w:rPr>
            </w:pPr>
            <w:r>
              <w:rPr>
                <w:rFonts w:ascii="Arial" w:cs="Arial" w:eastAsia="Arial" w:hAnsi="Arial"/>
                <w:sz w:val="11"/>
                <w:szCs w:val="11"/>
                <w:b w:val="1"/>
                <w:bCs w:val="1"/>
                <w:color w:val="auto"/>
              </w:rPr>
              <w:t>Equity Interests—10.3%</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3,156,172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500" w:type="dxa"/>
            <w:vAlign w:val="bottom"/>
            <w:gridSpan w:val="3"/>
          </w:tcPr>
          <w:p>
            <w:pPr>
              <w:ind w:left="20"/>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65,625</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65,625,000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48,140,079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Equity Interests</w:t>
            </w: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65,625,000</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51,296,251</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241,268,951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233,842,905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Investments—237.2%</w:t>
            </w: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1,171,947,289</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0"/>
              </w:rPr>
              <w:t>1,179,821,542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gridSpan w:val="3"/>
          </w:tcPr>
          <w:p>
            <w:pPr>
              <w:ind w:left="20"/>
              <w:spacing w:after="0"/>
              <w:rPr>
                <w:sz w:val="20"/>
                <w:szCs w:val="20"/>
                <w:color w:val="auto"/>
              </w:rPr>
            </w:pPr>
            <w:r>
              <w:rPr>
                <w:rFonts w:ascii="Arial" w:cs="Arial" w:eastAsia="Arial" w:hAnsi="Arial"/>
                <w:sz w:val="11"/>
                <w:szCs w:val="11"/>
                <w:b w:val="1"/>
                <w:bCs w:val="1"/>
                <w:color w:val="auto"/>
              </w:rPr>
              <w:t>Cash and Cash Equivalents—12.3%</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24,902,575</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24,902,575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3"/>
          </w:tcPr>
          <w:p>
            <w:pPr>
              <w:ind w:left="20"/>
              <w:spacing w:after="0"/>
              <w:rPr>
                <w:sz w:val="20"/>
                <w:szCs w:val="20"/>
                <w:color w:val="auto"/>
              </w:rPr>
            </w:pPr>
            <w:r>
              <w:rPr>
                <w:rFonts w:ascii="Arial" w:cs="Arial" w:eastAsia="Arial" w:hAnsi="Arial"/>
                <w:sz w:val="11"/>
                <w:szCs w:val="11"/>
                <w:color w:val="auto"/>
              </w:rPr>
              <w:t>BNY Mellon Cash</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36,363,708</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36,364,366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5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61,266,283</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61,266,941</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and Cash Equivalents—249.5%</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1,233,213,572</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1,241,088,483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Liabilities in Excess of Other Assets—(149.5)%</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0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w w:val="98"/>
              </w:rPr>
              <w:t>(743,682,995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8"/>
        </w:trPr>
        <w:tc>
          <w:tcPr>
            <w:tcW w:w="35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Net Assets—100.0%</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497,405,488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939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-4499610</wp:posOffset>
            </wp:positionV>
            <wp:extent cx="71323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-4070985</wp:posOffset>
            </wp:positionV>
            <wp:extent cx="7132320" cy="857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-3899535</wp:posOffset>
            </wp:positionV>
            <wp:extent cx="7132320"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-3556635</wp:posOffset>
            </wp:positionV>
            <wp:extent cx="7132320" cy="93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-3368040</wp:posOffset>
            </wp:positionV>
            <wp:extent cx="7132320" cy="946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713232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85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93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-2296795</wp:posOffset>
            </wp:positionV>
            <wp:extent cx="7132320"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-2028190</wp:posOffset>
            </wp:positionV>
            <wp:extent cx="1714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-2028190</wp:posOffset>
            </wp:positionV>
            <wp:extent cx="260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85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-1230630</wp:posOffset>
            </wp:positionV>
            <wp:extent cx="1714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-1230630</wp:posOffset>
            </wp:positionV>
            <wp:extent cx="260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85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-870585</wp:posOffset>
            </wp:positionV>
            <wp:extent cx="1714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-870585</wp:posOffset>
            </wp:positionV>
            <wp:extent cx="260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-681990</wp:posOffset>
            </wp:positionV>
            <wp:extent cx="1714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-681990</wp:posOffset>
            </wp:positionV>
            <wp:extent cx="260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-321945</wp:posOffset>
            </wp:positionV>
            <wp:extent cx="1714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-321945</wp:posOffset>
            </wp:positionV>
            <wp:extent cx="260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46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380" w:hanging="372"/>
        <w:spacing w:after="0" w:line="195" w:lineRule="auto"/>
        <w:tabs>
          <w:tab w:leader="none" w:pos="409"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Valued based on our accounting policy (See Note 2). The value of all securities was determined using significant unobservable inputs (See Note 5).</w:t>
      </w:r>
    </w:p>
    <w:p>
      <w:pPr>
        <w:ind w:left="380" w:right="220" w:hanging="372"/>
        <w:spacing w:after="0" w:line="181" w:lineRule="auto"/>
        <w:tabs>
          <w:tab w:leader="none" w:pos="38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181" w:lineRule="auto"/>
        <w:tabs>
          <w:tab w:leader="none" w:pos="38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Non-U.S. company or principal place of business outside the United States.</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Non-income producing securities.</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The securities, or a portion thereof, are not 1) pledged as collateral under the Credit Facility and held through Funding I; or, 2) securing the 2031 Asset-Backed Debt (See Note 10) and held through PennantPark CLO I, Ltd.</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Investment is held through our Taxable Subsidiary (See Note 1).</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ind w:left="380" w:right="20" w:hanging="372"/>
        <w:spacing w:after="0" w:line="181" w:lineRule="auto"/>
        <w:tabs>
          <w:tab w:leader="none" w:pos="38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81% of our total assets and non-qualifying assets represent 19% of our total assets.</w:t>
      </w:r>
    </w:p>
    <w:p>
      <w:pPr>
        <w:ind w:left="380" w:hanging="372"/>
        <w:spacing w:after="0" w:line="199"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Par amount is denominated in Australian Dollars (AUD) as denoted.</w:t>
      </w: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9"/>
                <w:szCs w:val="9"/>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3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6"/>
              </w:rPr>
              <w:t>Investments in Non-Controlled, Non-Affiliated Portfolio Companies—174.6%</w:t>
            </w:r>
          </w:p>
        </w:tc>
        <w:tc>
          <w:tcPr>
            <w:tcW w:w="660" w:type="dxa"/>
            <w:vAlign w:val="bottom"/>
          </w:tcPr>
          <w:p>
            <w:pPr>
              <w:jc w:val="right"/>
              <w:ind w:right="235"/>
              <w:spacing w:after="0" w:line="61" w:lineRule="exact"/>
              <w:rPr>
                <w:sz w:val="20"/>
                <w:szCs w:val="20"/>
                <w:color w:val="auto"/>
              </w:rPr>
            </w:pPr>
            <w:r>
              <w:rPr>
                <w:rFonts w:ascii="Arial" w:cs="Arial" w:eastAsia="Arial" w:hAnsi="Arial"/>
                <w:sz w:val="7"/>
                <w:szCs w:val="7"/>
                <w:b w:val="1"/>
                <w:bCs w:val="1"/>
                <w:color w:val="auto"/>
              </w:rPr>
              <w:t>(3), (4)</w:t>
            </w: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First Lien Secured Debt—155.8%</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18 Freemont Street Acquisition,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08/11/2025</w:t>
            </w:r>
          </w:p>
        </w:tc>
        <w:tc>
          <w:tcPr>
            <w:tcW w:w="120" w:type="dxa"/>
            <w:vAlign w:val="bottom"/>
            <w:shd w:val="clear" w:color="auto" w:fill="CCECFF"/>
          </w:tcPr>
          <w:p>
            <w:pPr>
              <w:spacing w:after="0"/>
              <w:rPr>
                <w:sz w:val="12"/>
                <w:szCs w:val="12"/>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9.50 %</w:t>
            </w: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5,996,299</w:t>
            </w:r>
          </w:p>
        </w:tc>
        <w:tc>
          <w:tcPr>
            <w:tcW w:w="32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5,910,250</w:t>
            </w:r>
          </w:p>
        </w:tc>
        <w:tc>
          <w:tcPr>
            <w:tcW w:w="2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6,101,235</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Ad.net Acquisition, LLC</w:t>
            </w:r>
          </w:p>
        </w:tc>
        <w:tc>
          <w:tcPr>
            <w:tcW w:w="80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87"/>
              </w:rPr>
              <w:t>05/06/2026</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4,987,500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4,916,586</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4,912,688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05/06/2026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211,556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211,556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208,382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05/06/2026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1,032,889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(15,493 )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Altamira Technologies, LLC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07/24/2025</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7"/>
              </w:rPr>
              <w:t>IT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8.00 %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L+700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5,069,063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5,016,492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4,752,247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575,000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539,063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1,581,250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(98,828 )</w:t>
            </w: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1" w:lineRule="exact"/>
              <w:rPr>
                <w:sz w:val="20"/>
                <w:szCs w:val="20"/>
                <w:color w:val="auto"/>
              </w:rPr>
            </w:pPr>
            <w:r>
              <w:rPr>
                <w:rFonts w:ascii="Arial" w:cs="Arial" w:eastAsia="Arial" w:hAnsi="Arial"/>
                <w:sz w:val="11"/>
                <w:szCs w:val="11"/>
                <w:color w:val="auto"/>
              </w:rPr>
              <w:t>American Insulated Glass, LLC</w:t>
            </w:r>
          </w:p>
        </w:tc>
        <w:tc>
          <w:tcPr>
            <w:tcW w:w="800" w:type="dxa"/>
            <w:vAlign w:val="bottom"/>
            <w:gridSpan w:val="2"/>
          </w:tcPr>
          <w:p>
            <w:pPr>
              <w:jc w:val="center"/>
              <w:ind w:left="66"/>
              <w:spacing w:after="0" w:line="121" w:lineRule="exact"/>
              <w:rPr>
                <w:sz w:val="20"/>
                <w:szCs w:val="20"/>
                <w:color w:val="auto"/>
              </w:rPr>
            </w:pPr>
            <w:r>
              <w:rPr>
                <w:rFonts w:ascii="Arial" w:cs="Arial" w:eastAsia="Arial" w:hAnsi="Arial"/>
                <w:sz w:val="11"/>
                <w:szCs w:val="11"/>
                <w:color w:val="auto"/>
                <w:w w:val="87"/>
              </w:rPr>
              <w:t>12/21/2023</w:t>
            </w:r>
          </w:p>
        </w:tc>
        <w:tc>
          <w:tcPr>
            <w:tcW w:w="120" w:type="dxa"/>
            <w:vAlign w:val="bottom"/>
          </w:tcPr>
          <w:p>
            <w:pPr>
              <w:spacing w:after="0"/>
              <w:rPr>
                <w:sz w:val="10"/>
                <w:szCs w:val="10"/>
                <w:color w:val="auto"/>
              </w:rPr>
            </w:pPr>
          </w:p>
        </w:tc>
        <w:tc>
          <w:tcPr>
            <w:tcW w:w="2360" w:type="dxa"/>
            <w:vAlign w:val="bottom"/>
          </w:tcPr>
          <w:p>
            <w:pPr>
              <w:jc w:val="center"/>
              <w:spacing w:after="0" w:line="121" w:lineRule="exact"/>
              <w:rPr>
                <w:sz w:val="20"/>
                <w:szCs w:val="20"/>
                <w:color w:val="auto"/>
              </w:rPr>
            </w:pPr>
            <w:r>
              <w:rPr>
                <w:rFonts w:ascii="Arial" w:cs="Arial" w:eastAsia="Arial" w:hAnsi="Arial"/>
                <w:sz w:val="11"/>
                <w:szCs w:val="11"/>
                <w:color w:val="auto"/>
                <w:w w:val="91"/>
              </w:rPr>
              <w:t>Building Products</w:t>
            </w:r>
          </w:p>
        </w:tc>
        <w:tc>
          <w:tcPr>
            <w:tcW w:w="96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6.50 %</w:t>
            </w:r>
          </w:p>
        </w:tc>
        <w:tc>
          <w:tcPr>
            <w:tcW w:w="140" w:type="dxa"/>
            <w:vAlign w:val="bottom"/>
          </w:tcPr>
          <w:p>
            <w:pPr>
              <w:jc w:val="right"/>
              <w:ind w:right="4"/>
              <w:spacing w:after="0"/>
              <w:rPr>
                <w:sz w:val="20"/>
                <w:szCs w:val="20"/>
                <w:color w:val="auto"/>
              </w:rPr>
            </w:pPr>
            <w:r>
              <w:rPr>
                <w:rFonts w:ascii="Arial" w:cs="Arial" w:eastAsia="Arial" w:hAnsi="Arial"/>
                <w:sz w:val="7"/>
                <w:szCs w:val="7"/>
                <w:color w:val="auto"/>
                <w:w w:val="92"/>
              </w:rPr>
              <w:t>(6)</w:t>
            </w:r>
          </w:p>
        </w:tc>
        <w:tc>
          <w:tcPr>
            <w:tcW w:w="760" w:type="dxa"/>
            <w:vAlign w:val="bottom"/>
          </w:tcPr>
          <w:p>
            <w:pPr>
              <w:jc w:val="right"/>
              <w:spacing w:after="0" w:line="121"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8,904,554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8,818,053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8,815,508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20"/>
              <w:spacing w:after="0" w:line="129" w:lineRule="exact"/>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09/09/2021</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11"/>
                <w:szCs w:val="11"/>
                <w:color w:val="auto"/>
              </w:rPr>
            </w:pPr>
          </w:p>
        </w:tc>
        <w:tc>
          <w:tcPr>
            <w:tcW w:w="140" w:type="dxa"/>
            <w:vAlign w:val="bottom"/>
            <w:vMerge w:val="restart"/>
          </w:tcPr>
          <w:p>
            <w:pPr>
              <w:jc w:val="right"/>
              <w:ind w:right="4"/>
              <w:spacing w:after="0"/>
              <w:rPr>
                <w:sz w:val="20"/>
                <w:szCs w:val="20"/>
                <w:color w:val="auto"/>
              </w:rPr>
            </w:pPr>
            <w:r>
              <w:rPr>
                <w:rFonts w:ascii="Arial" w:cs="Arial" w:eastAsia="Arial" w:hAnsi="Arial"/>
                <w:sz w:val="7"/>
                <w:szCs w:val="7"/>
                <w:color w:val="auto"/>
                <w:w w:val="92"/>
              </w:rPr>
              <w:t>(6)</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7,986,133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7,915,290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1,277,781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320" w:type="dxa"/>
            <w:vAlign w:val="bottom"/>
            <w:vMerge w:val="restart"/>
          </w:tcPr>
          <w:p>
            <w:pPr>
              <w:ind w:left="20"/>
              <w:spacing w:after="0" w:line="155" w:lineRule="exact"/>
              <w:rPr>
                <w:sz w:val="20"/>
                <w:szCs w:val="20"/>
                <w:color w:val="auto"/>
              </w:rPr>
            </w:pPr>
            <w:r>
              <w:rPr>
                <w:rFonts w:ascii="Arial" w:cs="Arial" w:eastAsia="Arial" w:hAnsi="Arial"/>
                <w:sz w:val="11"/>
                <w:szCs w:val="11"/>
                <w:color w:val="auto"/>
              </w:rPr>
              <w:t xml:space="preserve">American Teleconferencing Services, Ltd. (Revolver) </w:t>
            </w:r>
            <w:r>
              <w:rPr>
                <w:rFonts w:ascii="Arial" w:cs="Arial" w:eastAsia="Arial" w:hAnsi="Arial"/>
                <w:sz w:val="14"/>
                <w:szCs w:val="14"/>
                <w:color w:val="auto"/>
                <w:vertAlign w:val="superscript"/>
              </w:rPr>
              <w:t>(7)</w:t>
            </w:r>
          </w:p>
        </w:tc>
        <w:tc>
          <w:tcPr>
            <w:tcW w:w="800" w:type="dxa"/>
            <w:vAlign w:val="bottom"/>
            <w:gridSpan w:val="2"/>
            <w:vMerge w:val="restart"/>
          </w:tcPr>
          <w:p>
            <w:pPr>
              <w:jc w:val="center"/>
              <w:ind w:left="66"/>
              <w:spacing w:after="0"/>
              <w:rPr>
                <w:sz w:val="20"/>
                <w:szCs w:val="20"/>
                <w:color w:val="auto"/>
              </w:rPr>
            </w:pPr>
            <w:r>
              <w:rPr>
                <w:rFonts w:ascii="Arial" w:cs="Arial" w:eastAsia="Arial" w:hAnsi="Arial"/>
                <w:sz w:val="11"/>
                <w:szCs w:val="11"/>
                <w:color w:val="auto"/>
                <w:w w:val="87"/>
              </w:rPr>
              <w:t>12/08/2022</w:t>
            </w:r>
          </w:p>
        </w:tc>
        <w:tc>
          <w:tcPr>
            <w:tcW w:w="120" w:type="dxa"/>
            <w:vAlign w:val="bottom"/>
          </w:tcPr>
          <w:p>
            <w:pPr>
              <w:spacing w:after="0"/>
              <w:rPr>
                <w:sz w:val="5"/>
                <w:szCs w:val="5"/>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color w:val="auto"/>
                <w:w w:val="89"/>
              </w:rPr>
              <w:t>Telecommunications</w:t>
            </w: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1,656,423</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1,641,729</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1,656,423</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33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Any Hour Services</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07/21/2027</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Energy Equipment and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6,500,000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6,372,736</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6,370,000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07/21/2027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Energy Equipment and Services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3,823,529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(38,235 )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07/21/2027</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Energy Equipment and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1,147,059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(22,941 )</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07/31/2025</w:t>
            </w:r>
          </w:p>
        </w:tc>
        <w:tc>
          <w:tcPr>
            <w:tcW w:w="12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6,271,978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6,216,394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6,209,258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2"/>
                <w:szCs w:val="12"/>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300,396</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300,396</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297,393</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Apex Service Partners, LLC Term Loan C</w:t>
            </w:r>
          </w:p>
        </w:tc>
        <w:tc>
          <w:tcPr>
            <w:tcW w:w="80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87"/>
              </w:rPr>
              <w:t>07/31/2025</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6.25 %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6,896,739</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6,802,200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6,827,772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Apex Service Partners, LLC Term Loan C </w:t>
            </w:r>
            <w:r>
              <w:rPr>
                <w:rFonts w:ascii="Arial" w:cs="Arial" w:eastAsia="Arial" w:hAnsi="Arial"/>
                <w:sz w:val="14"/>
                <w:szCs w:val="14"/>
                <w:color w:val="auto"/>
                <w:vertAlign w:val="superscript"/>
              </w:rPr>
              <w:t>(7),(9)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01/31/2022</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13,179,348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(16,474 )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07/29/2024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473,105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473,105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464,825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07/29/2024</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1,372,004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(24,010 )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API Technologies Corp.</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05/11/2026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Electronic Equipment, Instruments, and Components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4.33 %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L+425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5,865,000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5,840,911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5,689,050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Applied Technical Services, LLC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12/29/2026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4,962,500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4,862,688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4,863,250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06/29/2022</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8,567,493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(74,966 )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12/29/2026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1,272,727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(25,455 )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By Light Professional IT Services, LLC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05/16/2022</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1"/>
              </w:rPr>
              <w:t>High Tech Industries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7.25 %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22,681,315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22,626,521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22,681,315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4"/>
                <w:szCs w:val="14"/>
                <w:color w:val="auto"/>
                <w:vertAlign w:val="superscript"/>
              </w:rPr>
              <w:t>(9)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High Tech Industries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3,062,602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11/14/2023</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9.50 %</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L+850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3,001,623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2,984,907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2,928,083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(PIK 9.50%)</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Cano Health,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11/23/2027</w:t>
            </w:r>
          </w:p>
        </w:tc>
        <w:tc>
          <w:tcPr>
            <w:tcW w:w="120" w:type="dxa"/>
            <w:vAlign w:val="bottom"/>
            <w:shd w:val="clear" w:color="auto" w:fill="CCECFF"/>
          </w:tcPr>
          <w:p>
            <w:pPr>
              <w:spacing w:after="0"/>
              <w:rPr>
                <w:sz w:val="12"/>
                <w:szCs w:val="12"/>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5.25 %</w:t>
            </w: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2,653,333</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2,646,700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2,654,448</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CF512, Inc.</w:t>
            </w:r>
          </w:p>
        </w:tc>
        <w:tc>
          <w:tcPr>
            <w:tcW w:w="80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87"/>
              </w:rPr>
              <w:t>08/20/2026</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10,500,000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10,292,565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10,290,000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CF512, Inc.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08/20/2026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2,863,636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(28,636 )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CF512, Inc.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08/20/2026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954,545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(19,091 )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CHA Holdings, Inc.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04/10/2025</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Environmental Industries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5.50 %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1,597,377</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1,592,764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1,573,417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711,447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(21,344 )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Compex Legal Services, Inc.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02/09/2026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Professional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7,652,926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7,529,620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7,565,683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02/07/2025</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983,962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983,962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972,745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02/07/2025</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421,698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(4,807 )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Confluent Health,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06/24/2026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Health Providers and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5.08 %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3,910,000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3,879,252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3,910,000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Connatix Buyer, Inc.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07/13/2027</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6.25 %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4,000,000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3,920,501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3,920,000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01/13/2023</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2,105,263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(21,053 )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07/13/2027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123,438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123,438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120,969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07/13/2027</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1,110,938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(22,219 )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CoolSys, Inc.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08/04/2028</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5.50 %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1,909,091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1,890,159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1,913,864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CoolSys, Inc.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08/04/2028</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848,485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Services, Inc.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08/16/2023</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897,129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(2,243 )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08/16/2027</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336,423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(3,364 )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Crash Champions, LLC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08/05/2025</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2"/>
              </w:rPr>
              <w:t>Automobiles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5.85 %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13,078,403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12,889,464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12,816,835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Crash Champions, LLC </w:t>
            </w:r>
            <w:r>
              <w:rPr>
                <w:rFonts w:ascii="Arial" w:cs="Arial" w:eastAsia="Arial" w:hAnsi="Arial"/>
                <w:sz w:val="14"/>
                <w:szCs w:val="14"/>
                <w:color w:val="auto"/>
                <w:vertAlign w:val="superscript"/>
              </w:rPr>
              <w:t>(7)(9)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05/14/2022</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12,911,597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(129,116 )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Digital Room Holdings,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05/22/2026</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5.08 %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6,546,999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6,467,615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6,461,888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Douglas Products and Packaging Company LLC</w:t>
            </w:r>
          </w:p>
        </w:tc>
        <w:tc>
          <w:tcPr>
            <w:tcW w:w="80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87"/>
              </w:rPr>
              <w:t>10/19/2022</w:t>
            </w:r>
          </w:p>
        </w:tc>
        <w:tc>
          <w:tcPr>
            <w:tcW w:w="12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3"/>
          </w:tcPr>
          <w:p>
            <w:pPr>
              <w:jc w:val="right"/>
              <w:ind w:right="20"/>
              <w:spacing w:after="0" w:line="12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6,545,091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6,514,467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6,545,091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Douglas Products and Packaging Company LLC (Revolver)</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10/19/2022</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8.00 %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P+475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2,927,451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2,927,451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2,927,451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Douglas Products and Packaging Company LLC (Revolver) </w:t>
            </w:r>
            <w:r>
              <w:rPr>
                <w:rFonts w:ascii="Arial" w:cs="Arial" w:eastAsia="Arial" w:hAnsi="Arial"/>
                <w:sz w:val="14"/>
                <w:szCs w:val="14"/>
                <w:color w:val="auto"/>
                <w:vertAlign w:val="superscript"/>
              </w:rPr>
              <w:t>(9)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1,463,725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3,961,006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3,941,701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3,961,006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Dr. Squatch, LLC</w:t>
            </w:r>
          </w:p>
        </w:tc>
        <w:tc>
          <w:tcPr>
            <w:tcW w:w="80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87"/>
              </w:rPr>
              <w:t>08/27/2026</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6"/>
              </w:rPr>
              <w:t>Personal Products</w:t>
            </w:r>
          </w:p>
        </w:tc>
        <w:tc>
          <w:tcPr>
            <w:tcW w:w="96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9,485,286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9,297,453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9,295,580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08/27/2026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2,459,120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2,459,120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2,409,937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08/27/2026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894,225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(17,885 )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DRS Holdings III, Inc.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7.25 %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17,671,003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17,514,528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17,547,307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1,426,470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(9,985 )</w:t>
            </w:r>
          </w:p>
        </w:tc>
        <w:tc>
          <w:tcPr>
            <w:tcW w:w="0" w:type="dxa"/>
            <w:vAlign w:val="bottom"/>
          </w:tcPr>
          <w:p>
            <w:pPr>
              <w:spacing w:after="0"/>
              <w:rPr>
                <w:sz w:val="1"/>
                <w:szCs w:val="1"/>
                <w:color w:val="auto"/>
              </w:rPr>
            </w:pPr>
          </w:p>
        </w:tc>
      </w:tr>
      <w:tr>
        <w:trPr>
          <w:trHeight w:val="125"/>
        </w:trPr>
        <w:tc>
          <w:tcPr>
            <w:tcW w:w="332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East Valley Tourist Development Authority</w:t>
            </w:r>
          </w:p>
        </w:tc>
        <w:tc>
          <w:tcPr>
            <w:tcW w:w="800" w:type="dxa"/>
            <w:vAlign w:val="bottom"/>
            <w:gridSpan w:val="2"/>
            <w:shd w:val="clear" w:color="auto" w:fill="CCECFF"/>
          </w:tcPr>
          <w:p>
            <w:pPr>
              <w:jc w:val="center"/>
              <w:ind w:left="66"/>
              <w:spacing w:after="0" w:line="125" w:lineRule="exact"/>
              <w:rPr>
                <w:sz w:val="20"/>
                <w:szCs w:val="20"/>
                <w:color w:val="auto"/>
              </w:rPr>
            </w:pPr>
            <w:r>
              <w:rPr>
                <w:rFonts w:ascii="Arial" w:cs="Arial" w:eastAsia="Arial" w:hAnsi="Arial"/>
                <w:sz w:val="11"/>
                <w:szCs w:val="11"/>
                <w:color w:val="auto"/>
                <w:w w:val="87"/>
              </w:rPr>
              <w:t>03/07/2022</w:t>
            </w:r>
          </w:p>
        </w:tc>
        <w:tc>
          <w:tcPr>
            <w:tcW w:w="120" w:type="dxa"/>
            <w:vAlign w:val="bottom"/>
            <w:shd w:val="clear" w:color="auto" w:fill="CCECFF"/>
          </w:tcPr>
          <w:p>
            <w:pPr>
              <w:spacing w:after="0"/>
              <w:rPr>
                <w:sz w:val="10"/>
                <w:szCs w:val="10"/>
                <w:color w:val="auto"/>
              </w:rPr>
            </w:pPr>
          </w:p>
        </w:tc>
        <w:tc>
          <w:tcPr>
            <w:tcW w:w="236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8"/>
              </w:rPr>
              <w:t>Hotel, Gaming and Leisure</w:t>
            </w:r>
          </w:p>
        </w:tc>
        <w:tc>
          <w:tcPr>
            <w:tcW w:w="960" w:type="dxa"/>
            <w:vAlign w:val="bottom"/>
            <w:gridSpan w:val="3"/>
            <w:shd w:val="clear" w:color="auto" w:fill="CCECFF"/>
          </w:tcPr>
          <w:p>
            <w:pPr>
              <w:jc w:val="right"/>
              <w:ind w:right="20"/>
              <w:spacing w:after="0" w:line="125" w:lineRule="exact"/>
              <w:rPr>
                <w:sz w:val="20"/>
                <w:szCs w:val="20"/>
                <w:color w:val="auto"/>
              </w:rPr>
            </w:pPr>
            <w:r>
              <w:rPr>
                <w:rFonts w:ascii="Arial" w:cs="Arial" w:eastAsia="Arial" w:hAnsi="Arial"/>
                <w:sz w:val="11"/>
                <w:szCs w:val="11"/>
                <w:color w:val="auto"/>
              </w:rPr>
              <w:t>9.00 %</w:t>
            </w:r>
          </w:p>
        </w:tc>
        <w:tc>
          <w:tcPr>
            <w:tcW w:w="14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3M L+800</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13,217,455</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13,191,359</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13,019,193</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3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3.50%)</w:t>
            </w: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ECL Entertainment, LLC</w:t>
            </w:r>
          </w:p>
        </w:tc>
        <w:tc>
          <w:tcPr>
            <w:tcW w:w="80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87"/>
              </w:rPr>
              <w:t>03/31/2028</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6"/>
              </w:rPr>
              <w:t>Hotels, Restaurants and Leisure</w:t>
            </w:r>
          </w:p>
        </w:tc>
        <w:tc>
          <w:tcPr>
            <w:tcW w:w="96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8.25 %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5,256,058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5,204,780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5,374,319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12/23/2025</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Electronic Equipment, Instruments, and Components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914,415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(4,572 )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4"/>
                <w:szCs w:val="14"/>
                <w:color w:val="auto"/>
                <w:vertAlign w:val="superscript"/>
              </w:rPr>
              <w:t>(10)</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10/05/2023</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6.00 %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6,950,625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6,950,625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6,950,625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4"/>
                <w:szCs w:val="14"/>
                <w:color w:val="auto"/>
                <w:vertAlign w:val="superscript"/>
              </w:rPr>
              <w:t>(7), (9), (10)</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10/05/2023</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Efficient Collaborative Retail Marketing Company, LLC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06/15/2022</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Diversified and Production</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7,189,139</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7,179,891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7,153,193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4"/>
                <w:szCs w:val="14"/>
                <w:color w:val="auto"/>
                <w:vertAlign w:val="superscript"/>
              </w:rPr>
              <w:t>(5)(10)(11)</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05/31/2024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Diversified Financial Services</w:t>
            </w: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5.07 %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L+500</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AUD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7,323,360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7,151,265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Gantech Acquisition Corp.</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05/14/2026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7"/>
              </w:rPr>
              <w:t>IT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7.25 %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17,412,500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17,081,919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17,064,250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05/14/2026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7.25 %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933,320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933,320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914,654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05/14/2026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2,799,960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(55,999 )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Global Holdings InterCo LLC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03/16/2026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1"/>
              </w:rPr>
              <w:t>Diversified Financial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3,482,500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3,434,795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3,465,088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08/10/2023</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1,071,429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(5,357 )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08/10/2027</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864,713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(20,061 )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Hancock Roofing and Construction L.L.C.</w:t>
            </w:r>
          </w:p>
        </w:tc>
        <w:tc>
          <w:tcPr>
            <w:tcW w:w="80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87"/>
              </w:rPr>
              <w:t>12/31/2026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Insurance</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6.00 %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3,473,750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3,396,559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3,439,013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12/31/2022</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(15,000 )</w:t>
            </w: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12/31/2026</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750,000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(7,500 )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Holdco Sands Intermediate,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12/19/2025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7.50 %</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2,982,525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2,940,710</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2,967,612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HW Holdco, LLC</w:t>
            </w:r>
          </w:p>
        </w:tc>
        <w:tc>
          <w:tcPr>
            <w:tcW w:w="80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87"/>
              </w:rPr>
              <w:t>12/10/2024</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5.50 %</w:t>
            </w:r>
          </w:p>
        </w:tc>
        <w:tc>
          <w:tcPr>
            <w:tcW w:w="14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7,340,806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7,295,603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7,267,398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12/10/2024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5.50 %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522,581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522,581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517,355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12/10/2024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929,032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(9,290 )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IG Investments Holdings, LLC </w:t>
            </w:r>
            <w:r>
              <w:rPr>
                <w:rFonts w:ascii="Arial" w:cs="Arial" w:eastAsia="Arial" w:hAnsi="Arial"/>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09/22/2028</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4,518,304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4,428,218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4,427,938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09/22/2027</w:t>
            </w:r>
          </w:p>
        </w:tc>
        <w:tc>
          <w:tcPr>
            <w:tcW w:w="12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476,879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-7120255</wp:posOffset>
            </wp:positionV>
            <wp:extent cx="7132320" cy="939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-6768465</wp:posOffset>
            </wp:positionV>
            <wp:extent cx="7132320" cy="85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-6597015</wp:posOffset>
            </wp:positionV>
            <wp:extent cx="71323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-6425565</wp:posOffset>
            </wp:positionV>
            <wp:extent cx="7132320" cy="857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-6254115</wp:posOffset>
            </wp:positionV>
            <wp:extent cx="713232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-6082665</wp:posOffset>
            </wp:positionV>
            <wp:extent cx="7132320" cy="85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-5911215</wp:posOffset>
            </wp:positionV>
            <wp:extent cx="7132320" cy="857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-5568315</wp:posOffset>
            </wp:positionV>
            <wp:extent cx="7132320"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-5396865</wp:posOffset>
            </wp:positionV>
            <wp:extent cx="7132320"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-5225415</wp:posOffset>
            </wp:positionV>
            <wp:extent cx="7132320"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-5053965</wp:posOffset>
            </wp:positionV>
            <wp:extent cx="7132320" cy="85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-4882515</wp:posOffset>
            </wp:positionV>
            <wp:extent cx="7132320" cy="857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-4453890</wp:posOffset>
            </wp:positionV>
            <wp:extent cx="7132320"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-4282440</wp:posOffset>
            </wp:positionV>
            <wp:extent cx="7132320" cy="85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-4110990</wp:posOffset>
            </wp:positionV>
            <wp:extent cx="7132320" cy="857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-3939540</wp:posOffset>
            </wp:positionV>
            <wp:extent cx="7132320"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-3768090</wp:posOffset>
            </wp:positionV>
            <wp:extent cx="7132320" cy="857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-3596640</wp:posOffset>
            </wp:positionV>
            <wp:extent cx="7132320"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-3425190</wp:posOffset>
            </wp:positionV>
            <wp:extent cx="7132320" cy="85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-3253740</wp:posOffset>
            </wp:positionV>
            <wp:extent cx="7132320" cy="85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-3082290</wp:posOffset>
            </wp:positionV>
            <wp:extent cx="7132320" cy="857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-2739390</wp:posOffset>
            </wp:positionV>
            <wp:extent cx="7132320" cy="85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-2396490</wp:posOffset>
            </wp:positionV>
            <wp:extent cx="7132320" cy="85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-2225040</wp:posOffset>
            </wp:positionV>
            <wp:extent cx="7132320" cy="85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-1796415</wp:posOffset>
            </wp:positionV>
            <wp:extent cx="7132320" cy="857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-1624965</wp:posOffset>
            </wp:positionV>
            <wp:extent cx="7132320" cy="85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-1453515</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-1213485</wp:posOffset>
            </wp:positionV>
            <wp:extent cx="7132320" cy="857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-1042035</wp:posOffset>
            </wp:positionV>
            <wp:extent cx="7132320" cy="85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85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366"/>
              <w:spacing w:after="0"/>
              <w:rPr>
                <w:sz w:val="20"/>
                <w:szCs w:val="20"/>
                <w:color w:val="auto"/>
              </w:rPr>
            </w:pPr>
            <w:r>
              <w:rPr>
                <w:rFonts w:ascii="Arial" w:cs="Arial" w:eastAsia="Arial" w:hAnsi="Arial"/>
                <w:sz w:val="11"/>
                <w:szCs w:val="11"/>
                <w:b w:val="1"/>
                <w:bCs w:val="1"/>
                <w:color w:val="auto"/>
              </w:rPr>
              <w:t>Current</w:t>
            </w: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4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9"/>
        </w:trPr>
        <w:tc>
          <w:tcPr>
            <w:tcW w:w="3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7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320" w:type="dxa"/>
            <w:vAlign w:val="bottom"/>
            <w:tcBorders>
              <w:top w:val="single" w:sz="8" w:color="auto"/>
            </w:tcBorders>
          </w:tcPr>
          <w:p>
            <w:pPr>
              <w:ind w:left="20"/>
              <w:spacing w:after="0" w:line="99" w:lineRule="exact"/>
              <w:rPr>
                <w:sz w:val="20"/>
                <w:szCs w:val="20"/>
                <w:color w:val="auto"/>
              </w:rPr>
            </w:pPr>
            <w:r>
              <w:rPr>
                <w:rFonts w:ascii="Arial" w:cs="Arial" w:eastAsia="Arial" w:hAnsi="Arial"/>
                <w:sz w:val="11"/>
                <w:szCs w:val="11"/>
                <w:color w:val="auto"/>
              </w:rPr>
              <w:t>IMIA Holdings, Inc.</w:t>
            </w:r>
          </w:p>
        </w:tc>
        <w:tc>
          <w:tcPr>
            <w:tcW w:w="140" w:type="dxa"/>
            <w:vAlign w:val="bottom"/>
          </w:tcPr>
          <w:p>
            <w:pPr>
              <w:spacing w:after="0"/>
              <w:rPr>
                <w:sz w:val="8"/>
                <w:szCs w:val="8"/>
                <w:color w:val="auto"/>
              </w:rPr>
            </w:pPr>
          </w:p>
        </w:tc>
        <w:tc>
          <w:tcPr>
            <w:tcW w:w="66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90"/>
              </w:rPr>
              <w:t>04/09/2027</w:t>
            </w:r>
          </w:p>
        </w:tc>
        <w:tc>
          <w:tcPr>
            <w:tcW w:w="140" w:type="dxa"/>
            <w:vAlign w:val="bottom"/>
          </w:tcPr>
          <w:p>
            <w:pPr>
              <w:spacing w:after="0"/>
              <w:rPr>
                <w:sz w:val="8"/>
                <w:szCs w:val="8"/>
                <w:color w:val="auto"/>
              </w:rPr>
            </w:pPr>
          </w:p>
        </w:tc>
        <w:tc>
          <w:tcPr>
            <w:tcW w:w="234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6.75</w:t>
            </w:r>
          </w:p>
        </w:tc>
        <w:tc>
          <w:tcPr>
            <w:tcW w:w="260" w:type="dxa"/>
            <w:vAlign w:val="bottom"/>
          </w:tcPr>
          <w:p>
            <w:pPr>
              <w:jc w:val="right"/>
              <w:ind w:right="86"/>
              <w:spacing w:after="0" w:line="99" w:lineRule="exact"/>
              <w:rPr>
                <w:sz w:val="20"/>
                <w:szCs w:val="20"/>
                <w:color w:val="auto"/>
              </w:rPr>
            </w:pPr>
            <w:r>
              <w:rPr>
                <w:rFonts w:ascii="Arial" w:cs="Arial" w:eastAsia="Arial" w:hAnsi="Arial"/>
                <w:sz w:val="11"/>
                <w:szCs w:val="11"/>
                <w:color w:val="auto"/>
              </w:rPr>
              <w:t>%</w:t>
            </w:r>
          </w:p>
        </w:tc>
        <w:tc>
          <w:tcPr>
            <w:tcW w:w="7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3M L+600</w:t>
            </w:r>
          </w:p>
        </w:tc>
        <w:tc>
          <w:tcPr>
            <w:tcW w:w="160" w:type="dxa"/>
            <w:vAlign w:val="bottom"/>
          </w:tcPr>
          <w:p>
            <w:pPr>
              <w:spacing w:after="0"/>
              <w:rPr>
                <w:sz w:val="8"/>
                <w:szCs w:val="8"/>
                <w:color w:val="auto"/>
              </w:rPr>
            </w:pPr>
          </w:p>
        </w:tc>
        <w:tc>
          <w:tcPr>
            <w:tcW w:w="7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13,143,859</w:t>
            </w:r>
          </w:p>
        </w:tc>
        <w:tc>
          <w:tcPr>
            <w:tcW w:w="160" w:type="dxa"/>
            <w:vAlign w:val="bottom"/>
          </w:tcPr>
          <w:p>
            <w:pPr>
              <w:spacing w:after="0"/>
              <w:rPr>
                <w:sz w:val="8"/>
                <w:szCs w:val="8"/>
                <w:color w:val="auto"/>
              </w:rPr>
            </w:pPr>
          </w:p>
        </w:tc>
        <w:tc>
          <w:tcPr>
            <w:tcW w:w="160" w:type="dxa"/>
            <w:vAlign w:val="bottom"/>
            <w:tcBorders>
              <w:top w:val="single" w:sz="8" w:color="auto"/>
            </w:tcBorders>
          </w:tcPr>
          <w:p>
            <w:pPr>
              <w:jc w:val="right"/>
              <w:ind w:right="51"/>
              <w:spacing w:after="0" w:line="99"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12,903,562</w:t>
            </w:r>
          </w:p>
        </w:tc>
        <w:tc>
          <w:tcPr>
            <w:tcW w:w="160" w:type="dxa"/>
            <w:vAlign w:val="bottom"/>
          </w:tcPr>
          <w:p>
            <w:pPr>
              <w:spacing w:after="0"/>
              <w:rPr>
                <w:sz w:val="8"/>
                <w:szCs w:val="8"/>
                <w:color w:val="auto"/>
              </w:rPr>
            </w:pPr>
          </w:p>
        </w:tc>
        <w:tc>
          <w:tcPr>
            <w:tcW w:w="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12,880,981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04/09/2027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2,343,187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(46,864 )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14"/>
                <w:szCs w:val="14"/>
                <w:color w:val="auto"/>
                <w:vertAlign w:val="superscript"/>
              </w:rPr>
              <w:t>(5), (10)</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3,253,402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3,233,718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3,253,402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4"/>
                <w:szCs w:val="14"/>
                <w:color w:val="auto"/>
                <w:vertAlign w:val="superscript"/>
              </w:rPr>
              <w:t>(5), (7), (10)</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533,525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533,525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533,525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Integrative Nutrition,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09/29/2023</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7"/>
              </w:rPr>
              <w:t>Consumer Services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16,166,639</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16,094,784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16,166,639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09/29/2023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Consumer Services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08/27/2025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3,170,208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3,146,750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3,154,357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18,821,846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47,055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8.00 %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642,857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642,857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625,757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785,714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(20,900 )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Lash OpCo,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02/18/2027</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31,661,987</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30,959,997</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31,028,748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8.00 %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307,271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307,271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301,125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08/16/2026</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1,613,172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(32,263 )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LAV Gear Holdings, Inc.</w:t>
            </w:r>
          </w:p>
        </w:tc>
        <w:tc>
          <w:tcPr>
            <w:tcW w:w="80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90"/>
              </w:rPr>
              <w:t>10/31/2024</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1"/>
              </w:rPr>
              <w:t>Capital Equipment</w:t>
            </w:r>
          </w:p>
        </w:tc>
        <w:tc>
          <w:tcPr>
            <w:tcW w:w="1100" w:type="dxa"/>
            <w:vAlign w:val="bottom"/>
            <w:gridSpan w:val="3"/>
            <w:shd w:val="clear" w:color="auto" w:fill="CCECFF"/>
          </w:tcPr>
          <w:p>
            <w:pPr>
              <w:jc w:val="right"/>
              <w:ind w:right="86"/>
              <w:spacing w:after="0" w:line="125" w:lineRule="exact"/>
              <w:rPr>
                <w:sz w:val="20"/>
                <w:szCs w:val="20"/>
                <w:color w:val="auto"/>
              </w:rPr>
            </w:pPr>
            <w:r>
              <w:rPr>
                <w:rFonts w:ascii="Arial" w:cs="Arial" w:eastAsia="Arial" w:hAnsi="Arial"/>
                <w:sz w:val="11"/>
                <w:szCs w:val="11"/>
                <w:color w:val="auto"/>
              </w:rPr>
              <w:t>8.50 %</w:t>
            </w:r>
          </w:p>
        </w:tc>
        <w:tc>
          <w:tcPr>
            <w:tcW w:w="7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1M L+750</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9,487,062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9,453,067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8,892,223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(PIK 5.00%)</w:t>
            </w: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vMerge w:val="continue"/>
          </w:tcPr>
          <w:p>
            <w:pPr>
              <w:spacing w:after="0"/>
              <w:rPr>
                <w:sz w:val="10"/>
                <w:szCs w:val="10"/>
                <w:color w:val="auto"/>
              </w:rPr>
            </w:pP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10/31/2024</w:t>
            </w:r>
          </w:p>
        </w:tc>
        <w:tc>
          <w:tcPr>
            <w:tcW w:w="1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8.50 %</w:t>
            </w: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1,690,642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1,690,642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1,584,638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5.00%)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Lightspeed Buyer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29,607,026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29,160,427</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29,607,026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2,499,299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Lombart Brothers,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14,285,424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14,207,771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14,285,424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516,105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516,105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516,105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Lucky Bucks,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07/20/2027</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4,411,262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4,424,085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MAG DS Corp.</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04/01/2027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6.50 %</w:t>
            </w: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3,891,201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3,720,793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3,502,081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Magenta Buyer,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07/31/2028</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9,901,033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9,996,900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Mars Acquisition Holdings Corp.</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6.50 %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6,112,903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5,997,919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6,051,774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1,623,661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(16,237 )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MBS Holdings, Inc. (Revolver)</w:t>
            </w:r>
            <w:r>
              <w:rPr>
                <w:rFonts w:ascii="Arial" w:cs="Arial" w:eastAsia="Arial" w:hAnsi="Arial"/>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04/16/2027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1,157,407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(23,148 )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MeritDirect,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25,249,919</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25,028,932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24,997,420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4,481,655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(44,817 )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Mission Critical Electronics,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606,003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603,747</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606,003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468,198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468,198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468,198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856,890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6.00 %</w:t>
            </w:r>
          </w:p>
        </w:tc>
        <w:tc>
          <w:tcPr>
            <w:tcW w:w="760" w:type="dxa"/>
            <w:vAlign w:val="bottom"/>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3,500,000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3,430,000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3,430,000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946,586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946,586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1,676,672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(33,533 )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OIS Management Services,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07/09/2026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Equipment and Supplies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3,195,000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3,156,452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3,147,075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OIS Management Services, LLC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07/09/2023</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1,911,111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(14,333 )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444,444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(6,667 )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One Stop Mailing,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05/07/2027</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Air Freight and Logistics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8,951,786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8,778,983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8,795,129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Acquisition, Inc.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7,267,887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7,123,600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7,122,529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860,692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Output Services Group,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03/27/2024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60" w:type="dxa"/>
            <w:vAlign w:val="bottom"/>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4,900,379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4,448,254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4,459,345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Ox Two,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Construction and Building</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22,636,250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22,296,294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22,183,526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903,226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903,226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885,161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2,483,871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(49,677 )</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rPr>
                <w:sz w:val="20"/>
                <w:szCs w:val="20"/>
                <w:color w:val="auto"/>
              </w:rPr>
            </w:pPr>
            <w:r>
              <w:rPr>
                <w:rFonts w:ascii="Arial" w:cs="Arial" w:eastAsia="Arial" w:hAnsi="Arial"/>
                <w:sz w:val="11"/>
                <w:szCs w:val="11"/>
                <w:color w:val="auto"/>
              </w:rPr>
              <w:t>Plant Health Intermediate,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644,022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641,696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644,022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05/08/2026</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5.70 %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5,073,921</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5,036,905</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4,980,916</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PRA Events, Inc.</w:t>
            </w: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08/07/2025</w:t>
            </w:r>
          </w:p>
        </w:tc>
        <w:tc>
          <w:tcPr>
            <w:tcW w:w="1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11.50 %</w:t>
            </w: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1M L+1,050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3,158,231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2,724,212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2,984,528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11.50%)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Quantic Electronics, LLC</w:t>
            </w:r>
          </w:p>
        </w:tc>
        <w:tc>
          <w:tcPr>
            <w:tcW w:w="80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 Equipment, Instruments, and Components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8,716,039</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8,582,843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8,541,720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Quantic Electronics, LLC </w:t>
            </w:r>
            <w:r>
              <w:rPr>
                <w:rFonts w:ascii="Arial" w:cs="Arial" w:eastAsia="Arial" w:hAnsi="Arial"/>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2,809,953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(28,099 )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669,972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(13,399 )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Questex,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6.00 %</w:t>
            </w:r>
          </w:p>
        </w:tc>
        <w:tc>
          <w:tcPr>
            <w:tcW w:w="760" w:type="dxa"/>
            <w:vAlign w:val="bottom"/>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7,275,000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7,195,336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6,838,500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Questex, LLC (Revolver)</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Diversified and Production</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718,085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718,085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675,000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478,723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(28,723 )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1,050,000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525,000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Recteq,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7"/>
              </w:rPr>
              <w:t>Leisure Products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1,492,500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1,466,252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1,477,575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1,295,775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(12,958 )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Horizons,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06/28/2022</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6,719,172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6,693,865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6,651,980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Research Now Group, Inc. and Dynata, LLC</w:t>
            </w: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6.50 %</w:t>
            </w: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17,322,086</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17,098,617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17,101,922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Riverpoint Medical,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06/20/2025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Equipment and Supplies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8,114,773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8,039,060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8,014,960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06/20/2025</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909,091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(11,182 )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Riverside Assessments,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03/10/2025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16,173,514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15,950,441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15,769,176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Sales Benchmark Index LLC</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Professional Services</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7.75 %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7,905,741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7,795,649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7,708,097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1,292,683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(32,317 )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Sargent &amp; Greenleaf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3,693,604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3,655,678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3,693,604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Sargent &amp; Greenleaf Inc. (Revolver)</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 Equipment, Instruments, and Components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528,183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528,183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528,183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528,183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07/14/2025</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13,377,094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13,274,545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12,775,125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Schlesinger Global, Inc. (Revolver)</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Professional Services</w:t>
            </w:r>
          </w:p>
        </w:tc>
        <w:tc>
          <w:tcPr>
            <w:tcW w:w="110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8.00 %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1,181,440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1,181,440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1,128,276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691,107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(31,100 )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Sigma Defense Systems,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9.75 %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L+875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804,676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787,185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790,594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4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837,391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(14,654 )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Signature Systems Holding Company</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10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11,700,000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11,597,822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11,583,000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8.50 %</w:t>
            </w:r>
          </w:p>
        </w:tc>
        <w:tc>
          <w:tcPr>
            <w:tcW w:w="760" w:type="dxa"/>
            <w:vAlign w:val="bottom"/>
          </w:tcPr>
          <w:p>
            <w:pPr>
              <w:jc w:val="right"/>
              <w:spacing w:after="0"/>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419,355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419,355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415,161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1,327,957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(13,280 )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 - Term Loan II</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12/31/2021</w:t>
            </w:r>
          </w:p>
        </w:tc>
        <w:tc>
          <w:tcPr>
            <w:tcW w:w="1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8.50 %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698,925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695,431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691,935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-6685915</wp:posOffset>
            </wp:positionV>
            <wp:extent cx="713232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-6514465</wp:posOffset>
            </wp:positionV>
            <wp:extent cx="713232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-6343015</wp:posOffset>
            </wp:positionV>
            <wp:extent cx="7132320" cy="857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-6000115</wp:posOffset>
            </wp:positionV>
            <wp:extent cx="713232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-5828665</wp:posOffset>
            </wp:positionV>
            <wp:extent cx="7132320"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-5657215</wp:posOffset>
            </wp:positionV>
            <wp:extent cx="2108835"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08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-5314315</wp:posOffset>
            </wp:positionV>
            <wp:extent cx="713232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-5142865</wp:posOffset>
            </wp:positionV>
            <wp:extent cx="713232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85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-4457065</wp:posOffset>
            </wp:positionV>
            <wp:extent cx="7132320"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-4285615</wp:posOffset>
            </wp:positionV>
            <wp:extent cx="7132320" cy="857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-4114165</wp:posOffset>
            </wp:positionV>
            <wp:extent cx="713232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-3942715</wp:posOffset>
            </wp:positionV>
            <wp:extent cx="7132320"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-3771265</wp:posOffset>
            </wp:positionV>
            <wp:extent cx="7132320"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85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85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857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713232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857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857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5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57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tbl>
      <w:tblPr>
        <w:tblLayout w:type="fixed"/>
        <w:tblInd w:w="0" w:type="dxa"/>
        <w:tblCellMar>
          <w:top w:w="0" w:type="dxa"/>
          <w:left w:w="0" w:type="dxa"/>
          <w:bottom w:w="0" w:type="dxa"/>
          <w:right w:w="0" w:type="dxa"/>
        </w:tblCellMar>
      </w:tblPr>
      <w:tr>
        <w:trPr>
          <w:trHeight w:val="102"/>
        </w:trPr>
        <w:tc>
          <w:tcPr>
            <w:tcW w:w="3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restart"/>
          </w:tcPr>
          <w:p>
            <w:pPr>
              <w:jc w:val="right"/>
              <w:ind w:right="346"/>
              <w:spacing w:after="0"/>
              <w:rPr>
                <w:sz w:val="20"/>
                <w:szCs w:val="20"/>
                <w:color w:val="auto"/>
              </w:rPr>
            </w:pPr>
            <w:r>
              <w:rPr>
                <w:rFonts w:ascii="Arial" w:cs="Arial" w:eastAsia="Arial" w:hAnsi="Arial"/>
                <w:sz w:val="11"/>
                <w:szCs w:val="11"/>
                <w:b w:val="1"/>
                <w:bCs w:val="1"/>
                <w:color w:val="auto"/>
              </w:rPr>
              <w:t>Current</w:t>
            </w: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80" w:type="dxa"/>
            <w:vAlign w:val="bottom"/>
          </w:tcPr>
          <w:p>
            <w:pPr>
              <w:spacing w:after="0"/>
              <w:rPr>
                <w:sz w:val="9"/>
                <w:szCs w:val="9"/>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8"/>
        </w:trPr>
        <w:tc>
          <w:tcPr>
            <w:tcW w:w="3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26"/>
              <w:spacing w:after="0"/>
              <w:rPr>
                <w:sz w:val="20"/>
                <w:szCs w:val="20"/>
                <w:color w:val="auto"/>
              </w:rPr>
            </w:pPr>
            <w:r>
              <w:rPr>
                <w:rFonts w:ascii="Arial" w:cs="Arial" w:eastAsia="Arial" w:hAnsi="Arial"/>
                <w:sz w:val="11"/>
                <w:szCs w:val="11"/>
                <w:b w:val="1"/>
                <w:bCs w:val="1"/>
                <w:color w:val="auto"/>
              </w:rPr>
              <w:t>Coupon</w:t>
            </w:r>
          </w:p>
        </w:tc>
        <w:tc>
          <w:tcPr>
            <w:tcW w:w="7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320" w:type="dxa"/>
            <w:vAlign w:val="bottom"/>
            <w:tcBorders>
              <w:top w:val="single" w:sz="8" w:color="auto"/>
            </w:tcBorders>
          </w:tcPr>
          <w:p>
            <w:pPr>
              <w:ind w:left="20"/>
              <w:spacing w:after="0" w:line="99" w:lineRule="exact"/>
              <w:rPr>
                <w:sz w:val="20"/>
                <w:szCs w:val="20"/>
                <w:color w:val="auto"/>
              </w:rPr>
            </w:pPr>
            <w:r>
              <w:rPr>
                <w:rFonts w:ascii="Arial" w:cs="Arial" w:eastAsia="Arial" w:hAnsi="Arial"/>
                <w:sz w:val="11"/>
                <w:szCs w:val="11"/>
                <w:color w:val="auto"/>
              </w:rPr>
              <w:t>Smile Brands Inc.</w:t>
            </w:r>
          </w:p>
        </w:tc>
        <w:tc>
          <w:tcPr>
            <w:tcW w:w="140" w:type="dxa"/>
            <w:vAlign w:val="bottom"/>
          </w:tcPr>
          <w:p>
            <w:pPr>
              <w:spacing w:after="0"/>
              <w:rPr>
                <w:sz w:val="8"/>
                <w:szCs w:val="8"/>
                <w:color w:val="auto"/>
              </w:rPr>
            </w:pPr>
          </w:p>
        </w:tc>
        <w:tc>
          <w:tcPr>
            <w:tcW w:w="64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7"/>
              </w:rPr>
              <w:t>10/14/2024</w:t>
            </w:r>
          </w:p>
        </w:tc>
        <w:tc>
          <w:tcPr>
            <w:tcW w:w="180" w:type="dxa"/>
            <w:vAlign w:val="bottom"/>
          </w:tcPr>
          <w:p>
            <w:pPr>
              <w:spacing w:after="0"/>
              <w:rPr>
                <w:sz w:val="8"/>
                <w:szCs w:val="8"/>
                <w:color w:val="auto"/>
              </w:rPr>
            </w:pPr>
          </w:p>
        </w:tc>
        <w:tc>
          <w:tcPr>
            <w:tcW w:w="236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8"/>
                <w:szCs w:val="8"/>
                <w:color w:val="auto"/>
              </w:rPr>
            </w:pPr>
          </w:p>
        </w:tc>
        <w:tc>
          <w:tcPr>
            <w:tcW w:w="6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5.27</w:t>
            </w:r>
          </w:p>
        </w:tc>
        <w:tc>
          <w:tcPr>
            <w:tcW w:w="240" w:type="dxa"/>
            <w:vAlign w:val="bottom"/>
          </w:tcPr>
          <w:p>
            <w:pPr>
              <w:jc w:val="right"/>
              <w:ind w:right="86"/>
              <w:spacing w:after="0" w:line="99" w:lineRule="exact"/>
              <w:rPr>
                <w:sz w:val="20"/>
                <w:szCs w:val="20"/>
                <w:color w:val="auto"/>
              </w:rPr>
            </w:pPr>
            <w:r>
              <w:rPr>
                <w:rFonts w:ascii="Arial" w:cs="Arial" w:eastAsia="Arial" w:hAnsi="Arial"/>
                <w:sz w:val="11"/>
                <w:szCs w:val="11"/>
                <w:color w:val="auto"/>
                <w:w w:val="81"/>
              </w:rPr>
              <w:t>%</w:t>
            </w:r>
          </w:p>
        </w:tc>
        <w:tc>
          <w:tcPr>
            <w:tcW w:w="7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1M L+450</w:t>
            </w:r>
          </w:p>
        </w:tc>
        <w:tc>
          <w:tcPr>
            <w:tcW w:w="160" w:type="dxa"/>
            <w:vAlign w:val="bottom"/>
          </w:tcPr>
          <w:p>
            <w:pPr>
              <w:spacing w:after="0"/>
              <w:rPr>
                <w:sz w:val="8"/>
                <w:szCs w:val="8"/>
                <w:color w:val="auto"/>
              </w:rPr>
            </w:pPr>
          </w:p>
        </w:tc>
        <w:tc>
          <w:tcPr>
            <w:tcW w:w="7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1,961,664</w:t>
            </w:r>
          </w:p>
        </w:tc>
        <w:tc>
          <w:tcPr>
            <w:tcW w:w="160" w:type="dxa"/>
            <w:vAlign w:val="bottom"/>
          </w:tcPr>
          <w:p>
            <w:pPr>
              <w:spacing w:after="0"/>
              <w:rPr>
                <w:sz w:val="8"/>
                <w:szCs w:val="8"/>
                <w:color w:val="auto"/>
              </w:rPr>
            </w:pPr>
          </w:p>
        </w:tc>
        <w:tc>
          <w:tcPr>
            <w:tcW w:w="140" w:type="dxa"/>
            <w:vAlign w:val="bottom"/>
            <w:tcBorders>
              <w:top w:val="single" w:sz="8" w:color="auto"/>
            </w:tcBorders>
          </w:tcPr>
          <w:p>
            <w:pPr>
              <w:jc w:val="right"/>
              <w:ind w:right="31"/>
              <w:spacing w:after="0" w:line="99"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1,961,664</w:t>
            </w:r>
          </w:p>
        </w:tc>
        <w:tc>
          <w:tcPr>
            <w:tcW w:w="160" w:type="dxa"/>
            <w:vAlign w:val="bottom"/>
          </w:tcPr>
          <w:p>
            <w:pPr>
              <w:spacing w:after="0"/>
              <w:rPr>
                <w:sz w:val="8"/>
                <w:szCs w:val="8"/>
                <w:color w:val="auto"/>
              </w:rPr>
            </w:pPr>
          </w:p>
        </w:tc>
        <w:tc>
          <w:tcPr>
            <w:tcW w:w="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1,942,047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10/14/2024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1,616,250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(16,163 )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07/19/2021</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Beverage, Food and Tobacco</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66,667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66,667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66,667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07/19/2021</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Beverage, Food and Tobacco</w:t>
            </w:r>
          </w:p>
        </w:tc>
        <w:tc>
          <w:tcPr>
            <w:tcW w:w="140" w:type="dxa"/>
            <w:vAlign w:val="bottom"/>
          </w:tcPr>
          <w:p>
            <w:pPr>
              <w:spacing w:after="0"/>
              <w:rPr>
                <w:sz w:val="13"/>
                <w:szCs w:val="13"/>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428,469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01/17/2024</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5,989,487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5,928,216</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5,989,487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01/17/2024</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40" w:type="dxa"/>
            <w:vAlign w:val="bottom"/>
          </w:tcPr>
          <w:p>
            <w:pPr>
              <w:spacing w:after="0"/>
              <w:rPr>
                <w:sz w:val="13"/>
                <w:szCs w:val="13"/>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1,665,000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Spear Education,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02/26/2025</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Professional Services</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14,898,125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14,751,993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14,898,125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02/26/2022</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4"/>
                <w:szCs w:val="14"/>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6,875,000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Spectacle Gary Holdings,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12/23/2025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4,870,852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5,414,580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STV Group Incorporated</w:t>
            </w:r>
          </w:p>
        </w:tc>
        <w:tc>
          <w:tcPr>
            <w:tcW w:w="7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12/11/2026</w:t>
            </w:r>
          </w:p>
        </w:tc>
        <w:tc>
          <w:tcPr>
            <w:tcW w:w="18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91"/>
              </w:rPr>
              <w:t>Construction &amp; Engineering</w:t>
            </w:r>
          </w:p>
        </w:tc>
        <w:tc>
          <w:tcPr>
            <w:tcW w:w="106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5.33 %</w:t>
            </w: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4,751,892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4,712,393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4,728,132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TAC LifePort Purchaser,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03/01/2026</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530,980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521,285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530,808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03/01/2026</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4"/>
                <w:szCs w:val="14"/>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1,302,326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(420 )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11/20/2025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Wireless Telecommunication Services</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5.50 %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3,127,222</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3,102,599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3,095,950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07/18/2025</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Diversified Financial Services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5,852,595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5,754,319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5,820,874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Aegis Technologies Group,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10/31/2025</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4,968,227</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4,899,588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4,918,545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The Bluebird Group LLC</w:t>
            </w:r>
          </w:p>
        </w:tc>
        <w:tc>
          <w:tcPr>
            <w:tcW w:w="78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07/27/2026</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6"/>
              </w:rPr>
              <w:t>Professional Services</w:t>
            </w:r>
          </w:p>
        </w:tc>
        <w:tc>
          <w:tcPr>
            <w:tcW w:w="106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8.00 %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L+700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4,844,496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4,749,627</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4,813,975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07/27/2026</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862,381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(5,433 )</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The Infosoft Group,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09/16/2024</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Media: Broadcasting and Subscription</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15,724,607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15,632,711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15,724,607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08/30/2027</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2,733,889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(23,847 )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08/30/2027</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911,296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(17,062 )</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14"/>
                <w:szCs w:val="14"/>
                <w:color w:val="auto"/>
                <w:vertAlign w:val="superscript"/>
              </w:rPr>
              <w:t>(5), (10)</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11/24/2025</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4,912,500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4,876,338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4,765,125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TVC Enterprises,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03/26/2026</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24,986,657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24,662,540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24,986,657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03/26/2026</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3"/>
                <w:szCs w:val="13"/>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1,303,813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TWS Acquisition Corporation</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06/16/2025</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0"/>
              </w:rPr>
              <w:t>Diversified Consumer Services</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6,636,062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6,523,533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6,636,062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06/16/2025</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tcPr>
          <w:p>
            <w:pPr>
              <w:spacing w:after="0"/>
              <w:rPr>
                <w:sz w:val="13"/>
                <w:szCs w:val="13"/>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2,627,857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Tyto Athene,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04/01/2028</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7"/>
              </w:rPr>
              <w:t>IT Services</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6.25 %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12,036,108</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11,861,076</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12,036,108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04/01/2026</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3"/>
                <w:szCs w:val="13"/>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1,039,799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UBEO,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04/03/2024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6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18,112,089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18,014,910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18,021,529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UBEO, LLC (Revolver)</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04/03/2024</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8"/>
              </w:rPr>
              <w:t>Capital Equipment</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5.50 %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1,466,667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1,466,667</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1,459,333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4"/>
                <w:szCs w:val="14"/>
                <w:color w:val="auto"/>
                <w:vertAlign w:val="superscript"/>
              </w:rPr>
              <w:t>(9)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04/03/2024</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40" w:type="dxa"/>
            <w:vAlign w:val="bottom"/>
          </w:tcPr>
          <w:p>
            <w:pPr>
              <w:spacing w:after="0"/>
              <w:rPr>
                <w:sz w:val="14"/>
                <w:szCs w:val="14"/>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1,466,667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(7,333 )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Urology Management Associates,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08/30/2024</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5.50 %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4,776,283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4,720,971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4,752,401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Arial" w:cs="Arial" w:eastAsia="Arial" w:hAnsi="Arial"/>
                <w:sz w:val="11"/>
                <w:szCs w:val="11"/>
                <w:color w:val="auto"/>
              </w:rPr>
              <w:t>Vision Purchaser Corporation</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06/10/2025</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7.75 %</w:t>
            </w:r>
          </w:p>
        </w:tc>
        <w:tc>
          <w:tcPr>
            <w:tcW w:w="760" w:type="dxa"/>
            <w:vAlign w:val="bottom"/>
          </w:tcPr>
          <w:p>
            <w:pPr>
              <w:jc w:val="right"/>
              <w:spacing w:after="0"/>
              <w:rPr>
                <w:sz w:val="20"/>
                <w:szCs w:val="20"/>
                <w:color w:val="auto"/>
              </w:rPr>
            </w:pPr>
            <w:r>
              <w:rPr>
                <w:rFonts w:ascii="Arial" w:cs="Arial" w:eastAsia="Arial" w:hAnsi="Arial"/>
                <w:sz w:val="11"/>
                <w:szCs w:val="11"/>
                <w:color w:val="auto"/>
              </w:rPr>
              <w:t>1M L+675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14,248,804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14,044,655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14,035,072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03/31/2027</w:t>
            </w: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12,437,500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12,146,653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11,971,094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Wildcat Buyerco, Inc.</w:t>
            </w:r>
          </w:p>
        </w:tc>
        <w:tc>
          <w:tcPr>
            <w:tcW w:w="78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02/27/2026</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8"/>
              </w:rPr>
              <w:t>Electronic Equipment, Instruments, and Components</w:t>
            </w:r>
          </w:p>
        </w:tc>
        <w:tc>
          <w:tcPr>
            <w:tcW w:w="106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6.00 %</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3,057,054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3,038,839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3,041,769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02/27/2022</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Electronic Equipment, Instruments, and Components</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2,491,176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15,570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02/27/2026</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Electronic Equipment, Instruments, and Components</w:t>
            </w:r>
          </w:p>
        </w:tc>
        <w:tc>
          <w:tcPr>
            <w:tcW w:w="140" w:type="dxa"/>
            <w:vAlign w:val="bottom"/>
          </w:tcPr>
          <w:p>
            <w:pPr>
              <w:spacing w:after="0"/>
              <w:rPr>
                <w:sz w:val="14"/>
                <w:szCs w:val="14"/>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533,824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(7,046 )</w:t>
            </w:r>
          </w:p>
        </w:tc>
        <w:tc>
          <w:tcPr>
            <w:tcW w:w="0" w:type="dxa"/>
            <w:vAlign w:val="bottom"/>
          </w:tcPr>
          <w:p>
            <w:pPr>
              <w:spacing w:after="0"/>
              <w:rPr>
                <w:sz w:val="1"/>
                <w:szCs w:val="1"/>
                <w:color w:val="auto"/>
              </w:rPr>
            </w:pPr>
          </w:p>
        </w:tc>
      </w:tr>
      <w:tr>
        <w:trPr>
          <w:trHeight w:val="128"/>
        </w:trPr>
        <w:tc>
          <w:tcPr>
            <w:tcW w:w="3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top w:val="single" w:sz="8" w:color="auto"/>
              <w:bottom w:val="single" w:sz="8" w:color="auto"/>
            </w:tcBorders>
            <w:shd w:val="clear" w:color="auto" w:fill="CCECFF"/>
          </w:tcPr>
          <w:p>
            <w:pPr>
              <w:spacing w:after="0"/>
              <w:rPr>
                <w:sz w:val="11"/>
                <w:szCs w:val="11"/>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772,799,159</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top w:val="single" w:sz="8" w:color="auto"/>
              <w:bottom w:val="single" w:sz="8" w:color="auto"/>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764,584,161</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2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Debt—0.7%</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Mailsouth Inc.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04/23/2025</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15.00 %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864,289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864,289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864,289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320" w:type="dxa"/>
            <w:vAlign w:val="bottom"/>
            <w:vMerge w:val="restart"/>
          </w:tcPr>
          <w:p>
            <w:pPr>
              <w:ind w:left="20"/>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(7)</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w w:val="97"/>
              </w:rPr>
              <w:t>(PIK 15.00%)</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320" w:type="dxa"/>
            <w:vAlign w:val="bottom"/>
            <w:vMerge w:val="continue"/>
          </w:tcPr>
          <w:p>
            <w:pPr>
              <w:spacing w:after="0"/>
              <w:rPr>
                <w:sz w:val="11"/>
                <w:szCs w:val="11"/>
                <w:color w:val="auto"/>
              </w:rPr>
            </w:pP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11/30/2024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760" w:type="dxa"/>
            <w:vAlign w:val="bottom"/>
          </w:tcPr>
          <w:p>
            <w:pPr>
              <w:jc w:val="right"/>
              <w:spacing w:after="0"/>
              <w:rPr>
                <w:sz w:val="20"/>
                <w:szCs w:val="20"/>
                <w:color w:val="auto"/>
              </w:rPr>
            </w:pPr>
            <w:r>
              <w:rPr>
                <w:rFonts w:ascii="Arial" w:cs="Arial" w:eastAsia="Arial" w:hAnsi="Arial"/>
                <w:sz w:val="11"/>
                <w:szCs w:val="11"/>
                <w:color w:val="auto"/>
              </w:rPr>
              <w:t>3M L+1,000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2,343,262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2,331,051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2,343,262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w w:val="97"/>
              </w:rPr>
              <w:t>(PIK 11.00%)</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QuantiTech LLC</w:t>
            </w:r>
          </w:p>
        </w:tc>
        <w:tc>
          <w:tcPr>
            <w:tcW w:w="780" w:type="dxa"/>
            <w:vAlign w:val="bottom"/>
            <w:tcBorders>
              <w:bottom w:val="single" w:sz="8" w:color="CCECFF"/>
            </w:tcBorders>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02/04/2027</w:t>
            </w:r>
          </w:p>
        </w:tc>
        <w:tc>
          <w:tcPr>
            <w:tcW w:w="180" w:type="dxa"/>
            <w:vAlign w:val="bottom"/>
            <w:tcBorders>
              <w:bottom w:val="single" w:sz="8" w:color="CCECFF"/>
            </w:tcBorders>
            <w:shd w:val="clear" w:color="auto" w:fill="CCECFF"/>
          </w:tcPr>
          <w:p>
            <w:pPr>
              <w:spacing w:after="0"/>
              <w:rPr>
                <w:sz w:val="12"/>
                <w:szCs w:val="12"/>
                <w:color w:val="auto"/>
              </w:rPr>
            </w:pPr>
          </w:p>
        </w:tc>
        <w:tc>
          <w:tcPr>
            <w:tcW w:w="23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6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11.00 %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9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150,000</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147,229</w:t>
            </w:r>
          </w:p>
        </w:tc>
        <w:tc>
          <w:tcPr>
            <w:tcW w:w="16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147,375</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32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3,342,569</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3,354,926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 1.3% </w:t>
            </w:r>
            <w:r>
              <w:rPr>
                <w:rFonts w:ascii="Arial" w:cs="Arial" w:eastAsia="Arial" w:hAnsi="Arial"/>
                <w:sz w:val="12"/>
                <w:szCs w:val="12"/>
                <w:b w:val="1"/>
                <w:bCs w:val="1"/>
                <w:color w:val="auto"/>
                <w:vertAlign w:val="superscript"/>
              </w:rPr>
              <w:t>(6)</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672,000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672,000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9"/>
                <w:szCs w:val="9"/>
                <w:color w:val="auto"/>
              </w:rPr>
            </w:pPr>
          </w:p>
        </w:tc>
        <w:tc>
          <w:tcPr>
            <w:tcW w:w="92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1,458</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21,870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332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(7), (8)</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3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color w:val="auto"/>
              </w:rPr>
              <w:t xml:space="preserve">Mars Intermediate Holdings II, Inc. </w:t>
            </w:r>
            <w:r>
              <w:rPr>
                <w:rFonts w:ascii="Arial" w:cs="Arial" w:eastAsia="Arial" w:hAnsi="Arial"/>
                <w:sz w:val="12"/>
                <w:szCs w:val="12"/>
                <w:color w:val="auto"/>
                <w:vertAlign w:val="superscript"/>
              </w:rPr>
              <w:t>(7)</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9"/>
                <w:szCs w:val="9"/>
                <w:color w:val="auto"/>
              </w:rPr>
            </w:pPr>
          </w:p>
        </w:tc>
        <w:tc>
          <w:tcPr>
            <w:tcW w:w="920" w:type="dxa"/>
            <w:vAlign w:val="bottom"/>
            <w:gridSpan w:val="2"/>
          </w:tcPr>
          <w:p>
            <w:pPr>
              <w:jc w:val="right"/>
              <w:ind w:right="206"/>
              <w:spacing w:after="0" w:line="10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835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835,000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871,525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960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960,000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1,231,746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733,049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925,935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132,654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132,654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760" w:type="dxa"/>
            <w:vAlign w:val="bottom"/>
          </w:tcPr>
          <w:p>
            <w:pPr>
              <w:jc w:val="right"/>
              <w:spacing w:after="0"/>
              <w:rPr>
                <w:sz w:val="20"/>
                <w:szCs w:val="20"/>
                <w:color w:val="auto"/>
              </w:rPr>
            </w:pPr>
            <w:r>
              <w:rPr>
                <w:rFonts w:ascii="Arial" w:cs="Arial" w:eastAsia="Arial" w:hAnsi="Arial"/>
                <w:sz w:val="11"/>
                <w:szCs w:val="11"/>
                <w:color w:val="auto"/>
              </w:rPr>
              <w:t>3M L+1,000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429,000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536,476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12.00 %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1,323,421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1,628,120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409,011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489,811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14"/>
                <w:szCs w:val="14"/>
                <w:color w:val="auto"/>
                <w:vertAlign w:val="superscript"/>
              </w:rPr>
              <w:t>(7)</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40" w:type="dxa"/>
            <w:vAlign w:val="bottom"/>
          </w:tcPr>
          <w:p>
            <w:pPr>
              <w:spacing w:after="0"/>
              <w:rPr>
                <w:sz w:val="13"/>
                <w:szCs w:val="13"/>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36,686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36,686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UniTek Global Services, Inc. -</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Telecommunications</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20.00 %</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343,861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343,861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19.00 %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448,851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448,851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13.50 %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1,047,317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670,283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32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7,015,686</w:t>
            </w:r>
          </w:p>
        </w:tc>
        <w:tc>
          <w:tcPr>
            <w:tcW w:w="1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6,524,953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Equity/Warrants— 16.8% </w:t>
            </w:r>
            <w:r>
              <w:rPr>
                <w:rFonts w:ascii="Arial" w:cs="Arial" w:eastAsia="Arial" w:hAnsi="Arial"/>
                <w:sz w:val="12"/>
                <w:szCs w:val="12"/>
                <w:b w:val="1"/>
                <w:bCs w:val="1"/>
                <w:color w:val="auto"/>
                <w:vertAlign w:val="superscript"/>
              </w:rPr>
              <w:t>(6)</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7,467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74,667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137,494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04/10/2024</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8,893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244,998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805,164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1,192,367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 (9)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1,437,500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377,877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21,908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2,100,404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12,798,838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 (9)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40" w:type="dxa"/>
            <w:vAlign w:val="bottom"/>
          </w:tcPr>
          <w:p>
            <w:pPr>
              <w:spacing w:after="0"/>
              <w:rPr>
                <w:sz w:val="13"/>
                <w:szCs w:val="13"/>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7,401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CI (Allied) Investment Holdings,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9"/>
                <w:szCs w:val="9"/>
                <w:color w:val="auto"/>
              </w:rPr>
            </w:pPr>
          </w:p>
        </w:tc>
        <w:tc>
          <w:tcPr>
            <w:tcW w:w="92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120,962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1,243,217</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475,439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100"/>
              <w:spacing w:after="0" w:line="155" w:lineRule="exact"/>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(7), (8)</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20" w:type="dxa"/>
            <w:vAlign w:val="bottom"/>
          </w:tcPr>
          <w:p>
            <w:pPr>
              <w:ind w:left="20"/>
              <w:spacing w:after="0" w:line="115" w:lineRule="exact"/>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9"/>
                <w:szCs w:val="9"/>
                <w:color w:val="auto"/>
              </w:rPr>
            </w:pPr>
          </w:p>
        </w:tc>
        <w:tc>
          <w:tcPr>
            <w:tcW w:w="92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13,333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200,000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332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(7), (8)</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3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color w:val="auto"/>
              </w:rPr>
              <w:t xml:space="preserve">Connatix Parent, LLC </w:t>
            </w:r>
            <w:r>
              <w:rPr>
                <w:rFonts w:ascii="Arial" w:cs="Arial" w:eastAsia="Arial" w:hAnsi="Arial"/>
                <w:sz w:val="12"/>
                <w:szCs w:val="12"/>
                <w:color w:val="auto"/>
                <w:vertAlign w:val="superscript"/>
              </w:rPr>
              <w:t>(7)</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9"/>
                <w:szCs w:val="9"/>
                <w:color w:val="auto"/>
              </w:rPr>
            </w:pPr>
          </w:p>
        </w:tc>
        <w:tc>
          <w:tcPr>
            <w:tcW w:w="920" w:type="dxa"/>
            <w:vAlign w:val="bottom"/>
            <w:gridSpan w:val="2"/>
          </w:tcPr>
          <w:p>
            <w:pPr>
              <w:jc w:val="right"/>
              <w:ind w:right="206"/>
              <w:spacing w:after="0" w:line="105"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38,278</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421,058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423,439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Acquisition Parent Holdings, L.P.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120,001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Crash Champions Holdings, LLC </w:t>
            </w:r>
            <w:r>
              <w:rPr>
                <w:rFonts w:ascii="Arial" w:cs="Arial" w:eastAsia="Arial" w:hAnsi="Arial"/>
                <w:sz w:val="14"/>
                <w:szCs w:val="14"/>
                <w:color w:val="auto"/>
                <w:vertAlign w:val="superscript"/>
              </w:rPr>
              <w:t>(7),(8)</w:t>
            </w:r>
          </w:p>
        </w:tc>
        <w:tc>
          <w:tcPr>
            <w:tcW w:w="140" w:type="dxa"/>
            <w:vAlign w:val="bottom"/>
          </w:tcPr>
          <w:p>
            <w:pPr>
              <w:spacing w:after="0"/>
              <w:rPr>
                <w:sz w:val="16"/>
                <w:szCs w:val="16"/>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40" w:type="dxa"/>
            <w:vAlign w:val="bottom"/>
          </w:tcPr>
          <w:p>
            <w:pPr>
              <w:spacing w:after="0"/>
              <w:rPr>
                <w:sz w:val="16"/>
                <w:szCs w:val="16"/>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677,778</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763,581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-6665595</wp:posOffset>
            </wp:positionV>
            <wp:extent cx="7132320" cy="857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-6494145</wp:posOffset>
            </wp:positionV>
            <wp:extent cx="7132320" cy="857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-6322695</wp:posOffset>
            </wp:positionV>
            <wp:extent cx="7132320" cy="857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-6151245</wp:posOffset>
            </wp:positionV>
            <wp:extent cx="7132320" cy="85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-5808345</wp:posOffset>
            </wp:positionV>
            <wp:extent cx="7132320" cy="857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-5293995</wp:posOffset>
            </wp:positionV>
            <wp:extent cx="713232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-5122545</wp:posOffset>
            </wp:positionV>
            <wp:extent cx="7132320" cy="85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-4951095</wp:posOffset>
            </wp:positionV>
            <wp:extent cx="713232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-4779645</wp:posOffset>
            </wp:positionV>
            <wp:extent cx="7132320" cy="85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-4608195</wp:posOffset>
            </wp:positionV>
            <wp:extent cx="713232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-4436745</wp:posOffset>
            </wp:positionV>
            <wp:extent cx="7132320" cy="857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-4265295</wp:posOffset>
            </wp:positionV>
            <wp:extent cx="7132320" cy="85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-3750945</wp:posOffset>
            </wp:positionV>
            <wp:extent cx="7132320" cy="857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-3482340</wp:posOffset>
            </wp:positionV>
            <wp:extent cx="2603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-3482340</wp:posOffset>
            </wp:positionV>
            <wp:extent cx="2603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-3390900</wp:posOffset>
            </wp:positionV>
            <wp:extent cx="7132320" cy="857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-3219450</wp:posOffset>
            </wp:positionV>
            <wp:extent cx="713232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-2874010</wp:posOffset>
            </wp:positionV>
            <wp:extent cx="2603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-2874010</wp:posOffset>
            </wp:positionV>
            <wp:extent cx="2603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-2773680</wp:posOffset>
            </wp:positionV>
            <wp:extent cx="7132320" cy="857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-2602230</wp:posOffset>
            </wp:positionV>
            <wp:extent cx="713232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-2345055</wp:posOffset>
            </wp:positionV>
            <wp:extent cx="7132320" cy="857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-2173605</wp:posOffset>
            </wp:positionV>
            <wp:extent cx="7132320" cy="857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-2002155</wp:posOffset>
            </wp:positionV>
            <wp:extent cx="7132320" cy="857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-1830705</wp:posOffset>
            </wp:positionV>
            <wp:extent cx="7132320" cy="857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-1573530</wp:posOffset>
            </wp:positionV>
            <wp:extent cx="7132320" cy="857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-1393825</wp:posOffset>
            </wp:positionV>
            <wp:extent cx="7132320" cy="946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-1213485</wp:posOffset>
            </wp:positionV>
            <wp:extent cx="713232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-1042035</wp:posOffset>
            </wp:positionV>
            <wp:extent cx="713232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857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Current</w:t>
            </w: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6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9"/>
                <w:szCs w:val="9"/>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2"/>
        </w:trPr>
        <w:tc>
          <w:tcPr>
            <w:tcW w:w="352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760" w:type="dxa"/>
            <w:vAlign w:val="bottom"/>
          </w:tcPr>
          <w:p>
            <w:pPr>
              <w:jc w:val="center"/>
              <w:spacing w:after="0" w:line="132"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9"/>
                <w:szCs w:val="9"/>
                <w:color w:val="auto"/>
              </w:rPr>
              <w:t xml:space="preserve">Delta InvestCo LP (Sigma Defense Systems, LLC) </w:t>
            </w:r>
            <w:r>
              <w:rPr>
                <w:rFonts w:ascii="Arial" w:cs="Arial" w:eastAsia="Arial" w:hAnsi="Arial"/>
                <w:sz w:val="12"/>
                <w:szCs w:val="12"/>
                <w:color w:val="auto"/>
                <w:vertAlign w:val="superscript"/>
              </w:rPr>
              <w:t>(7), (8)</w:t>
            </w: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ind w:left="46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9"/>
                <w:szCs w:val="9"/>
                <w:color w:val="auto"/>
              </w:rPr>
            </w:pPr>
          </w:p>
        </w:tc>
        <w:tc>
          <w:tcPr>
            <w:tcW w:w="6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60" w:type="dxa"/>
            <w:vAlign w:val="bottom"/>
            <w:tcBorders>
              <w:top w:val="single" w:sz="8" w:color="auto"/>
            </w:tcBorders>
          </w:tcPr>
          <w:p>
            <w:pPr>
              <w:ind w:left="640"/>
              <w:spacing w:after="0" w:line="105" w:lineRule="exact"/>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7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502,435</w:t>
            </w:r>
          </w:p>
        </w:tc>
        <w:tc>
          <w:tcPr>
            <w:tcW w:w="160" w:type="dxa"/>
            <w:vAlign w:val="bottom"/>
          </w:tcPr>
          <w:p>
            <w:pPr>
              <w:spacing w:after="0"/>
              <w:rPr>
                <w:sz w:val="9"/>
                <w:szCs w:val="9"/>
                <w:color w:val="auto"/>
              </w:rPr>
            </w:pPr>
          </w:p>
        </w:tc>
        <w:tc>
          <w:tcPr>
            <w:tcW w:w="140" w:type="dxa"/>
            <w:vAlign w:val="bottom"/>
            <w:tcBorders>
              <w:top w:val="single" w:sz="8" w:color="auto"/>
            </w:tcBorders>
          </w:tcPr>
          <w:p>
            <w:pPr>
              <w:jc w:val="right"/>
              <w:ind w:right="31"/>
              <w:spacing w:after="0" w:line="105"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502,435</w:t>
            </w:r>
          </w:p>
        </w:tc>
        <w:tc>
          <w:tcPr>
            <w:tcW w:w="160" w:type="dxa"/>
            <w:vAlign w:val="bottom"/>
          </w:tcPr>
          <w:p>
            <w:pPr>
              <w:spacing w:after="0"/>
              <w:rPr>
                <w:sz w:val="9"/>
                <w:szCs w:val="9"/>
                <w:color w:val="auto"/>
              </w:rPr>
            </w:pPr>
          </w:p>
        </w:tc>
        <w:tc>
          <w:tcPr>
            <w:tcW w:w="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429,852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502,435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(72,583 )</w:t>
            </w: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Electronic Equipment, Instruments, and Components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295,982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71,965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997,294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(7), (10)</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251,156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288,140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4,951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495,085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503,791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2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6,051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52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Gauge InfosoftCoInvest, LLC</w:t>
            </w: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Media: Broadcasting and Subscription</w:t>
            </w:r>
          </w:p>
        </w:tc>
        <w:tc>
          <w:tcPr>
            <w:tcW w:w="140" w:type="dxa"/>
            <w:vAlign w:val="bottom"/>
          </w:tcPr>
          <w:p>
            <w:pPr>
              <w:spacing w:after="0"/>
              <w:rPr>
                <w:sz w:val="9"/>
                <w:szCs w:val="9"/>
                <w:color w:val="auto"/>
              </w:rPr>
            </w:pPr>
          </w:p>
        </w:tc>
        <w:tc>
          <w:tcPr>
            <w:tcW w:w="92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ind w:left="640"/>
              <w:spacing w:after="0" w:line="115" w:lineRule="exact"/>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143,663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2,217,134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4"/>
                <w:szCs w:val="14"/>
                <w:color w:val="auto"/>
                <w:vertAlign w:val="superscript"/>
              </w:rPr>
              <w:t>(7)</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1,485,953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226,555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5,943,811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437,371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439,730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391,144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1,284,794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17,951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2,930,374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3,403,722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2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 (8), (9)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2,398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52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Go Dawgs Capital III, LP</w:t>
            </w: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1"/>
              </w:rPr>
              <w:t>Building Products</w:t>
            </w:r>
          </w:p>
        </w:tc>
        <w:tc>
          <w:tcPr>
            <w:tcW w:w="140" w:type="dxa"/>
            <w:vAlign w:val="bottom"/>
          </w:tcPr>
          <w:p>
            <w:pPr>
              <w:spacing w:after="0"/>
              <w:rPr>
                <w:sz w:val="9"/>
                <w:szCs w:val="9"/>
                <w:color w:val="auto"/>
              </w:rPr>
            </w:pPr>
          </w:p>
        </w:tc>
        <w:tc>
          <w:tcPr>
            <w:tcW w:w="92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ind w:left="640"/>
              <w:spacing w:after="0" w:line="115" w:lineRule="exact"/>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324,675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324,675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405,844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(7), (8)</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2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450,000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613,335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52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IIN Group Holdings, LLC</w:t>
            </w: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7"/>
              </w:rPr>
              <w:t>Consumer Services</w:t>
            </w:r>
          </w:p>
        </w:tc>
        <w:tc>
          <w:tcPr>
            <w:tcW w:w="140" w:type="dxa"/>
            <w:vAlign w:val="bottom"/>
          </w:tcPr>
          <w:p>
            <w:pPr>
              <w:spacing w:after="0"/>
              <w:rPr>
                <w:sz w:val="9"/>
                <w:szCs w:val="9"/>
                <w:color w:val="auto"/>
              </w:rPr>
            </w:pPr>
          </w:p>
        </w:tc>
        <w:tc>
          <w:tcPr>
            <w:tcW w:w="92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ind w:left="640"/>
              <w:spacing w:after="0" w:line="115" w:lineRule="exact"/>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1,000,000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1,949,548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4"/>
                <w:szCs w:val="14"/>
                <w:color w:val="auto"/>
                <w:vertAlign w:val="superscript"/>
              </w:rPr>
              <w:t>(7), (8)</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5,040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495,978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552,258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46,763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110,105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7,569,161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2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JWC/UMA Holdings, L.P. (Urology Management Associates, LLC)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1,667,085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52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JWC-WE Holdings, L.P.</w:t>
            </w: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Wholesale</w:t>
            </w:r>
          </w:p>
        </w:tc>
        <w:tc>
          <w:tcPr>
            <w:tcW w:w="140" w:type="dxa"/>
            <w:vAlign w:val="bottom"/>
          </w:tcPr>
          <w:p>
            <w:pPr>
              <w:spacing w:after="0"/>
              <w:rPr>
                <w:sz w:val="9"/>
                <w:szCs w:val="9"/>
                <w:color w:val="auto"/>
              </w:rPr>
            </w:pPr>
          </w:p>
        </w:tc>
        <w:tc>
          <w:tcPr>
            <w:tcW w:w="92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ind w:left="640"/>
              <w:spacing w:after="0" w:line="115" w:lineRule="exact"/>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1,381,741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4,795,400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(7), (8)</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Energy Equipment and Services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382,353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382,353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382,353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87,345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621,314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585,587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585,587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674,421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341,295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2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960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224,359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52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MSpark, LLC (Mailsouth Inc.)</w:t>
            </w: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Advertising, Printing and Publishing</w:t>
            </w:r>
          </w:p>
        </w:tc>
        <w:tc>
          <w:tcPr>
            <w:tcW w:w="140" w:type="dxa"/>
            <w:vAlign w:val="bottom"/>
          </w:tcPr>
          <w:p>
            <w:pPr>
              <w:spacing w:after="0"/>
              <w:rPr>
                <w:sz w:val="9"/>
                <w:szCs w:val="9"/>
                <w:color w:val="auto"/>
              </w:rPr>
            </w:pPr>
          </w:p>
        </w:tc>
        <w:tc>
          <w:tcPr>
            <w:tcW w:w="92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ind w:left="640"/>
              <w:spacing w:after="0" w:line="115" w:lineRule="exact"/>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3,988</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1,287,502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858,553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802,162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802,162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802,162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1,494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1,451,801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1,767,217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14,960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14,960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855,144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w w:val="94"/>
              </w:rPr>
              <w:t xml:space="preserve">OceanSound Discovery Equity, LP (Holdco Sands Intermediate, LLC) </w:t>
            </w:r>
            <w:r>
              <w:rPr>
                <w:rFonts w:ascii="Arial" w:cs="Arial" w:eastAsia="Arial" w:hAnsi="Arial"/>
                <w:sz w:val="14"/>
                <w:szCs w:val="14"/>
                <w:color w:val="auto"/>
                <w:w w:val="94"/>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173,638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1,729,029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2,870,069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w w:val="96"/>
              </w:rPr>
              <w:t xml:space="preserve">Oral Surgery (ITC) Holdings, LLC (OIS Management Services, LLC) </w:t>
            </w:r>
            <w:r>
              <w:rPr>
                <w:rFonts w:ascii="Arial" w:cs="Arial" w:eastAsia="Arial" w:hAnsi="Arial"/>
                <w:sz w:val="14"/>
                <w:szCs w:val="14"/>
                <w:color w:val="auto"/>
                <w:w w:val="96"/>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3,872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83,333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83,334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1,474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14,739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14,739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15,321,693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15,321,693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15,573,972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294,694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2,485,211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65,957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365,036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 (9)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967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20,625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1,050,000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1,253,055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SBI Holdings Investments LLC (Sales Benchmark Index LLC)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64,634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646,341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491,585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2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69,654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2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SSC Dominion Holdings, LLC</w:t>
            </w:r>
          </w:p>
        </w:tc>
        <w:tc>
          <w:tcPr>
            <w:tcW w:w="200" w:type="dxa"/>
            <w:vAlign w:val="bottom"/>
            <w:gridSpan w:val="2"/>
          </w:tcPr>
          <w:p>
            <w:pPr>
              <w:spacing w:after="0"/>
              <w:rPr>
                <w:sz w:val="9"/>
                <w:szCs w:val="9"/>
                <w:color w:val="auto"/>
              </w:rPr>
            </w:pP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8"/>
              </w:rPr>
              <w:t>Capital Equipment</w:t>
            </w:r>
          </w:p>
        </w:tc>
        <w:tc>
          <w:tcPr>
            <w:tcW w:w="140" w:type="dxa"/>
            <w:vAlign w:val="bottom"/>
          </w:tcPr>
          <w:p>
            <w:pPr>
              <w:spacing w:after="0"/>
              <w:rPr>
                <w:sz w:val="9"/>
                <w:szCs w:val="9"/>
                <w:color w:val="auto"/>
              </w:rPr>
            </w:pPr>
          </w:p>
        </w:tc>
        <w:tc>
          <w:tcPr>
            <w:tcW w:w="92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760" w:type="dxa"/>
            <w:vAlign w:val="bottom"/>
          </w:tcPr>
          <w:p>
            <w:pPr>
              <w:ind w:left="640"/>
              <w:spacing w:after="0" w:line="115" w:lineRule="exact"/>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500,000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629,856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32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4"/>
                <w:szCs w:val="14"/>
                <w:color w:val="auto"/>
                <w:vertAlign w:val="superscript"/>
              </w:rPr>
              <w:t>(7)</w:t>
            </w:r>
          </w:p>
        </w:tc>
        <w:tc>
          <w:tcPr>
            <w:tcW w:w="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20" w:type="dxa"/>
            <w:vAlign w:val="bottom"/>
            <w:vMerge w:val="continue"/>
            <w:shd w:val="clear" w:color="auto" w:fill="CCECFF"/>
          </w:tcPr>
          <w:p>
            <w:pPr>
              <w:spacing w:after="0"/>
              <w:rPr>
                <w:sz w:val="11"/>
                <w:szCs w:val="11"/>
                <w:color w:val="auto"/>
              </w:rPr>
            </w:pPr>
          </w:p>
        </w:tc>
        <w:tc>
          <w:tcPr>
            <w:tcW w:w="200" w:type="dxa"/>
            <w:vAlign w:val="bottom"/>
            <w:gridSpan w:val="2"/>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20" w:type="dxa"/>
            <w:vAlign w:val="bottom"/>
          </w:tcPr>
          <w:p>
            <w:pPr>
              <w:ind w:left="20"/>
              <w:spacing w:after="0" w:line="105" w:lineRule="exact"/>
              <w:rPr>
                <w:sz w:val="20"/>
                <w:szCs w:val="20"/>
                <w:color w:val="auto"/>
              </w:rPr>
            </w:pPr>
            <w:r>
              <w:rPr>
                <w:rFonts w:ascii="Arial" w:cs="Arial" w:eastAsia="Arial" w:hAnsi="Arial"/>
                <w:sz w:val="11"/>
                <w:szCs w:val="11"/>
                <w:color w:val="auto"/>
              </w:rPr>
              <w:t>SSC Dominion Holdings, LLC</w:t>
            </w:r>
          </w:p>
        </w:tc>
        <w:tc>
          <w:tcPr>
            <w:tcW w:w="200" w:type="dxa"/>
            <w:vAlign w:val="bottom"/>
            <w:gridSpan w:val="2"/>
          </w:tcPr>
          <w:p>
            <w:pPr>
              <w:spacing w:after="0"/>
              <w:rPr>
                <w:sz w:val="9"/>
                <w:szCs w:val="9"/>
                <w:color w:val="auto"/>
              </w:rPr>
            </w:pPr>
          </w:p>
        </w:tc>
        <w:tc>
          <w:tcPr>
            <w:tcW w:w="580" w:type="dxa"/>
            <w:vAlign w:val="bottom"/>
          </w:tcPr>
          <w:p>
            <w:pPr>
              <w:ind w:left="46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8"/>
              </w:rPr>
              <w:t>Capital Equipment</w:t>
            </w:r>
          </w:p>
        </w:tc>
        <w:tc>
          <w:tcPr>
            <w:tcW w:w="140" w:type="dxa"/>
            <w:vAlign w:val="bottom"/>
          </w:tcPr>
          <w:p>
            <w:pPr>
              <w:spacing w:after="0"/>
              <w:rPr>
                <w:sz w:val="9"/>
                <w:szCs w:val="9"/>
                <w:color w:val="auto"/>
              </w:rPr>
            </w:pPr>
          </w:p>
        </w:tc>
        <w:tc>
          <w:tcPr>
            <w:tcW w:w="92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760" w:type="dxa"/>
            <w:vAlign w:val="bottom"/>
          </w:tcPr>
          <w:p>
            <w:pPr>
              <w:ind w:left="640"/>
              <w:spacing w:after="0" w:line="105" w:lineRule="exact"/>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500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1,178,007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100"/>
              <w:spacing w:after="0" w:line="135" w:lineRule="exact"/>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4"/>
                <w:szCs w:val="14"/>
                <w:color w:val="auto"/>
                <w:vertAlign w:val="superscript"/>
              </w:rPr>
              <w:t>(7)</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StellPen Holdings, LLC (CF512, Inc.)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161,538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161,538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161,538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488,372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488,372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545,499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21,527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21,527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61,567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213,739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4"/>
                <w:szCs w:val="14"/>
                <w:color w:val="auto"/>
                <w:vertAlign w:val="superscript"/>
              </w:rPr>
              <w:t>(7)</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23,889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(7),(8)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405,264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520" w:type="dxa"/>
            <w:vAlign w:val="bottom"/>
            <w:gridSpan w:val="3"/>
          </w:tcPr>
          <w:p>
            <w:pPr>
              <w:ind w:left="20"/>
              <w:spacing w:after="0"/>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14"/>
                <w:szCs w:val="14"/>
                <w:color w:val="auto"/>
                <w:vertAlign w:val="superscript"/>
              </w:rPr>
              <w:t>(7), (8)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Electronic Equipment, Instruments, and Components</w:t>
            </w: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2,240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223,996</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398,121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2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Equity/Warrants</w:t>
            </w:r>
          </w:p>
        </w:tc>
        <w:tc>
          <w:tcPr>
            <w:tcW w:w="5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41,384,135</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82,342,397</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2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w w:val="91"/>
              </w:rPr>
              <w:t>Total Investments in Non-Controlled, Non-Affiliated Portfolio Companies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w w:val="94"/>
              </w:rPr>
              <w:t>824,541,549</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856,806,437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88"/>
              </w:rPr>
              <w:t xml:space="preserve">Investments in Non-Controlled, Affiliated Portfolio Companies—1.5% </w:t>
            </w:r>
            <w:r>
              <w:rPr>
                <w:rFonts w:ascii="Arial" w:cs="Arial" w:eastAsia="Arial" w:hAnsi="Arial"/>
                <w:sz w:val="14"/>
                <w:szCs w:val="14"/>
                <w:b w:val="1"/>
                <w:bCs w:val="1"/>
                <w:color w:val="auto"/>
                <w:w w:val="88"/>
                <w:vertAlign w:val="superscript"/>
              </w:rPr>
              <w:t>(3), (4)</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20"/>
              <w:spacing w:after="0"/>
              <w:rPr>
                <w:sz w:val="20"/>
                <w:szCs w:val="20"/>
                <w:color w:val="auto"/>
              </w:rPr>
            </w:pPr>
            <w:r>
              <w:rPr>
                <w:rFonts w:ascii="Arial" w:cs="Arial" w:eastAsia="Arial" w:hAnsi="Arial"/>
                <w:sz w:val="11"/>
                <w:szCs w:val="11"/>
                <w:b w:val="1"/>
                <w:bCs w:val="1"/>
                <w:color w:val="auto"/>
              </w:rPr>
              <w:t>Second Lien Secured Debt—1.1%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Arial" w:cs="Arial" w:eastAsia="Arial" w:hAnsi="Arial"/>
                <w:sz w:val="11"/>
                <w:szCs w:val="11"/>
                <w:color w:val="auto"/>
              </w:rPr>
              <w:t>DBI Holdings, LLC, Term Loan B</w:t>
            </w:r>
          </w:p>
        </w:tc>
        <w:tc>
          <w:tcPr>
            <w:tcW w:w="200" w:type="dxa"/>
            <w:vAlign w:val="bottom"/>
            <w:gridSpan w:val="2"/>
            <w:shd w:val="clear" w:color="auto" w:fill="CCECFF"/>
          </w:tcPr>
          <w:p>
            <w:pPr>
              <w:spacing w:after="0"/>
              <w:rPr>
                <w:sz w:val="12"/>
                <w:szCs w:val="12"/>
                <w:color w:val="auto"/>
              </w:rPr>
            </w:pPr>
          </w:p>
        </w:tc>
        <w:tc>
          <w:tcPr>
            <w:tcW w:w="580" w:type="dxa"/>
            <w:vAlign w:val="bottom"/>
            <w:shd w:val="clear" w:color="auto" w:fill="CCECFF"/>
          </w:tcPr>
          <w:p>
            <w:pPr>
              <w:ind w:left="20"/>
              <w:spacing w:after="0"/>
              <w:rPr>
                <w:sz w:val="20"/>
                <w:szCs w:val="20"/>
                <w:color w:val="auto"/>
              </w:rPr>
            </w:pPr>
            <w:r>
              <w:rPr>
                <w:rFonts w:ascii="Arial" w:cs="Arial" w:eastAsia="Arial" w:hAnsi="Arial"/>
                <w:sz w:val="11"/>
                <w:szCs w:val="11"/>
                <w:color w:val="auto"/>
                <w:w w:val="98"/>
              </w:rPr>
              <w:t>02/02/2026</w:t>
            </w:r>
          </w:p>
        </w:tc>
        <w:tc>
          <w:tcPr>
            <w:tcW w:w="180" w:type="dxa"/>
            <w:vAlign w:val="bottom"/>
            <w:shd w:val="clear" w:color="auto" w:fill="CCECFF"/>
          </w:tcPr>
          <w:p>
            <w:pPr>
              <w:spacing w:after="0"/>
              <w:rPr>
                <w:sz w:val="12"/>
                <w:szCs w:val="12"/>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11.00 %</w:t>
            </w:r>
          </w:p>
        </w:tc>
        <w:tc>
          <w:tcPr>
            <w:tcW w:w="760" w:type="dxa"/>
            <w:vAlign w:val="bottom"/>
            <w:shd w:val="clear" w:color="auto" w:fill="CCECFF"/>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3,404,590</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3,404,590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3,404,590</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1"/>
                <w:szCs w:val="11"/>
                <w:color w:val="auto"/>
              </w:rPr>
              <w:t xml:space="preserve">DBI Holding, LLC - 1.5 Lien Term Loan </w:t>
            </w:r>
            <w:r>
              <w:rPr>
                <w:rFonts w:ascii="Arial" w:cs="Arial" w:eastAsia="Arial" w:hAnsi="Arial"/>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3.00%)</w:t>
            </w: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20" w:type="dxa"/>
            <w:vAlign w:val="bottom"/>
            <w:vMerge w:val="continue"/>
          </w:tcPr>
          <w:p>
            <w:pPr>
              <w:spacing w:after="0"/>
              <w:rPr>
                <w:sz w:val="12"/>
                <w:szCs w:val="12"/>
                <w:color w:val="auto"/>
              </w:rPr>
            </w:pPr>
          </w:p>
        </w:tc>
        <w:tc>
          <w:tcPr>
            <w:tcW w:w="200" w:type="dxa"/>
            <w:vAlign w:val="bottom"/>
            <w:gridSpan w:val="2"/>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1"/>
                <w:szCs w:val="11"/>
                <w:color w:val="auto"/>
                <w:w w:val="98"/>
              </w:rPr>
              <w:t>05/01/2023</w:t>
            </w:r>
          </w:p>
        </w:tc>
        <w:tc>
          <w:tcPr>
            <w:tcW w:w="1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14.00 %</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2,189,596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2,189,596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2,189,596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w w:val="97"/>
              </w:rPr>
              <w:t>(PIK 14.00%)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5,594,186</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5,594,186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520" w:type="dxa"/>
            <w:vAlign w:val="bottom"/>
            <w:gridSpan w:val="3"/>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 0.4% </w:t>
            </w:r>
            <w:r>
              <w:rPr>
                <w:rFonts w:ascii="Arial" w:cs="Arial" w:eastAsia="Arial" w:hAnsi="Arial"/>
                <w:sz w:val="12"/>
                <w:szCs w:val="12"/>
                <w:b w:val="1"/>
                <w:bCs w:val="1"/>
                <w:color w:val="auto"/>
                <w:vertAlign w:val="superscript"/>
              </w:rPr>
              <w:t>(6)</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2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14"/>
                <w:szCs w:val="14"/>
                <w:color w:val="auto"/>
                <w:vertAlign w:val="superscript"/>
              </w:rPr>
              <w:t>(8)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14.00 %</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9,488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7,040,844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520" w:type="dxa"/>
            <w:vAlign w:val="bottom"/>
            <w:gridSpan w:val="3"/>
          </w:tcPr>
          <w:p>
            <w:pPr>
              <w:ind w:left="20"/>
              <w:spacing w:after="0"/>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14"/>
                <w:szCs w:val="14"/>
                <w:color w:val="auto"/>
                <w:vertAlign w:val="superscript"/>
              </w:rPr>
              <w:t>(8)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9,800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9,414,271</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1,838,710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16,455,115</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1,838,710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520" w:type="dxa"/>
            <w:vAlign w:val="bottom"/>
            <w:gridSpan w:val="3"/>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 0.0% </w:t>
            </w:r>
            <w:r>
              <w:rPr>
                <w:rFonts w:ascii="Arial" w:cs="Arial" w:eastAsia="Arial" w:hAnsi="Arial"/>
                <w:sz w:val="12"/>
                <w:szCs w:val="12"/>
                <w:b w:val="1"/>
                <w:bCs w:val="1"/>
                <w:color w:val="auto"/>
                <w:vertAlign w:val="superscript"/>
              </w:rPr>
              <w:t>(6)</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520" w:type="dxa"/>
            <w:vAlign w:val="bottom"/>
            <w:gridSpan w:val="3"/>
          </w:tcPr>
          <w:p>
            <w:pPr>
              <w:ind w:left="20"/>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14"/>
                <w:szCs w:val="14"/>
                <w:color w:val="auto"/>
                <w:vertAlign w:val="superscript"/>
              </w:rPr>
              <w:t>(8)</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1,489,508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330,791</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Total Common Equity</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330,791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3520" w:type="dxa"/>
            <w:vAlign w:val="bottom"/>
            <w:gridSpan w:val="3"/>
            <w:shd w:val="clear" w:color="auto" w:fill="CCECFF"/>
          </w:tcPr>
          <w:p>
            <w:pPr>
              <w:ind w:left="20"/>
              <w:spacing w:after="0"/>
              <w:rPr>
                <w:sz w:val="20"/>
                <w:szCs w:val="20"/>
                <w:color w:val="auto"/>
              </w:rPr>
            </w:pPr>
            <w:r>
              <w:rPr>
                <w:rFonts w:ascii="Arial" w:cs="Arial" w:eastAsia="Arial" w:hAnsi="Arial"/>
                <w:sz w:val="11"/>
                <w:szCs w:val="11"/>
                <w:b w:val="1"/>
                <w:bCs w:val="1"/>
                <w:color w:val="auto"/>
                <w:w w:val="98"/>
              </w:rPr>
              <w:t>Total Investments in Non-Controlled, Affiliated Portfolio Companies</w:t>
            </w: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22,380,092</w:t>
            </w: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7,432,896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-6257290</wp:posOffset>
            </wp:positionV>
            <wp:extent cx="2108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-6162675</wp:posOffset>
            </wp:positionV>
            <wp:extent cx="7132320" cy="857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-5991225</wp:posOffset>
            </wp:positionV>
            <wp:extent cx="7132320" cy="85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-5819775</wp:posOffset>
            </wp:positionV>
            <wp:extent cx="7132320" cy="857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-5562600</wp:posOffset>
            </wp:positionV>
            <wp:extent cx="7132320" cy="85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-5391150</wp:posOffset>
            </wp:positionV>
            <wp:extent cx="7132320" cy="857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-5219700</wp:posOffset>
            </wp:positionV>
            <wp:extent cx="7132320" cy="857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-4962525</wp:posOffset>
            </wp:positionV>
            <wp:extent cx="7132320" cy="857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-4705350</wp:posOffset>
            </wp:positionV>
            <wp:extent cx="7132320" cy="85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-4533900</wp:posOffset>
            </wp:positionV>
            <wp:extent cx="7132320" cy="857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-4276725</wp:posOffset>
            </wp:positionV>
            <wp:extent cx="7132320" cy="857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-4105275</wp:posOffset>
            </wp:positionV>
            <wp:extent cx="7132320" cy="85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-3933825</wp:posOffset>
            </wp:positionV>
            <wp:extent cx="7132320" cy="85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-3762375</wp:posOffset>
            </wp:positionV>
            <wp:extent cx="7132320" cy="857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-3590925</wp:posOffset>
            </wp:positionV>
            <wp:extent cx="7132320" cy="85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-3419475</wp:posOffset>
            </wp:positionV>
            <wp:extent cx="7132320" cy="857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-3248025</wp:posOffset>
            </wp:positionV>
            <wp:extent cx="7132320" cy="857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7132320" cy="857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-2905125</wp:posOffset>
            </wp:positionV>
            <wp:extent cx="7132320" cy="857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857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85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85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857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-1876425</wp:posOffset>
            </wp:positionV>
            <wp:extent cx="7132320" cy="857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857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-1436370</wp:posOffset>
            </wp:positionV>
            <wp:extent cx="2603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-1436370</wp:posOffset>
            </wp:positionV>
            <wp:extent cx="2603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57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2108835"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08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946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857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946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946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Current</w:t>
            </w:r>
          </w:p>
        </w:tc>
        <w:tc>
          <w:tcPr>
            <w:tcW w:w="16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4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8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3"/>
              </w:rPr>
              <w:t>Above</w:t>
            </w: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82"/>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60" w:type="dxa"/>
            <w:vAlign w:val="bottom"/>
          </w:tcPr>
          <w:p>
            <w:pPr>
              <w:spacing w:after="0"/>
              <w:rPr>
                <w:sz w:val="12"/>
                <w:szCs w:val="12"/>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14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88"/>
              </w:rPr>
              <w:t xml:space="preserve">Investments in Controlled, Affiliated Portfolio Companies—44.3% </w:t>
            </w:r>
            <w:r>
              <w:rPr>
                <w:rFonts w:ascii="Arial" w:cs="Arial" w:eastAsia="Arial" w:hAnsi="Arial"/>
                <w:sz w:val="14"/>
                <w:szCs w:val="14"/>
                <w:b w:val="1"/>
                <w:bCs w:val="1"/>
                <w:color w:val="auto"/>
                <w:w w:val="88"/>
                <w:vertAlign w:val="superscript"/>
              </w:rPr>
              <w:t>(3), (4)</w:t>
            </w: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First Lien Secured Debt—34.6%</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Marketplace Events, LLC - Super Priority First Lien Term Loan </w:t>
            </w:r>
            <w:r>
              <w:rPr>
                <w:rFonts w:ascii="Arial" w:cs="Arial" w:eastAsia="Arial" w:hAnsi="Arial"/>
                <w:sz w:val="14"/>
                <w:szCs w:val="14"/>
                <w:color w:val="auto"/>
                <w:vertAlign w:val="superscript"/>
              </w:rPr>
              <w:t>(7)</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90"/>
              </w:rPr>
              <w:t>09/30/2025</w:t>
            </w:r>
          </w:p>
        </w:tc>
        <w:tc>
          <w:tcPr>
            <w:tcW w:w="18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6.25 %</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3,417,490</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3,417,490</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3,417,490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14"/>
                <w:szCs w:val="14"/>
                <w:color w:val="auto"/>
                <w:vertAlign w:val="superscript"/>
              </w:rPr>
              <w:t>(7), (9)</w:t>
            </w: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6.25%)</w:t>
            </w: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Arial" w:cs="Arial" w:eastAsia="Arial" w:hAnsi="Arial"/>
                <w:sz w:val="11"/>
                <w:szCs w:val="11"/>
                <w:color w:val="auto"/>
                <w:w w:val="90"/>
              </w:rPr>
              <w:t>09/30/2025</w:t>
            </w:r>
          </w:p>
        </w:tc>
        <w:tc>
          <w:tcPr>
            <w:tcW w:w="18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91"/>
              </w:rPr>
              <w:t>Media: Diversified and Production</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vMerge w:val="restart"/>
          </w:tcPr>
          <w:p>
            <w:pPr>
              <w:jc w:val="right"/>
              <w:ind w:right="24"/>
              <w:spacing w:after="0"/>
              <w:rPr>
                <w:sz w:val="20"/>
                <w:szCs w:val="20"/>
                <w:color w:val="auto"/>
              </w:rPr>
            </w:pPr>
            <w:r>
              <w:rPr>
                <w:rFonts w:ascii="Arial" w:cs="Arial" w:eastAsia="Arial" w:hAnsi="Arial"/>
                <w:sz w:val="7"/>
                <w:szCs w:val="7"/>
                <w:color w:val="auto"/>
                <w:w w:val="92"/>
              </w:rPr>
              <w:t>(6)</w:t>
            </w: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3,260,502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2"/>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46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Marketplace Events, LLC</w:t>
            </w:r>
          </w:p>
        </w:tc>
        <w:tc>
          <w:tcPr>
            <w:tcW w:w="620" w:type="dxa"/>
            <w:vAlign w:val="bottom"/>
          </w:tcPr>
          <w:p>
            <w:pPr>
              <w:jc w:val="center"/>
              <w:spacing w:after="0" w:line="115" w:lineRule="exact"/>
              <w:rPr>
                <w:sz w:val="20"/>
                <w:szCs w:val="20"/>
                <w:color w:val="auto"/>
              </w:rPr>
            </w:pPr>
            <w:r>
              <w:rPr>
                <w:rFonts w:ascii="Arial" w:cs="Arial" w:eastAsia="Arial" w:hAnsi="Arial"/>
                <w:sz w:val="11"/>
                <w:szCs w:val="11"/>
                <w:color w:val="auto"/>
                <w:w w:val="90"/>
              </w:rPr>
              <w:t>09/30/2026</w:t>
            </w:r>
          </w:p>
        </w:tc>
        <w:tc>
          <w:tcPr>
            <w:tcW w:w="18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Diversified and Production</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0.00 %</w:t>
            </w:r>
          </w:p>
        </w:tc>
        <w:tc>
          <w:tcPr>
            <w:tcW w:w="160" w:type="dxa"/>
            <w:vAlign w:val="bottom"/>
            <w:vMerge w:val="continue"/>
          </w:tcPr>
          <w:p>
            <w:pPr>
              <w:spacing w:after="0"/>
              <w:rPr>
                <w:sz w:val="9"/>
                <w:szCs w:val="9"/>
                <w:color w:val="auto"/>
              </w:rPr>
            </w:pPr>
          </w:p>
        </w:tc>
        <w:tc>
          <w:tcPr>
            <w:tcW w:w="7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25,541,622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19,046,876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25,541,622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620" w:type="dxa"/>
            <w:vAlign w:val="bottom"/>
          </w:tcPr>
          <w:p>
            <w:pPr>
              <w:jc w:val="center"/>
              <w:spacing w:after="0"/>
              <w:rPr>
                <w:sz w:val="20"/>
                <w:szCs w:val="20"/>
                <w:color w:val="auto"/>
              </w:rPr>
            </w:pPr>
            <w:r>
              <w:rPr>
                <w:rFonts w:ascii="Arial" w:cs="Arial" w:eastAsia="Arial" w:hAnsi="Arial"/>
                <w:sz w:val="11"/>
                <w:szCs w:val="11"/>
                <w:color w:val="auto"/>
                <w:w w:val="90"/>
              </w:rPr>
              <w:t>05/06/2024</w:t>
            </w:r>
          </w:p>
        </w:tc>
        <w:tc>
          <w:tcPr>
            <w:tcW w:w="18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Financial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8.13 %</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3M L+800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140,875,000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140,875,000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140,875,000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6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6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163,339,366</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169,834,112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460" w:type="dxa"/>
            <w:vAlign w:val="bottom"/>
            <w:gridSpan w:val="2"/>
          </w:tcPr>
          <w:p>
            <w:pPr>
              <w:ind w:left="20"/>
              <w:spacing w:after="0" w:line="99" w:lineRule="exact"/>
              <w:rPr>
                <w:sz w:val="20"/>
                <w:szCs w:val="20"/>
                <w:color w:val="auto"/>
              </w:rPr>
            </w:pPr>
            <w:r>
              <w:rPr>
                <w:rFonts w:ascii="Arial" w:cs="Arial" w:eastAsia="Arial" w:hAnsi="Arial"/>
                <w:sz w:val="11"/>
                <w:szCs w:val="11"/>
                <w:b w:val="1"/>
                <w:bCs w:val="1"/>
                <w:color w:val="auto"/>
              </w:rPr>
              <w:t>Equity Interests—9.7%</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14"/>
                <w:szCs w:val="14"/>
                <w:color w:val="auto"/>
                <w:vertAlign w:val="superscript"/>
              </w:rPr>
              <w:t>(7),(8)</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2,689,852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Financial Services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60,375</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60,375,000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44,856,115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Equity Interests</w:t>
            </w:r>
          </w:p>
        </w:tc>
        <w:tc>
          <w:tcPr>
            <w:tcW w:w="6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60,375,000</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47,545,967</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223,714,366</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217,380,079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Investments—220.5%</w:t>
            </w:r>
          </w:p>
        </w:tc>
        <w:tc>
          <w:tcPr>
            <w:tcW w:w="6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1,070,636,007</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0"/>
              </w:rPr>
              <w:t>1,081,619,412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2"/>
          </w:tcPr>
          <w:p>
            <w:pPr>
              <w:ind w:left="20"/>
              <w:spacing w:after="0"/>
              <w:rPr>
                <w:sz w:val="20"/>
                <w:szCs w:val="20"/>
                <w:color w:val="auto"/>
              </w:rPr>
            </w:pPr>
            <w:r>
              <w:rPr>
                <w:rFonts w:ascii="Arial" w:cs="Arial" w:eastAsia="Arial" w:hAnsi="Arial"/>
                <w:sz w:val="11"/>
                <w:szCs w:val="11"/>
                <w:b w:val="1"/>
                <w:bCs w:val="1"/>
                <w:color w:val="auto"/>
              </w:rPr>
              <w:t>Cash and Cash Equivalents—10.2%</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6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7,433,134</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7,433,134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BNY Mellon Cash</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42,392,393</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42,392,393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6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6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49,825,527</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49,825,527</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 and Cash Equivalents—230.6%</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1,120,461,534</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1,131,444,939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Liabilities in Excess of Other Assets—(130.6)%</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w w:val="98"/>
              </w:rPr>
              <w:t>(640,833,683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9"/>
        </w:trPr>
        <w:tc>
          <w:tcPr>
            <w:tcW w:w="34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Net Assets—100.0%</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490,611,256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939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714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857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-1230630</wp:posOffset>
            </wp:positionV>
            <wp:extent cx="1714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-1230630</wp:posOffset>
            </wp:positionV>
            <wp:extent cx="2603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857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-870585</wp:posOffset>
            </wp:positionV>
            <wp:extent cx="1714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-870585</wp:posOffset>
            </wp:positionV>
            <wp:extent cx="2603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-681990</wp:posOffset>
            </wp:positionV>
            <wp:extent cx="1714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-681990</wp:posOffset>
            </wp:positionV>
            <wp:extent cx="2603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-321945</wp:posOffset>
            </wp:positionV>
            <wp:extent cx="1714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-321945</wp:posOffset>
            </wp:positionV>
            <wp:extent cx="2603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46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3" w:lineRule="exact"/>
        <w:rPr>
          <w:sz w:val="20"/>
          <w:szCs w:val="20"/>
          <w:color w:val="auto"/>
        </w:rPr>
      </w:pPr>
    </w:p>
    <w:p>
      <w:pPr>
        <w:ind w:left="380" w:right="20" w:hanging="372"/>
        <w:spacing w:after="0" w:line="247" w:lineRule="auto"/>
        <w:tabs>
          <w:tab w:leader="none" w:pos="380"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line="189"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ind w:left="380" w:right="220" w:hanging="372"/>
        <w:spacing w:after="0" w:line="191"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193"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189"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Non-U.S. company or principal place of business outside the United States.</w:t>
      </w:r>
    </w:p>
    <w:p>
      <w:pPr>
        <w:ind w:left="380" w:hanging="372"/>
        <w:spacing w:after="0" w:line="187"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Non-income producing securities.</w:t>
      </w:r>
    </w:p>
    <w:p>
      <w:pPr>
        <w:ind w:left="380" w:hanging="372"/>
        <w:spacing w:after="0" w:line="192"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10" w:lineRule="exact"/>
        <w:rPr>
          <w:rFonts w:ascii="Arial" w:cs="Arial" w:eastAsia="Arial" w:hAnsi="Arial"/>
          <w:sz w:val="15"/>
          <w:szCs w:val="15"/>
          <w:color w:val="auto"/>
          <w:vertAlign w:val="superscript"/>
        </w:rPr>
      </w:pPr>
    </w:p>
    <w:p>
      <w:pPr>
        <w:ind w:left="380" w:hanging="372"/>
        <w:spacing w:after="0" w:line="187"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Investment is held through our Taxable Subsidiary (See Note 1).</w:t>
      </w:r>
    </w:p>
    <w:p>
      <w:pPr>
        <w:ind w:left="380" w:hanging="372"/>
        <w:spacing w:after="0" w:line="187"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ind w:left="380" w:right="20" w:hanging="372"/>
        <w:spacing w:after="0" w:line="193"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81% of our total assets and non-qualifying assets represent 19% of our total assets.</w:t>
      </w:r>
    </w:p>
    <w:p>
      <w:pPr>
        <w:ind w:left="380" w:hanging="372"/>
        <w:spacing w:after="0" w:line="187"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Par amount is denominated in Canadian Dollars (C$) as denoted.</w:t>
      </w: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67" w:lineRule="exact"/>
        <w:rPr>
          <w:sz w:val="20"/>
          <w:szCs w:val="20"/>
          <w:color w:val="auto"/>
        </w:rPr>
      </w:pPr>
    </w:p>
    <w:p>
      <w:pPr>
        <w:ind w:right="20" w:firstLine="449"/>
        <w:spacing w:after="0" w:line="27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20" w:lineRule="exact"/>
        <w:rPr>
          <w:sz w:val="20"/>
          <w:szCs w:val="20"/>
          <w:color w:val="auto"/>
        </w:rPr>
      </w:pPr>
    </w:p>
    <w:p>
      <w:pPr>
        <w:ind w:right="100" w:firstLine="449"/>
        <w:spacing w:after="0" w:line="270" w:lineRule="auto"/>
        <w:rPr>
          <w:sz w:val="20"/>
          <w:szCs w:val="20"/>
          <w:color w:val="auto"/>
        </w:rPr>
      </w:pPr>
      <w:r>
        <w:rPr>
          <w:rFonts w:ascii="Arial" w:cs="Arial" w:eastAsia="Arial" w:hAnsi="Arial"/>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25" w:lineRule="exact"/>
        <w:rPr>
          <w:sz w:val="20"/>
          <w:szCs w:val="20"/>
          <w:color w:val="auto"/>
        </w:rPr>
      </w:pPr>
    </w:p>
    <w:p>
      <w:pPr>
        <w:ind w:right="220" w:firstLine="449"/>
        <w:spacing w:after="0" w:line="257"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131" w:lineRule="exact"/>
        <w:rPr>
          <w:sz w:val="20"/>
          <w:szCs w:val="20"/>
          <w:color w:val="auto"/>
        </w:rPr>
      </w:pPr>
    </w:p>
    <w:p>
      <w:pPr>
        <w:ind w:right="20" w:firstLine="449"/>
        <w:spacing w:after="0" w:line="249" w:lineRule="auto"/>
        <w:rPr>
          <w:sz w:val="20"/>
          <w:szCs w:val="20"/>
          <w:color w:val="auto"/>
        </w:rPr>
      </w:pPr>
      <w:r>
        <w:rPr>
          <w:rFonts w:ascii="Arial" w:cs="Arial" w:eastAsia="Arial" w:hAnsi="Arial"/>
          <w:sz w:val="14"/>
          <w:szCs w:val="14"/>
          <w:color w:val="auto"/>
        </w:rPr>
        <w:t>Funding I, our wholly-owned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$300 million at LIBOR (or an alternative risk-free floating interest rate index) plus 225 basis points during the revolving period. The Credit Facility is secured by all of the assets held by Funding I. See Note 10.</w:t>
      </w:r>
    </w:p>
    <w:p>
      <w:pPr>
        <w:spacing w:after="0" w:line="137" w:lineRule="exact"/>
        <w:rPr>
          <w:sz w:val="20"/>
          <w:szCs w:val="20"/>
          <w:color w:val="auto"/>
        </w:rPr>
      </w:pPr>
    </w:p>
    <w:p>
      <w:pPr>
        <w:ind w:right="20" w:firstLine="449"/>
        <w:spacing w:after="0" w:line="312"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7" w:lineRule="exact"/>
        <w:rPr>
          <w:sz w:val="20"/>
          <w:szCs w:val="20"/>
          <w:color w:val="auto"/>
        </w:rPr>
      </w:pPr>
    </w:p>
    <w:p>
      <w:pPr>
        <w:ind w:right="380" w:firstLine="449"/>
        <w:spacing w:after="0" w:line="312" w:lineRule="auto"/>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connection with the issuance of the 2023 Notes, we have dual listed our common stock on the Tel Aviv Stock Exchange or TASE.</w:t>
      </w:r>
    </w:p>
    <w:p>
      <w:pPr>
        <w:spacing w:after="0" w:line="163" w:lineRule="exact"/>
        <w:rPr>
          <w:sz w:val="20"/>
          <w:szCs w:val="20"/>
          <w:color w:val="auto"/>
        </w:rPr>
      </w:pPr>
    </w:p>
    <w:p>
      <w:pPr>
        <w:ind w:right="100" w:firstLine="449"/>
        <w:spacing w:after="0" w:line="273"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w:t>
      </w:r>
    </w:p>
    <w:p>
      <w:pPr>
        <w:spacing w:after="0" w:line="120" w:lineRule="exact"/>
        <w:rPr>
          <w:sz w:val="20"/>
          <w:szCs w:val="20"/>
          <w:color w:val="auto"/>
        </w:rPr>
      </w:pPr>
    </w:p>
    <w:p>
      <w:pPr>
        <w:ind w:firstLine="449"/>
        <w:spacing w:after="0" w:line="270" w:lineRule="auto"/>
        <w:rPr>
          <w:sz w:val="20"/>
          <w:szCs w:val="20"/>
          <w:color w:val="auto"/>
        </w:rPr>
      </w:pPr>
      <w:r>
        <w:rPr>
          <w:rFonts w:ascii="Arial" w:cs="Arial" w:eastAsia="Arial" w:hAnsi="Arial"/>
          <w:sz w:val="13"/>
          <w:szCs w:val="13"/>
          <w:color w:val="auto"/>
        </w:rPr>
        <w:t>In March 2021 and in October 2021, we issued $100.0 million and $85.0 million, respectively, in aggregate principal amount of $185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25" w:lineRule="exact"/>
        <w:rPr>
          <w:sz w:val="20"/>
          <w:szCs w:val="20"/>
          <w:color w:val="auto"/>
        </w:rPr>
      </w:pPr>
    </w:p>
    <w:p>
      <w:pPr>
        <w:ind w:right="260" w:firstLine="360"/>
        <w:spacing w:after="0" w:line="252" w:lineRule="auto"/>
        <w:rPr>
          <w:sz w:val="20"/>
          <w:szCs w:val="20"/>
          <w:color w:val="auto"/>
        </w:rPr>
      </w:pPr>
      <w:r>
        <w:rPr>
          <w:rFonts w:ascii="Arial" w:cs="Arial" w:eastAsia="Arial" w:hAnsi="Arial"/>
          <w:sz w:val="14"/>
          <w:szCs w:val="14"/>
          <w:color w:val="auto"/>
        </w:rPr>
        <w:t>In April 2021, we formed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December 31, 2021, our capital commitment of $15.3 million is fully funded and we hold 23.08% of the total outstanding Class A Units of PTSF and a 4.99% voting interest in the general partner which manages PTSF.</w:t>
      </w:r>
    </w:p>
    <w:p>
      <w:pPr>
        <w:spacing w:after="0" w:line="174" w:lineRule="exact"/>
        <w:rPr>
          <w:sz w:val="20"/>
          <w:szCs w:val="20"/>
          <w:color w:val="auto"/>
        </w:rPr>
      </w:pPr>
    </w:p>
    <w:p>
      <w:pPr>
        <w:ind w:right="20" w:firstLine="360"/>
        <w:spacing w:after="0" w:line="249" w:lineRule="auto"/>
        <w:rPr>
          <w:sz w:val="20"/>
          <w:szCs w:val="20"/>
          <w:color w:val="auto"/>
        </w:rPr>
      </w:pPr>
      <w:r>
        <w:rPr>
          <w:rFonts w:ascii="Arial" w:cs="Arial" w:eastAsia="Arial" w:hAnsi="Arial"/>
          <w:sz w:val="14"/>
          <w:szCs w:val="14"/>
          <w:color w:val="auto"/>
        </w:rPr>
        <w:t>On August 20, 2021, we entered into equity distribution agreements (together, the “Equity Distribution Agreements”) with each of JMP Securities LLC and Raymond James &amp; Associates, Inc., as the sales agents, in connection with the sale of shares of our common stock, par value $0.001 per share (the “Common Stock”), with an aggregate offering price of up to $75 million under an at-the-market offering (the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177" w:lineRule="exact"/>
        <w:rPr>
          <w:sz w:val="20"/>
          <w:szCs w:val="20"/>
          <w:color w:val="auto"/>
        </w:rPr>
      </w:pPr>
    </w:p>
    <w:p>
      <w:pPr>
        <w:ind w:right="80" w:firstLine="360"/>
        <w:spacing w:after="0" w:line="257" w:lineRule="auto"/>
        <w:rPr>
          <w:sz w:val="20"/>
          <w:szCs w:val="20"/>
          <w:color w:val="auto"/>
        </w:rPr>
      </w:pPr>
      <w:r>
        <w:rPr>
          <w:rFonts w:ascii="Arial" w:cs="Arial" w:eastAsia="Arial" w:hAnsi="Arial"/>
          <w:sz w:val="14"/>
          <w:szCs w:val="14"/>
          <w:color w:val="auto"/>
        </w:rPr>
        <w:t>During the three months ended December 31, 2021, we issued 270,066 shares of our Common Stock under the ATM Program at a weighted-average price of $13.03 per share, raising $3.5 million of gross proceeds. Net proceeds were $3.5 million after commissions to the Sales Agents on shares sold. As of December 31, 2021, we had $70.1 million available under the ATM Program.</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4"/>
          <w:szCs w:val="14"/>
          <w:color w:val="auto"/>
        </w:rPr>
        <w:t>Since inception of the ATM Program through December 31, 2021, we have issued 378,720 shares of our Common Stock at a weighted-average price of $13.00, raising $4.9 million of gross proceeds. Net proceeds were $4.8 million after commissions to the Sales Agents on shares sold. We incurred $0.4 million of legal and other offering costs associated with establishing the ATM Program.</w:t>
      </w:r>
    </w:p>
    <w:p>
      <w:pPr>
        <w:spacing w:after="0" w:line="131" w:lineRule="exact"/>
        <w:rPr>
          <w:sz w:val="20"/>
          <w:szCs w:val="20"/>
          <w:color w:val="auto"/>
        </w:rPr>
      </w:pPr>
    </w:p>
    <w:p>
      <w:pPr>
        <w:ind w:right="40" w:firstLine="449"/>
        <w:spacing w:after="0" w:line="27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67" w:lineRule="exact"/>
        <w:rPr>
          <w:sz w:val="20"/>
          <w:szCs w:val="20"/>
          <w:color w:val="auto"/>
        </w:rPr>
      </w:pPr>
    </w:p>
    <w:p>
      <w:pPr>
        <w:ind w:right="420" w:firstLine="449"/>
        <w:spacing w:after="0" w:line="273"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right="200"/>
        <w:spacing w:after="0" w:line="270" w:lineRule="auto"/>
        <w:rPr>
          <w:sz w:val="20"/>
          <w:szCs w:val="20"/>
          <w:color w:val="auto"/>
        </w:rPr>
      </w:pPr>
      <w:r>
        <w:rPr>
          <w:rFonts w:ascii="Arial" w:cs="Arial" w:eastAsia="Arial" w:hAnsi="Arial"/>
          <w:sz w:val="13"/>
          <w:szCs w:val="13"/>
          <w:color w:val="auto"/>
        </w:rPr>
        <w:t>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during the first quarter of 2020,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25" w:lineRule="exact"/>
        <w:rPr>
          <w:sz w:val="20"/>
          <w:szCs w:val="20"/>
          <w:color w:val="auto"/>
        </w:rPr>
      </w:pPr>
    </w:p>
    <w:p>
      <w:pPr>
        <w:ind w:right="240" w:firstLine="449"/>
        <w:spacing w:after="0" w:line="257"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63" w:lineRule="exact"/>
        <w:rPr>
          <w:sz w:val="20"/>
          <w:szCs w:val="20"/>
          <w:color w:val="auto"/>
        </w:rPr>
      </w:pPr>
    </w:p>
    <w:p>
      <w:pPr>
        <w:ind w:right="40" w:firstLine="449"/>
        <w:spacing w:after="0" w:line="268"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7" w:lineRule="exact"/>
        <w:rPr>
          <w:sz w:val="20"/>
          <w:szCs w:val="20"/>
          <w:color w:val="auto"/>
        </w:rPr>
      </w:pPr>
    </w:p>
    <w:p>
      <w:pPr>
        <w:ind w:right="320" w:firstLine="449"/>
        <w:spacing w:after="0" w:line="312"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7" w:lineRule="exact"/>
        <w:rPr>
          <w:sz w:val="20"/>
          <w:szCs w:val="20"/>
          <w:color w:val="auto"/>
        </w:rPr>
      </w:pPr>
    </w:p>
    <w:p>
      <w:pPr>
        <w:ind w:left="840" w:right="60" w:hanging="383"/>
        <w:spacing w:after="0" w:line="273" w:lineRule="auto"/>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19" w:lineRule="exact"/>
        <w:rPr>
          <w:rFonts w:ascii="Arial" w:cs="Arial" w:eastAsia="Arial" w:hAnsi="Arial"/>
          <w:sz w:val="14"/>
          <w:szCs w:val="14"/>
          <w:color w:val="auto"/>
        </w:rPr>
      </w:pPr>
    </w:p>
    <w:p>
      <w:pPr>
        <w:ind w:left="840" w:hanging="383"/>
        <w:spacing w:after="0"/>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63" w:lineRule="exact"/>
        <w:rPr>
          <w:rFonts w:ascii="Arial" w:cs="Arial" w:eastAsia="Arial" w:hAnsi="Arial"/>
          <w:sz w:val="14"/>
          <w:szCs w:val="14"/>
          <w:color w:val="auto"/>
        </w:rPr>
      </w:pPr>
    </w:p>
    <w:p>
      <w:pPr>
        <w:ind w:left="840" w:right="120" w:hanging="383"/>
        <w:spacing w:after="0" w:line="286" w:lineRule="auto"/>
        <w:tabs>
          <w:tab w:leader="none" w:pos="84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3" w:lineRule="exact"/>
        <w:rPr>
          <w:rFonts w:ascii="Arial" w:cs="Arial" w:eastAsia="Arial" w:hAnsi="Arial"/>
          <w:sz w:val="13"/>
          <w:szCs w:val="13"/>
          <w:color w:val="auto"/>
        </w:rPr>
      </w:pPr>
    </w:p>
    <w:p>
      <w:pPr>
        <w:ind w:left="840" w:hanging="383"/>
        <w:spacing w:after="0" w:line="257" w:lineRule="auto"/>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30" w:lineRule="exact"/>
        <w:rPr>
          <w:rFonts w:ascii="Arial" w:cs="Arial" w:eastAsia="Arial" w:hAnsi="Arial"/>
          <w:sz w:val="14"/>
          <w:szCs w:val="14"/>
          <w:color w:val="auto"/>
        </w:rPr>
      </w:pPr>
    </w:p>
    <w:p>
      <w:pPr>
        <w:ind w:left="840" w:right="120" w:hanging="383"/>
        <w:spacing w:after="0" w:line="273" w:lineRule="auto"/>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63" w:lineRule="exact"/>
        <w:rPr>
          <w:sz w:val="20"/>
          <w:szCs w:val="20"/>
          <w:color w:val="auto"/>
        </w:rPr>
      </w:pPr>
    </w:p>
    <w:p>
      <w:pPr>
        <w:ind w:right="20" w:firstLine="449"/>
        <w:spacing w:after="0" w:line="252"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34" w:lineRule="exact"/>
        <w:rPr>
          <w:sz w:val="20"/>
          <w:szCs w:val="20"/>
          <w:color w:val="auto"/>
        </w:rPr>
      </w:pPr>
    </w:p>
    <w:p>
      <w:pPr>
        <w:ind w:right="40" w:firstLine="449"/>
        <w:spacing w:after="0" w:line="26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28" w:lineRule="exact"/>
        <w:rPr>
          <w:sz w:val="20"/>
          <w:szCs w:val="20"/>
          <w:color w:val="auto"/>
        </w:rPr>
      </w:pPr>
    </w:p>
    <w:p>
      <w:pPr>
        <w:ind w:right="280" w:firstLine="449"/>
        <w:spacing w:after="0" w:line="247"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jc w:val="both"/>
        <w:ind w:right="140"/>
        <w:spacing w:after="0" w:line="257" w:lineRule="auto"/>
        <w:rPr>
          <w:sz w:val="20"/>
          <w:szCs w:val="20"/>
          <w:color w:val="auto"/>
        </w:rPr>
      </w:pPr>
      <w:r>
        <w:rPr>
          <w:rFonts w:ascii="Arial" w:cs="Arial" w:eastAsia="Arial" w:hAnsi="Arial"/>
          <w:sz w:val="14"/>
          <w:szCs w:val="14"/>
          <w:color w:val="auto"/>
        </w:rPr>
        <w:t>management’s judgment, are likely to remain current. As of December 31, 2021, we had three portfolio companies on non-accrual, representing 2.9% and 2.5% of our overall portfolio on a cost and fair value basis, respectively. As of September 30, 2021, we had two portfolio companies on non-accrual, representing 2.7% and 2.6% of our overall portfolio on a cost and fair value basis, respectively.</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63" w:lineRule="exact"/>
        <w:rPr>
          <w:sz w:val="20"/>
          <w:szCs w:val="20"/>
          <w:color w:val="auto"/>
        </w:rPr>
      </w:pPr>
    </w:p>
    <w:p>
      <w:pPr>
        <w:ind w:firstLine="449"/>
        <w:spacing w:after="0" w:line="270"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both the three months ended December 31, 2021 and 2020, we recorded a provision for taxes of $0.1 million pertaining to federal excise tax.</w:t>
      </w:r>
    </w:p>
    <w:p>
      <w:pPr>
        <w:spacing w:after="0" w:line="125" w:lineRule="exact"/>
        <w:rPr>
          <w:sz w:val="20"/>
          <w:szCs w:val="20"/>
          <w:color w:val="auto"/>
        </w:rPr>
      </w:pPr>
    </w:p>
    <w:p>
      <w:pPr>
        <w:jc w:val="both"/>
        <w:ind w:right="220" w:firstLine="449"/>
        <w:spacing w:after="0" w:line="270"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25" w:lineRule="exact"/>
        <w:rPr>
          <w:sz w:val="20"/>
          <w:szCs w:val="20"/>
          <w:color w:val="auto"/>
        </w:rPr>
      </w:pPr>
    </w:p>
    <w:p>
      <w:pPr>
        <w:ind w:right="180" w:firstLine="737"/>
        <w:spacing w:after="0" w:line="252" w:lineRule="auto"/>
        <w:rPr>
          <w:sz w:val="20"/>
          <w:szCs w:val="20"/>
          <w:color w:val="auto"/>
        </w:rPr>
      </w:pPr>
      <w:r>
        <w:rPr>
          <w:rFonts w:ascii="Arial" w:cs="Arial" w:eastAsia="Arial" w:hAnsi="Arial"/>
          <w:sz w:val="14"/>
          <w:szCs w:val="14"/>
          <w:color w:val="auto"/>
        </w:rPr>
        <w:t>PFLT Investment Holdings, LLC, a wholly-owned subsidiary of the Company (the “Taxable Subsidiary”), is subject to U.S. federal, state and local corporate income taxes. The income tax expense and related tax liabilities of the Taxable Subsidiary are reflected in the Company’s consolidated financial statements. The provision for taxes on unrealized appreciation on investments is the result of netting (i) an expected tax liability on the gain from the sale of an investment which is likely to be realized during fiscal year ending September 30, 2022 and (ii) the expected tax benefit resulting from the use of loss carryforwards in the current year.</w:t>
      </w:r>
    </w:p>
    <w:p>
      <w:pPr>
        <w:spacing w:after="0" w:line="134" w:lineRule="exact"/>
        <w:rPr>
          <w:sz w:val="20"/>
          <w:szCs w:val="20"/>
          <w:color w:val="auto"/>
        </w:rPr>
      </w:pPr>
    </w:p>
    <w:p>
      <w:pPr>
        <w:ind w:right="40" w:firstLine="396"/>
        <w:spacing w:after="0" w:line="252" w:lineRule="auto"/>
        <w:rPr>
          <w:sz w:val="20"/>
          <w:szCs w:val="20"/>
          <w:color w:val="auto"/>
        </w:rPr>
      </w:pPr>
      <w:r>
        <w:rPr>
          <w:rFonts w:ascii="Arial" w:cs="Arial" w:eastAsia="Arial" w:hAnsi="Arial"/>
          <w:sz w:val="14"/>
          <w:szCs w:val="14"/>
          <w:color w:val="auto"/>
        </w:rPr>
        <w:t>For the three months ended December 31, 2021, the Company recognized a provision for taxes of $(1.5) million on unrealized appreciation on investments related to the Taxable Subsidiary. For the three months ended December 31, 2020, the Company recognized a provision for taxes of zero on unrealized appreciation on investments related to the Taxable Subsidiary. As of December 31, 2021 and September 30, 2021, $1.5 million and zero, respectively, was included in deferred tax liabilities on the Consolidated Statements of Assets and Liabilities relating to unrealized gains on investments.</w:t>
      </w:r>
    </w:p>
    <w:p>
      <w:pPr>
        <w:spacing w:after="0" w:line="134" w:lineRule="exact"/>
        <w:rPr>
          <w:sz w:val="20"/>
          <w:szCs w:val="20"/>
          <w:color w:val="auto"/>
        </w:rPr>
      </w:pPr>
    </w:p>
    <w:p>
      <w:pPr>
        <w:jc w:val="both"/>
        <w:ind w:right="120" w:firstLine="449"/>
        <w:spacing w:after="0" w:line="28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63" w:lineRule="exact"/>
        <w:rPr>
          <w:sz w:val="20"/>
          <w:szCs w:val="20"/>
          <w:color w:val="auto"/>
        </w:rPr>
      </w:pPr>
    </w:p>
    <w:p>
      <w:pPr>
        <w:ind w:right="100" w:firstLine="449"/>
        <w:spacing w:after="0" w:line="257"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Capital transactions through offerings of our common stock are recorded when issued and offering costs are charged as a reduction of capital upon issuance of our common stock.</w:t>
      </w:r>
    </w:p>
    <w:p>
      <w:pPr>
        <w:spacing w:after="0" w:line="175" w:lineRule="exact"/>
        <w:rPr>
          <w:sz w:val="20"/>
          <w:szCs w:val="20"/>
          <w:color w:val="auto"/>
        </w:rPr>
      </w:pPr>
    </w:p>
    <w:p>
      <w:pPr>
        <w:ind w:left="460" w:hanging="197"/>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63" w:lineRule="exact"/>
        <w:rPr>
          <w:rFonts w:ascii="Arial" w:cs="Arial" w:eastAsia="Arial" w:hAnsi="Arial"/>
          <w:sz w:val="14"/>
          <w:szCs w:val="14"/>
          <w:b w:val="1"/>
          <w:bCs w:val="1"/>
          <w:i w:val="1"/>
          <w:iCs w:val="1"/>
          <w:color w:val="auto"/>
        </w:rPr>
      </w:pPr>
    </w:p>
    <w:p>
      <w:pPr>
        <w:ind w:left="46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63" w:lineRule="exact"/>
        <w:rPr>
          <w:rFonts w:ascii="Arial" w:cs="Arial" w:eastAsia="Arial" w:hAnsi="Arial"/>
          <w:sz w:val="14"/>
          <w:szCs w:val="14"/>
          <w:b w:val="1"/>
          <w:bCs w:val="1"/>
          <w:i w:val="1"/>
          <w:iCs w:val="1"/>
          <w:color w:val="auto"/>
        </w:rPr>
      </w:pPr>
    </w:p>
    <w:p>
      <w:pPr>
        <w:ind w:left="860" w:hanging="384"/>
        <w:spacing w:after="0"/>
        <w:tabs>
          <w:tab w:leader="none" w:pos="86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63" w:lineRule="exact"/>
        <w:rPr>
          <w:rFonts w:ascii="Arial" w:cs="Arial" w:eastAsia="Arial" w:hAnsi="Arial"/>
          <w:sz w:val="14"/>
          <w:szCs w:val="14"/>
          <w:color w:val="auto"/>
        </w:rPr>
      </w:pPr>
    </w:p>
    <w:p>
      <w:pPr>
        <w:ind w:left="860" w:hanging="384"/>
        <w:spacing w:after="0"/>
        <w:tabs>
          <w:tab w:leader="none" w:pos="86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right="80" w:firstLine="449"/>
        <w:spacing w:after="0" w:line="257"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31" w:lineRule="exact"/>
        <w:rPr>
          <w:sz w:val="20"/>
          <w:szCs w:val="20"/>
          <w:color w:val="auto"/>
        </w:rPr>
      </w:pPr>
    </w:p>
    <w:p>
      <w:pPr>
        <w:jc w:val="both"/>
        <w:ind w:right="160" w:firstLine="449"/>
        <w:spacing w:after="0" w:line="257"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63" w:lineRule="exact"/>
        <w:rPr>
          <w:sz w:val="20"/>
          <w:szCs w:val="20"/>
          <w:color w:val="auto"/>
        </w:rPr>
      </w:pPr>
    </w:p>
    <w:p>
      <w:pPr>
        <w:jc w:val="both"/>
        <w:ind w:right="40" w:firstLine="449"/>
        <w:spacing w:after="0" w:line="252" w:lineRule="auto"/>
        <w:rPr>
          <w:sz w:val="20"/>
          <w:szCs w:val="20"/>
          <w:color w:val="auto"/>
        </w:rPr>
      </w:pPr>
      <w:r>
        <w:rPr>
          <w:rFonts w:ascii="Arial" w:cs="Arial" w:eastAsia="Arial" w:hAnsi="Arial"/>
          <w:sz w:val="14"/>
          <w:szCs w:val="14"/>
          <w:color w:val="auto"/>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or PTSF. See further description of our investment in PSSL in Note 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63" w:lineRule="exact"/>
        <w:rPr>
          <w:sz w:val="20"/>
          <w:szCs w:val="20"/>
          <w:color w:val="auto"/>
        </w:rPr>
      </w:pPr>
    </w:p>
    <w:p>
      <w:pPr>
        <w:jc w:val="both"/>
        <w:ind w:right="20" w:firstLine="449"/>
        <w:spacing w:after="0" w:line="257"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204" w:lineRule="exact"/>
        <w:rPr>
          <w:sz w:val="20"/>
          <w:szCs w:val="20"/>
          <w:color w:val="auto"/>
        </w:rPr>
      </w:pPr>
    </w:p>
    <w:p>
      <w:pPr>
        <w:ind w:right="180" w:firstLine="360"/>
        <w:spacing w:after="0" w:line="277" w:lineRule="auto"/>
        <w:rPr>
          <w:sz w:val="20"/>
          <w:szCs w:val="20"/>
          <w:color w:val="auto"/>
        </w:rPr>
      </w:pPr>
      <w:r>
        <w:rPr>
          <w:rFonts w:ascii="Arial" w:cs="Arial" w:eastAsia="Arial" w:hAnsi="Arial"/>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67" w:lineRule="exact"/>
        <w:rPr>
          <w:sz w:val="20"/>
          <w:szCs w:val="20"/>
          <w:color w:val="auto"/>
        </w:rPr>
      </w:pPr>
    </w:p>
    <w:p>
      <w:pPr>
        <w:ind w:left="520" w:right="8800" w:hanging="512"/>
        <w:spacing w:after="0" w:line="563" w:lineRule="auto"/>
        <w:tabs>
          <w:tab w:leader="none" w:pos="287" w:val="left"/>
        </w:tabs>
        <w:numPr>
          <w:ilvl w:val="0"/>
          <w:numId w:val="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Investment Management Agreement Base Management Fee</w:t>
      </w:r>
    </w:p>
    <w:p>
      <w:pPr>
        <w:spacing w:after="0" w:line="1" w:lineRule="exact"/>
        <w:rPr>
          <w:sz w:val="20"/>
          <w:szCs w:val="20"/>
          <w:color w:val="auto"/>
        </w:rPr>
      </w:pPr>
    </w:p>
    <w:p>
      <w:pPr>
        <w:ind w:right="40" w:firstLine="449"/>
        <w:spacing w:after="0" w:line="273"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2022.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22" w:lineRule="exact"/>
        <w:rPr>
          <w:sz w:val="20"/>
          <w:szCs w:val="20"/>
          <w:color w:val="auto"/>
        </w:rPr>
      </w:pPr>
    </w:p>
    <w:p>
      <w:pPr>
        <w:ind w:right="20" w:firstLine="449"/>
        <w:spacing w:after="0" w:line="246"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2021 and 2020, the Investment Adviser earned a base management fee of $2.9 million and $2.7 million respectively, from us.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Incentive Fee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49"/>
        <w:spacing w:after="0" w:line="26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three months ended December 31, 2021 and 2020, the Investment Adviser earned $3.2 million and $1.8 million, respectively, in incentive fees on net investment income from us.</w:t>
      </w:r>
    </w:p>
    <w:p>
      <w:pPr>
        <w:spacing w:after="0" w:line="11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2021 and 2020, the Investment Adviser did not accrue an incentive fee on capital gains, as calculated under the Investment Management Agreement (as described above).</w:t>
      </w:r>
    </w:p>
    <w:p>
      <w:pPr>
        <w:spacing w:after="0" w:line="120" w:lineRule="exact"/>
        <w:rPr>
          <w:sz w:val="20"/>
          <w:szCs w:val="20"/>
          <w:color w:val="auto"/>
        </w:rPr>
      </w:pPr>
    </w:p>
    <w:p>
      <w:pPr>
        <w:ind w:right="80" w:firstLine="449"/>
        <w:spacing w:after="0" w:line="244"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negative, then there is no accrual for such year. There can be no assurance that such unrealized capital appreciation will be realized in the future. The incentive fee accrued for, but not payable, under GAAP on our unrealized and realized capital gains for the three months ended December 31, 2021 and 2020, was zero.</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Administration Agreement</w:t>
      </w:r>
    </w:p>
    <w:p>
      <w:pPr>
        <w:spacing w:after="0" w:line="163" w:lineRule="exact"/>
        <w:rPr>
          <w:sz w:val="20"/>
          <w:szCs w:val="20"/>
          <w:color w:val="auto"/>
        </w:rPr>
      </w:pPr>
    </w:p>
    <w:p>
      <w:pPr>
        <w:ind w:right="60" w:firstLine="449"/>
        <w:spacing w:after="0" w:line="268"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2022.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2021 and 2020, we reimbursed the Investment Adviser approximately $0.1 million and $0.2 million, respectively, including expenses the Investment Adviser incurred on behalf of the Administrator, for services described above.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Other Related Party Transactions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were no transactions subject to Rule 17a-7 under the 1940 Act during each of the three months ended December 31, 2021 and 2020.</w:t>
      </w:r>
    </w:p>
    <w:p>
      <w:pPr>
        <w:spacing w:after="0" w:line="150" w:lineRule="exact"/>
        <w:rPr>
          <w:sz w:val="20"/>
          <w:szCs w:val="20"/>
          <w:color w:val="auto"/>
        </w:rPr>
      </w:pPr>
    </w:p>
    <w:p>
      <w:pPr>
        <w:ind w:right="40" w:firstLine="449"/>
        <w:spacing w:after="0" w:line="273" w:lineRule="auto"/>
        <w:rPr>
          <w:sz w:val="20"/>
          <w:szCs w:val="20"/>
          <w:color w:val="auto"/>
        </w:rPr>
      </w:pPr>
      <w:r>
        <w:rPr>
          <w:rFonts w:ascii="Arial" w:cs="Arial" w:eastAsia="Arial" w:hAnsi="Arial"/>
          <w:sz w:val="14"/>
          <w:szCs w:val="14"/>
          <w:color w:val="auto"/>
        </w:rPr>
        <w:t>For the three months ended December 31, 2021 and 2020, we sold $122.7 million and zero in investments to PSSL at fair value, respectively, and recognized ($0.3)million and zero of net realized losses, respectively, for the same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the three months ended December 31, 2021, we sold no investments to PTSF.</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67" w:lineRule="exact"/>
        <w:rPr>
          <w:sz w:val="20"/>
          <w:szCs w:val="20"/>
          <w:color w:val="auto"/>
        </w:rPr>
      </w:pPr>
    </w:p>
    <w:p>
      <w:pPr>
        <w:ind w:right="40" w:firstLine="449"/>
        <w:spacing w:after="0" w:line="273" w:lineRule="auto"/>
        <w:rPr>
          <w:sz w:val="20"/>
          <w:szCs w:val="20"/>
          <w:color w:val="auto"/>
        </w:rPr>
      </w:pPr>
      <w:r>
        <w:rPr>
          <w:rFonts w:ascii="Arial" w:cs="Arial" w:eastAsia="Arial" w:hAnsi="Arial"/>
          <w:sz w:val="14"/>
          <w:szCs w:val="14"/>
          <w:color w:val="auto"/>
        </w:rPr>
        <w:t>Purchases of investments, including PIK interest, for the three months ended December 31, 2021 and 2020 totaled $335.5 million and $68.5 million, respectively. Sales and repayments of investments for the three months ended December 31, 2021 and 2020 totaled $238.4 million and $109.6 million, respectively.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tcPr>
          <w:p>
            <w:pPr>
              <w:spacing w:after="0"/>
              <w:rPr>
                <w:sz w:val="16"/>
                <w:szCs w:val="16"/>
                <w:color w:val="auto"/>
              </w:rPr>
            </w:pPr>
          </w:p>
        </w:tc>
      </w:tr>
      <w:tr>
        <w:trPr>
          <w:trHeight w:val="169"/>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Classification</w:t>
            </w:r>
          </w:p>
        </w:tc>
        <w:tc>
          <w:tcPr>
            <w:tcW w:w="360" w:type="dxa"/>
            <w:vAlign w:val="bottom"/>
          </w:tcPr>
          <w:p>
            <w:pPr>
              <w:spacing w:after="0"/>
              <w:rPr>
                <w:sz w:val="14"/>
                <w:szCs w:val="14"/>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r>
      <w:tr>
        <w:trPr>
          <w:trHeight w:val="169"/>
        </w:trPr>
        <w:tc>
          <w:tcPr>
            <w:tcW w:w="43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873,645,043</w:t>
            </w: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871,713,319</w:t>
            </w:r>
          </w:p>
        </w:tc>
        <w:tc>
          <w:tcPr>
            <w:tcW w:w="22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795,263,521</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793,543,269</w:t>
            </w:r>
          </w:p>
        </w:tc>
        <w:tc>
          <w:tcPr>
            <w:tcW w:w="40" w:type="dxa"/>
            <w:vAlign w:val="bottom"/>
            <w:shd w:val="clear" w:color="auto" w:fill="CCECFF"/>
          </w:tcPr>
          <w:p>
            <w:pPr>
              <w:spacing w:after="0"/>
              <w:rPr>
                <w:sz w:val="14"/>
                <w:szCs w:val="14"/>
                <w:color w:val="auto"/>
              </w:rPr>
            </w:pPr>
          </w:p>
        </w:tc>
      </w:tr>
      <w:tr>
        <w:trPr>
          <w:trHeight w:val="175"/>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First lien in PSSL</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153,125,000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153,125,000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140,875,000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140,875,000</w:t>
            </w:r>
          </w:p>
        </w:tc>
        <w:tc>
          <w:tcPr>
            <w:tcW w:w="40" w:type="dxa"/>
            <w:vAlign w:val="bottom"/>
          </w:tcPr>
          <w:p>
            <w:pPr>
              <w:spacing w:after="0"/>
              <w:rPr>
                <w:sz w:val="15"/>
                <w:szCs w:val="15"/>
                <w:color w:val="auto"/>
              </w:rPr>
            </w:pPr>
          </w:p>
        </w:tc>
      </w:tr>
      <w:tr>
        <w:trPr>
          <w:trHeight w:val="176"/>
        </w:trPr>
        <w:tc>
          <w:tcPr>
            <w:tcW w:w="448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3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9,365,918</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4,439,713</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8,936,756</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8,949,112</w:t>
            </w:r>
          </w:p>
        </w:tc>
        <w:tc>
          <w:tcPr>
            <w:tcW w:w="40" w:type="dxa"/>
            <w:vAlign w:val="bottom"/>
            <w:shd w:val="clear" w:color="auto" w:fill="CCECFF"/>
          </w:tcPr>
          <w:p>
            <w:pPr>
              <w:spacing w:after="0"/>
              <w:rPr>
                <w:sz w:val="15"/>
                <w:szCs w:val="15"/>
                <w:color w:val="auto"/>
              </w:rPr>
            </w:pPr>
          </w:p>
        </w:tc>
      </w:tr>
      <w:tr>
        <w:trPr>
          <w:trHeight w:val="176"/>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Equity</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70,186,328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102,403,431</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65,185,730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93,395,916</w:t>
            </w:r>
          </w:p>
        </w:tc>
        <w:tc>
          <w:tcPr>
            <w:tcW w:w="40" w:type="dxa"/>
            <w:vAlign w:val="bottom"/>
          </w:tcPr>
          <w:p>
            <w:pPr>
              <w:spacing w:after="0"/>
              <w:rPr>
                <w:sz w:val="15"/>
                <w:szCs w:val="15"/>
                <w:color w:val="auto"/>
              </w:rPr>
            </w:pPr>
          </w:p>
        </w:tc>
      </w:tr>
      <w:tr>
        <w:trPr>
          <w:trHeight w:val="175"/>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Equity interests in PSSL</w:t>
            </w:r>
          </w:p>
        </w:tc>
        <w:tc>
          <w:tcPr>
            <w:tcW w:w="360" w:type="dxa"/>
            <w:vAlign w:val="bottom"/>
            <w:tcBorders>
              <w:bottom w:val="single" w:sz="8" w:color="auto"/>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65,625,000</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48,140,079</w:t>
            </w:r>
          </w:p>
        </w:tc>
        <w:tc>
          <w:tcPr>
            <w:tcW w:w="22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60,375,000</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44,856,115</w:t>
            </w:r>
          </w:p>
        </w:tc>
        <w:tc>
          <w:tcPr>
            <w:tcW w:w="40" w:type="dxa"/>
            <w:vAlign w:val="bottom"/>
            <w:tcBorders>
              <w:bottom w:val="single" w:sz="8" w:color="CCECFF"/>
            </w:tcBorders>
            <w:shd w:val="clear" w:color="auto" w:fill="CCECFF"/>
          </w:tcPr>
          <w:p>
            <w:pPr>
              <w:spacing w:after="0"/>
              <w:rPr>
                <w:sz w:val="15"/>
                <w:szCs w:val="15"/>
                <w:color w:val="auto"/>
              </w:rPr>
            </w:pPr>
          </w:p>
        </w:tc>
      </w:tr>
      <w:tr>
        <w:trPr>
          <w:trHeight w:val="169"/>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Total investments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1,171,947,289</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1,179,821,542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1,070,636,007</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1,081,619,412</w:t>
            </w:r>
          </w:p>
        </w:tc>
        <w:tc>
          <w:tcPr>
            <w:tcW w:w="40" w:type="dxa"/>
            <w:vAlign w:val="bottom"/>
          </w:tcPr>
          <w:p>
            <w:pPr>
              <w:spacing w:after="0"/>
              <w:rPr>
                <w:sz w:val="14"/>
                <w:szCs w:val="14"/>
                <w:color w:val="auto"/>
              </w:rPr>
            </w:pPr>
          </w:p>
        </w:tc>
      </w:tr>
      <w:tr>
        <w:trPr>
          <w:trHeight w:val="169"/>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61,266,283</w:t>
            </w:r>
          </w:p>
        </w:tc>
        <w:tc>
          <w:tcPr>
            <w:tcW w:w="24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61,266,942</w:t>
            </w:r>
          </w:p>
        </w:tc>
        <w:tc>
          <w:tcPr>
            <w:tcW w:w="22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49,825,527</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49,825,527</w:t>
            </w:r>
          </w:p>
        </w:tc>
        <w:tc>
          <w:tcPr>
            <w:tcW w:w="40" w:type="dxa"/>
            <w:vAlign w:val="bottom"/>
            <w:tcBorders>
              <w:bottom w:val="single" w:sz="8" w:color="CCECFF"/>
            </w:tcBorders>
            <w:shd w:val="clear" w:color="auto" w:fill="CCECFF"/>
          </w:tcPr>
          <w:p>
            <w:pPr>
              <w:spacing w:after="0"/>
              <w:rPr>
                <w:sz w:val="14"/>
                <w:szCs w:val="14"/>
                <w:color w:val="auto"/>
              </w:rPr>
            </w:pPr>
          </w:p>
        </w:tc>
      </w:tr>
      <w:tr>
        <w:trPr>
          <w:trHeight w:val="169"/>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Total investments and cash and cash equivalents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1,233,213,572</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1,241,088,484</w:t>
            </w:r>
          </w:p>
        </w:tc>
        <w:tc>
          <w:tcPr>
            <w:tcW w:w="5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1,120,461,534</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1,131,444,939</w:t>
            </w:r>
          </w:p>
        </w:tc>
        <w:tc>
          <w:tcPr>
            <w:tcW w:w="40" w:type="dxa"/>
            <w:vAlign w:val="bottom"/>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7"/>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4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-699135</wp:posOffset>
            </wp:positionV>
            <wp:extent cx="3429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-699135</wp:posOffset>
            </wp:positionV>
            <wp:extent cx="3429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-699135</wp:posOffset>
            </wp:positionV>
            <wp:extent cx="2540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-699135</wp:posOffset>
            </wp:positionV>
            <wp:extent cx="2603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-459105</wp:posOffset>
            </wp:positionV>
            <wp:extent cx="3429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-459105</wp:posOffset>
            </wp:positionV>
            <wp:extent cx="3429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-459105</wp:posOffset>
            </wp:positionV>
            <wp:extent cx="2540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-459105</wp:posOffset>
            </wp:positionV>
            <wp:extent cx="2603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13" w:lineRule="exact"/>
        <w:rPr>
          <w:sz w:val="20"/>
          <w:szCs w:val="20"/>
          <w:color w:val="auto"/>
        </w:rPr>
      </w:pPr>
    </w:p>
    <w:p>
      <w:pPr>
        <w:ind w:right="200" w:firstLine="449"/>
        <w:spacing w:after="0" w:line="264"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tbl>
      <w:tblPr>
        <w:tblLayout w:type="fixed"/>
        <w:tblInd w:w="0" w:type="dxa"/>
        <w:tblCellMar>
          <w:top w:w="0" w:type="dxa"/>
          <w:left w:w="0" w:type="dxa"/>
          <w:bottom w:w="0" w:type="dxa"/>
          <w:right w:w="0" w:type="dxa"/>
        </w:tblCellMar>
      </w:tblPr>
      <w:tr>
        <w:trPr>
          <w:trHeight w:val="205"/>
        </w:trPr>
        <w:tc>
          <w:tcPr>
            <w:tcW w:w="7440" w:type="dxa"/>
            <w:vAlign w:val="bottom"/>
            <w:gridSpan w:val="3"/>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180" w:type="dxa"/>
            <w:vAlign w:val="bottom"/>
          </w:tcPr>
          <w:p>
            <w:pPr>
              <w:spacing w:after="0"/>
              <w:rPr>
                <w:sz w:val="17"/>
                <w:szCs w:val="17"/>
                <w:color w:val="auto"/>
              </w:rPr>
            </w:pPr>
          </w:p>
        </w:tc>
        <w:tc>
          <w:tcPr>
            <w:tcW w:w="1860" w:type="dxa"/>
            <w:vAlign w:val="bottom"/>
            <w:gridSpan w:val="2"/>
          </w:tcPr>
          <w:p>
            <w:pPr>
              <w:jc w:val="right"/>
              <w:ind w:right="368"/>
              <w:spacing w:after="0" w:line="204" w:lineRule="exact"/>
              <w:rPr>
                <w:sz w:val="20"/>
                <w:szCs w:val="20"/>
                <w:color w:val="auto"/>
              </w:rPr>
            </w:pPr>
            <w:r>
              <w:rPr>
                <w:rFonts w:ascii="Arial" w:cs="Arial" w:eastAsia="Arial" w:hAnsi="Arial"/>
                <w:sz w:val="14"/>
                <w:szCs w:val="14"/>
                <w:b w:val="1"/>
                <w:bCs w:val="1"/>
                <w:color w:val="auto"/>
                <w:w w:val="96"/>
              </w:rPr>
              <w:t xml:space="preserve">December 31, 2021 </w:t>
            </w:r>
            <w:r>
              <w:rPr>
                <w:rFonts w:ascii="Arial" w:cs="Arial" w:eastAsia="Arial" w:hAnsi="Arial"/>
                <w:sz w:val="19"/>
                <w:szCs w:val="19"/>
                <w:b w:val="1"/>
                <w:bCs w:val="1"/>
                <w:color w:val="auto"/>
                <w:w w:val="96"/>
                <w:vertAlign w:val="superscript"/>
              </w:rPr>
              <w:t>(1)</w:t>
            </w:r>
          </w:p>
        </w:tc>
        <w:tc>
          <w:tcPr>
            <w:tcW w:w="1760" w:type="dxa"/>
            <w:vAlign w:val="bottom"/>
            <w:gridSpan w:val="2"/>
          </w:tcPr>
          <w:p>
            <w:pPr>
              <w:jc w:val="right"/>
              <w:ind w:right="208"/>
              <w:spacing w:after="0" w:line="204" w:lineRule="exact"/>
              <w:rPr>
                <w:sz w:val="20"/>
                <w:szCs w:val="20"/>
                <w:color w:val="auto"/>
              </w:rPr>
            </w:pPr>
            <w:r>
              <w:rPr>
                <w:rFonts w:ascii="Arial" w:cs="Arial" w:eastAsia="Arial" w:hAnsi="Arial"/>
                <w:sz w:val="14"/>
                <w:szCs w:val="14"/>
                <w:b w:val="1"/>
                <w:bCs w:val="1"/>
                <w:color w:val="auto"/>
                <w:w w:val="97"/>
              </w:rPr>
              <w:t xml:space="preserve">September 30, 2021 </w:t>
            </w:r>
            <w:r>
              <w:rPr>
                <w:rFonts w:ascii="Arial" w:cs="Arial" w:eastAsia="Arial" w:hAnsi="Arial"/>
                <w:sz w:val="19"/>
                <w:szCs w:val="19"/>
                <w:b w:val="1"/>
                <w:bCs w:val="1"/>
                <w:color w:val="auto"/>
                <w:w w:val="97"/>
                <w:vertAlign w:val="superscript"/>
              </w:rPr>
              <w:t>(1)</w:t>
            </w:r>
          </w:p>
        </w:tc>
      </w:tr>
      <w:tr>
        <w:trPr>
          <w:trHeight w:val="169"/>
        </w:trPr>
        <w:tc>
          <w:tcPr>
            <w:tcW w:w="7440" w:type="dxa"/>
            <w:vAlign w:val="bottom"/>
            <w:tcBorders>
              <w:top w:val="single" w:sz="8" w:color="auto"/>
            </w:tcBorders>
            <w:gridSpan w:val="3"/>
            <w:shd w:val="clear" w:color="auto" w:fill="CCECFF"/>
          </w:tcPr>
          <w:p>
            <w:pPr>
              <w:ind w:left="20"/>
              <w:spacing w:after="0"/>
              <w:rPr>
                <w:sz w:val="20"/>
                <w:szCs w:val="20"/>
                <w:color w:val="auto"/>
              </w:rPr>
            </w:pPr>
            <w:r>
              <w:rPr>
                <w:rFonts w:ascii="Arial" w:cs="Arial" w:eastAsia="Arial" w:hAnsi="Arial"/>
                <w:sz w:val="14"/>
                <w:szCs w:val="14"/>
                <w:color w:val="auto"/>
              </w:rPr>
              <w:t>Personal Products</w:t>
            </w:r>
          </w:p>
        </w:tc>
        <w:tc>
          <w:tcPr>
            <w:tcW w:w="180" w:type="dxa"/>
            <w:vAlign w:val="bottom"/>
            <w:shd w:val="clear" w:color="auto" w:fill="CCECFF"/>
          </w:tcPr>
          <w:p>
            <w:pPr>
              <w:spacing w:after="0"/>
              <w:rPr>
                <w:sz w:val="14"/>
                <w:szCs w:val="14"/>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9"/>
              </w:rPr>
              <w:t>%</w:t>
            </w:r>
          </w:p>
        </w:tc>
        <w:tc>
          <w:tcPr>
            <w:tcW w:w="1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6"/>
              </w:rPr>
              <w:t>%</w:t>
            </w:r>
          </w:p>
        </w:tc>
      </w:tr>
      <w:tr>
        <w:trPr>
          <w:trHeight w:val="175"/>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Professional Services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Media</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High Tech Industries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IT Services</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Aerospace and Defense</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Capital Equipment</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Commercial Services &amp; Supplies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Media: Diversified and Production</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Automobiles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Business Services</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Construction and Building</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Diversified Consumer Services</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Electronic Equipment, Instruments, and Components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Healthcare Technology</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Consumer Services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Diversified Financial Services</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Healthcare and Pharmaceuticals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5"/>
                <w:szCs w:val="15"/>
                <w:color w:val="auto"/>
              </w:rPr>
            </w:pPr>
          </w:p>
        </w:tc>
        <w:tc>
          <w:tcPr>
            <w:tcW w:w="1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r>
      <w:tr>
        <w:trPr>
          <w:trHeight w:val="175"/>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Healthcare Equipment and Supplies</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Insurance</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Media: Broadcasting and Subscription</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Textiles, Apparel and Luxury Goods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5"/>
                <w:szCs w:val="15"/>
                <w:color w:val="auto"/>
              </w:rPr>
            </w:pPr>
          </w:p>
        </w:tc>
        <w:tc>
          <w:tcPr>
            <w:tcW w:w="1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r>
      <w:tr>
        <w:trPr>
          <w:trHeight w:val="176"/>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Wholesale</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Banking, Finance, Insurance &amp; Real Estate</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Building Products</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Chemicals, Plastics and Rubber</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Energy Equipment and Services</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Financial Services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Hotels, Restaurants and Leisure</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Leisure Products</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5"/>
                <w:szCs w:val="15"/>
                <w:color w:val="auto"/>
              </w:rPr>
            </w:pPr>
          </w:p>
        </w:tc>
        <w:tc>
          <w:tcPr>
            <w:tcW w:w="1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r>
      <w:tr>
        <w:trPr>
          <w:trHeight w:val="176"/>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Media: Advertising, Printing and Publishing</w:t>
            </w:r>
          </w:p>
        </w:tc>
        <w:tc>
          <w:tcPr>
            <w:tcW w:w="1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Construction &amp; Engineering</w:t>
            </w:r>
          </w:p>
        </w:tc>
        <w:tc>
          <w:tcPr>
            <w:tcW w:w="180" w:type="dxa"/>
            <w:vAlign w:val="bottom"/>
          </w:tcPr>
          <w:p>
            <w:pPr>
              <w:spacing w:after="0"/>
              <w:rPr>
                <w:sz w:val="15"/>
                <w:szCs w:val="15"/>
                <w:color w:val="auto"/>
              </w:rPr>
            </w:pPr>
          </w:p>
        </w:tc>
        <w:tc>
          <w:tcPr>
            <w:tcW w:w="186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Healthcare Providers and Services</w:t>
            </w:r>
          </w:p>
        </w:tc>
        <w:tc>
          <w:tcPr>
            <w:tcW w:w="180" w:type="dxa"/>
            <w:vAlign w:val="bottom"/>
            <w:shd w:val="clear" w:color="auto" w:fill="CCECFF"/>
          </w:tcPr>
          <w:p>
            <w:pPr>
              <w:spacing w:after="0"/>
              <w:rPr>
                <w:sz w:val="15"/>
                <w:szCs w:val="15"/>
                <w:color w:val="auto"/>
              </w:rPr>
            </w:pPr>
          </w:p>
        </w:tc>
        <w:tc>
          <w:tcPr>
            <w:tcW w:w="1860" w:type="dxa"/>
            <w:vAlign w:val="bottom"/>
            <w:gridSpan w:val="2"/>
            <w:shd w:val="clear" w:color="auto" w:fill="CCECFF"/>
          </w:tcPr>
          <w:p>
            <w:pPr>
              <w:jc w:val="right"/>
              <w:ind w:right="28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Hotel, Gaming and Leisure</w:t>
            </w:r>
          </w:p>
        </w:tc>
        <w:tc>
          <w:tcPr>
            <w:tcW w:w="180" w:type="dxa"/>
            <w:vAlign w:val="bottom"/>
          </w:tcPr>
          <w:p>
            <w:pPr>
              <w:spacing w:after="0"/>
              <w:rPr>
                <w:sz w:val="15"/>
                <w:szCs w:val="15"/>
                <w:color w:val="auto"/>
              </w:rPr>
            </w:pPr>
          </w:p>
        </w:tc>
        <w:tc>
          <w:tcPr>
            <w:tcW w:w="186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r>
      <w:tr>
        <w:trPr>
          <w:trHeight w:val="175"/>
        </w:trPr>
        <w:tc>
          <w:tcPr>
            <w:tcW w:w="74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4"/>
                <w:szCs w:val="14"/>
                <w:color w:val="auto"/>
              </w:rPr>
              <w:t>All Other</w:t>
            </w:r>
          </w:p>
        </w:tc>
        <w:tc>
          <w:tcPr>
            <w:tcW w:w="180" w:type="dxa"/>
            <w:vAlign w:val="bottom"/>
            <w:tcBorders>
              <w:bottom w:val="single" w:sz="8" w:color="CCECFF"/>
            </w:tcBorders>
            <w:shd w:val="clear" w:color="auto" w:fill="CCECFF"/>
          </w:tcPr>
          <w:p>
            <w:pPr>
              <w:spacing w:after="0"/>
              <w:rPr>
                <w:sz w:val="15"/>
                <w:szCs w:val="15"/>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CCECFF"/>
            </w:tcBorders>
            <w:shd w:val="clear" w:color="auto" w:fill="CCECFF"/>
          </w:tcPr>
          <w:p>
            <w:pPr>
              <w:spacing w:after="0"/>
              <w:rPr>
                <w:sz w:val="15"/>
                <w:szCs w:val="15"/>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CCECFF"/>
            </w:tcBorders>
            <w:shd w:val="clear" w:color="auto" w:fill="CCECFF"/>
          </w:tcPr>
          <w:p>
            <w:pPr>
              <w:spacing w:after="0"/>
              <w:rPr>
                <w:sz w:val="15"/>
                <w:szCs w:val="15"/>
                <w:color w:val="auto"/>
              </w:rPr>
            </w:pPr>
          </w:p>
        </w:tc>
      </w:tr>
      <w:tr>
        <w:trPr>
          <w:trHeight w:val="169"/>
        </w:trPr>
        <w:tc>
          <w:tcPr>
            <w:tcW w:w="340" w:type="dxa"/>
            <w:vAlign w:val="bottom"/>
          </w:tcPr>
          <w:p>
            <w:pPr>
              <w:ind w:left="20"/>
              <w:spacing w:after="0"/>
              <w:rPr>
                <w:sz w:val="20"/>
                <w:szCs w:val="20"/>
                <w:color w:val="auto"/>
              </w:rPr>
            </w:pPr>
            <w:r>
              <w:rPr>
                <w:rFonts w:ascii="Arial" w:cs="Arial" w:eastAsia="Arial" w:hAnsi="Arial"/>
                <w:sz w:val="14"/>
                <w:szCs w:val="14"/>
                <w:color w:val="auto"/>
                <w:w w:val="96"/>
              </w:rPr>
              <w:t>Total</w:t>
            </w:r>
          </w:p>
        </w:tc>
        <w:tc>
          <w:tcPr>
            <w:tcW w:w="23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gridSpan w:val="3"/>
          </w:tcPr>
          <w:p>
            <w:pPr>
              <w:jc w:val="right"/>
              <w:ind w:right="148"/>
              <w:spacing w:after="0"/>
              <w:rPr>
                <w:sz w:val="20"/>
                <w:szCs w:val="20"/>
                <w:color w:val="auto"/>
              </w:rPr>
            </w:pPr>
            <w:r>
              <w:rPr>
                <w:rFonts w:ascii="Arial" w:cs="Arial" w:eastAsia="Arial" w:hAnsi="Arial"/>
                <w:sz w:val="14"/>
                <w:szCs w:val="14"/>
                <w:color w:val="auto"/>
              </w:rPr>
              <w:t>100 %</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6"/>
        </w:trPr>
        <w:tc>
          <w:tcPr>
            <w:tcW w:w="3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8"/>
        </w:trPr>
        <w:tc>
          <w:tcPr>
            <w:tcW w:w="340" w:type="dxa"/>
            <w:vAlign w:val="bottom"/>
          </w:tcPr>
          <w:p>
            <w:pPr>
              <w:spacing w:after="0"/>
              <w:rPr>
                <w:sz w:val="20"/>
                <w:szCs w:val="20"/>
                <w:color w:val="auto"/>
              </w:rPr>
            </w:pPr>
            <w:r>
              <w:rPr>
                <w:rFonts w:ascii="Arial" w:cs="Arial" w:eastAsia="Arial" w:hAnsi="Arial"/>
                <w:sz w:val="10"/>
                <w:szCs w:val="10"/>
                <w:color w:val="auto"/>
              </w:rPr>
              <w:t>(1)</w:t>
            </w:r>
          </w:p>
        </w:tc>
        <w:tc>
          <w:tcPr>
            <w:tcW w:w="7100" w:type="dxa"/>
            <w:vAlign w:val="bottom"/>
            <w:gridSpan w:val="2"/>
          </w:tcPr>
          <w:p>
            <w:pPr>
              <w:ind w:left="40"/>
              <w:spacing w:after="0"/>
              <w:rPr>
                <w:sz w:val="20"/>
                <w:szCs w:val="20"/>
                <w:color w:val="auto"/>
              </w:rPr>
            </w:pPr>
            <w:r>
              <w:rPr>
                <w:rFonts w:ascii="Arial" w:cs="Arial" w:eastAsia="Arial" w:hAnsi="Arial"/>
                <w:sz w:val="14"/>
                <w:szCs w:val="14"/>
                <w:color w:val="auto"/>
              </w:rPr>
              <w:t>Excludes investments in PSSL.</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-391795</wp:posOffset>
            </wp:positionV>
            <wp:extent cx="11112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-391795</wp:posOffset>
            </wp:positionV>
            <wp:extent cx="11176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Find I LLC</w:t>
      </w:r>
    </w:p>
    <w:p>
      <w:pPr>
        <w:spacing w:after="0" w:line="167" w:lineRule="exact"/>
        <w:rPr>
          <w:sz w:val="20"/>
          <w:szCs w:val="20"/>
          <w:color w:val="auto"/>
        </w:rPr>
      </w:pPr>
    </w:p>
    <w:p>
      <w:pPr>
        <w:ind w:firstLine="449"/>
        <w:spacing w:after="0" w:line="252"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December 31, 2021 and September 30, 2021, PSSL had total assets of $683.0 million and $603.6 million, respectively. As of the same dates, we and Kemper had remaining commitments to fund first lien secured debt and equity interests in PSSL in an aggregate amount of $28.0 and $48.0 million, respectively. PSSL invests in portfolio companies in the same industries in which we may directly invest.</w:t>
      </w:r>
    </w:p>
    <w:p>
      <w:pPr>
        <w:spacing w:after="0" w:line="134" w:lineRule="exact"/>
        <w:rPr>
          <w:sz w:val="20"/>
          <w:szCs w:val="20"/>
          <w:color w:val="auto"/>
        </w:rPr>
      </w:pPr>
    </w:p>
    <w:p>
      <w:pPr>
        <w:ind w:right="140" w:firstLine="449"/>
        <w:spacing w:after="0" w:line="252" w:lineRule="auto"/>
        <w:rPr>
          <w:sz w:val="20"/>
          <w:szCs w:val="20"/>
          <w:color w:val="auto"/>
        </w:rPr>
      </w:pPr>
      <w:r>
        <w:rPr>
          <w:rFonts w:ascii="Arial" w:cs="Arial" w:eastAsia="Arial" w:hAnsi="Arial"/>
          <w:sz w:val="14"/>
          <w:szCs w:val="14"/>
          <w:color w:val="auto"/>
        </w:rPr>
        <w:t>We provide capital to PSSL in the form of first lien secured debt and equity interests. As of December 31, 2021 and September 30, 2021, we and Kemper owned 87.5% and 12.5%, respectively, of each of the outstanding first lien secured debt and equity interests. As of the same dates, our investment in PSSL consisted of first lien secured debt of $153.1 million (additional $17.2 million unfunded) and $140.9 million (additional $29.4 million unfunded), respectively, and equity interests of $65.6 million (additional $7.4 million unfunded) and $60.4 million (additional $12.6 million unfunded), respectively.</w:t>
      </w:r>
    </w:p>
    <w:p>
      <w:pPr>
        <w:spacing w:after="0" w:line="134" w:lineRule="exact"/>
        <w:rPr>
          <w:sz w:val="20"/>
          <w:szCs w:val="20"/>
          <w:color w:val="auto"/>
        </w:rPr>
      </w:pPr>
    </w:p>
    <w:p>
      <w:pPr>
        <w:ind w:right="100" w:firstLine="449"/>
        <w:spacing w:after="0" w:line="247"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40" w:lineRule="exact"/>
        <w:rPr>
          <w:sz w:val="20"/>
          <w:szCs w:val="20"/>
          <w:color w:val="auto"/>
        </w:rPr>
      </w:pPr>
    </w:p>
    <w:p>
      <w:pPr>
        <w:ind w:right="380" w:firstLine="449"/>
        <w:spacing w:after="0" w:line="257" w:lineRule="auto"/>
        <w:rPr>
          <w:sz w:val="20"/>
          <w:szCs w:val="20"/>
          <w:color w:val="auto"/>
        </w:rPr>
      </w:pPr>
      <w:r>
        <w:rPr>
          <w:rFonts w:ascii="Arial" w:cs="Arial" w:eastAsia="Arial" w:hAnsi="Arial"/>
          <w:sz w:val="14"/>
          <w:szCs w:val="14"/>
          <w:color w:val="auto"/>
        </w:rPr>
        <w:t>Additionally, PSSL has entered into a $225.0 million (increased from $155.0 million in October 2021) senior secured revolving credit facility which bears interest at LIBOR (or an alternative risk-free floating interest rate index) plus 250 basis points, or the PSSL Credit Facility 2, with Ally Bank through its wholly-owned subsidiary, PennantPark Senior Secured Loan Facility LLC II, or PSSL Subsidiary II, subject to leverage and borrowing base restrictions.</w:t>
      </w:r>
    </w:p>
    <w:p>
      <w:pPr>
        <w:spacing w:after="0" w:line="131" w:lineRule="exact"/>
        <w:rPr>
          <w:sz w:val="20"/>
          <w:szCs w:val="20"/>
          <w:color w:val="auto"/>
        </w:rPr>
      </w:pPr>
    </w:p>
    <w:p>
      <w:pPr>
        <w:ind w:right="40" w:firstLine="449"/>
        <w:spacing w:after="0" w:line="245"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owned subsidiaries and us, PennantPark CLO II, Ltd. transferred to PSSL 100% of the Preferred Shares of PennantPark CLO II, Ltd. and 100% of the Class E Notes issued by PennantPark CLO II, Ltd.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ind w:left="460"/>
              <w:spacing w:after="0"/>
              <w:rPr>
                <w:sz w:val="20"/>
                <w:szCs w:val="20"/>
                <w:color w:val="auto"/>
              </w:rPr>
            </w:pPr>
            <w:r>
              <w:rPr>
                <w:rFonts w:ascii="Arial" w:cs="Arial" w:eastAsia="Arial" w:hAnsi="Arial"/>
                <w:sz w:val="14"/>
                <w:szCs w:val="14"/>
                <w:color w:val="auto"/>
              </w:rPr>
              <w:t>Below is a summary of PSSL’s portfolio at fair value:</w:t>
            </w: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36"/>
        </w:trPr>
        <w:tc>
          <w:tcPr>
            <w:tcW w:w="4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tcPr>
          <w:p>
            <w:pPr>
              <w:spacing w:after="0"/>
              <w:rPr>
                <w:sz w:val="24"/>
                <w:szCs w:val="2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 2021</w:t>
            </w:r>
          </w:p>
        </w:tc>
      </w:tr>
      <w:tr>
        <w:trPr>
          <w:trHeight w:val="169"/>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310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641,673,287</w:t>
            </w:r>
          </w:p>
        </w:tc>
        <w:tc>
          <w:tcPr>
            <w:tcW w:w="3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564,783,128</w:t>
            </w:r>
          </w:p>
        </w:tc>
        <w:tc>
          <w:tcPr>
            <w:tcW w:w="180" w:type="dxa"/>
            <w:vAlign w:val="bottom"/>
            <w:shd w:val="clear" w:color="auto" w:fill="CCECFF"/>
          </w:tcPr>
          <w:p>
            <w:pPr>
              <w:spacing w:after="0"/>
              <w:rPr>
                <w:sz w:val="14"/>
                <w:szCs w:val="14"/>
                <w:color w:val="auto"/>
              </w:rPr>
            </w:pPr>
          </w:p>
        </w:tc>
      </w:tr>
      <w:tr>
        <w:trPr>
          <w:trHeight w:val="176"/>
        </w:trPr>
        <w:tc>
          <w:tcPr>
            <w:tcW w:w="4580" w:type="dxa"/>
            <w:vAlign w:val="bottom"/>
          </w:tcPr>
          <w:p>
            <w:pPr>
              <w:ind w:left="20"/>
              <w:spacing w:after="0"/>
              <w:rPr>
                <w:sz w:val="20"/>
                <w:szCs w:val="20"/>
                <w:color w:val="auto"/>
              </w:rPr>
            </w:pPr>
            <w:r>
              <w:rPr>
                <w:rFonts w:ascii="Arial" w:cs="Arial" w:eastAsia="Arial" w:hAnsi="Arial"/>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4"/>
                <w:szCs w:val="14"/>
                <w:color w:val="auto"/>
              </w:rPr>
              <w:t>7.1 %</w:t>
            </w:r>
          </w:p>
        </w:tc>
      </w:tr>
      <w:tr>
        <w:trPr>
          <w:trHeight w:val="175"/>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180" w:type="dxa"/>
            <w:vAlign w:val="bottom"/>
            <w:shd w:val="clear" w:color="auto" w:fill="CCECFF"/>
          </w:tcPr>
          <w:p>
            <w:pPr>
              <w:spacing w:after="0"/>
              <w:rPr>
                <w:sz w:val="15"/>
                <w:szCs w:val="15"/>
                <w:color w:val="auto"/>
              </w:rPr>
            </w:pPr>
          </w:p>
        </w:tc>
      </w:tr>
      <w:tr>
        <w:trPr>
          <w:trHeight w:val="176"/>
        </w:trPr>
        <w:tc>
          <w:tcPr>
            <w:tcW w:w="4580" w:type="dxa"/>
            <w:vAlign w:val="bottom"/>
          </w:tcPr>
          <w:p>
            <w:pPr>
              <w:ind w:left="20"/>
              <w:spacing w:after="0"/>
              <w:rPr>
                <w:sz w:val="20"/>
                <w:szCs w:val="20"/>
                <w:color w:val="auto"/>
              </w:rPr>
            </w:pPr>
            <w:r>
              <w:rPr>
                <w:rFonts w:ascii="Arial" w:cs="Arial" w:eastAsia="Arial" w:hAnsi="Arial"/>
                <w:sz w:val="14"/>
                <w:szCs w:val="14"/>
                <w:color w:val="auto"/>
              </w:rPr>
              <w:t>Largest portfolio company investment</w:t>
            </w:r>
          </w:p>
        </w:tc>
        <w:tc>
          <w:tcPr>
            <w:tcW w:w="3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19,012,000</w:t>
            </w:r>
          </w:p>
        </w:tc>
        <w:tc>
          <w:tcPr>
            <w:tcW w:w="3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18,932,630</w:t>
            </w:r>
          </w:p>
        </w:tc>
        <w:tc>
          <w:tcPr>
            <w:tcW w:w="180" w:type="dxa"/>
            <w:vAlign w:val="bottom"/>
          </w:tcPr>
          <w:p>
            <w:pPr>
              <w:spacing w:after="0"/>
              <w:rPr>
                <w:sz w:val="15"/>
                <w:szCs w:val="15"/>
                <w:color w:val="auto"/>
              </w:rPr>
            </w:pPr>
          </w:p>
        </w:tc>
      </w:tr>
      <w:tr>
        <w:trPr>
          <w:trHeight w:val="175"/>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of five largest portfolio company investments</w:t>
            </w:r>
          </w:p>
        </w:tc>
        <w:tc>
          <w:tcPr>
            <w:tcW w:w="3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86,261,851</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84,287,460</w:t>
            </w:r>
          </w:p>
        </w:tc>
        <w:tc>
          <w:tcPr>
            <w:tcW w:w="180" w:type="dxa"/>
            <w:vAlign w:val="bottom"/>
            <w:shd w:val="clear" w:color="auto" w:fill="CCECFF"/>
          </w:tcPr>
          <w:p>
            <w:pPr>
              <w:spacing w:after="0"/>
              <w:rPr>
                <w:sz w:val="15"/>
                <w:szCs w:val="15"/>
                <w:color w:val="auto"/>
              </w:rPr>
            </w:pPr>
          </w:p>
        </w:tc>
      </w:tr>
      <w:tr>
        <w:trPr>
          <w:trHeight w:val="366"/>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4"/>
        </w:trPr>
        <w:tc>
          <w:tcPr>
            <w:tcW w:w="45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PSSL’s individual investments as of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140" w:type="dxa"/>
            <w:vAlign w:val="bottom"/>
          </w:tcPr>
          <w:p>
            <w:pPr>
              <w:spacing w:after="0"/>
              <w:rPr>
                <w:sz w:val="9"/>
                <w:szCs w:val="9"/>
                <w:color w:val="auto"/>
              </w:rPr>
            </w:pPr>
          </w:p>
        </w:tc>
        <w:tc>
          <w:tcPr>
            <w:tcW w:w="2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140" w:type="dxa"/>
            <w:vAlign w:val="bottom"/>
          </w:tcPr>
          <w:p>
            <w:pPr>
              <w:spacing w:after="0"/>
              <w:rPr>
                <w:sz w:val="9"/>
                <w:szCs w:val="9"/>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Par</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- 1160.2%</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3"/>
              </w:rPr>
              <w:t>5/6/2026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8,955,000</w:t>
            </w:r>
          </w:p>
        </w:tc>
        <w:tc>
          <w:tcPr>
            <w:tcW w:w="3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8,836,837</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8,955,000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7/24/2025</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9.00 %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L+700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5,450,124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5,309,857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5,109,491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12/21/2023</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Building Products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4,927,427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4,875,528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4,927,427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7/31/2025</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1,018,039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1,018,039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1,005,313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7/31/2025</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2,217,197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2,217,197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2,189,482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Apex Service Partners, LLC Term Loan 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7/31/2025</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4,163,478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4,097,520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4,111,435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12/29/2026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4,411,562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4,443,750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5/16/2024</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7.25 %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15,536,977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15,481,065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15,226,237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Cadence Aerospace,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11/14/2023</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9.50 %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12,314,270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12,269,216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12,228,070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Cano Health</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11/23/2027</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0"/>
              </w:rPr>
              <w:t>Healthcare, Education &amp; Childcare</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5.25 %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L+450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2,646,667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2,640,086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2,642,697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CF512,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8/20/2026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4,889,449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4,937,625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CHA Holdings,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4/10/2025</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5.50 %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L+450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5,600,129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5,510,103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5,572,128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Challenger Performance Optimization,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8/31/2023</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8.00 %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9,394,789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9,353,387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9,112,945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Connatix Buyer,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7/13/2027</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1M L+675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3,990,000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3,914,189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4,009,949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Crane 1 Services,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8/16/2027</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2,126,250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2,095,933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2,104,988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93"/>
              </w:rPr>
              <w:t>8/5/2025</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6.00 %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14,952,600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14,668,250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14,653,548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10/19/2022</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8,723,392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8,682,987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8,723,392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Douglas Sewer Intermediate,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10/19/2022</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1M L+475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7,304,171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7,268,830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7,304,171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 Squatch,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8/27/2026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9,784,645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11/3/2025</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15,636,090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15,548,787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15,542,275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Duraco Specialty Tapes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6/30/2024</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Containers and Packaging</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10,368,010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10,190,306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10,202,122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3/31/2028</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8.25 %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2,640,577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2,615,226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2,680,186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12/23/2025</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5.75 %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4,994,355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4,994,355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4,869,496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Fairbanks More Defense</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6/17/2028</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5.50 %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9,975,000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9,931,373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9,950,063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FlexPrint,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3"/>
              </w:rPr>
              <w:t>1/2/2024</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5.67 %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4,769,595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4,735,907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4,769,595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Gantech Acquisition Corp.</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5/14/2026</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7.25 %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L+800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14,863,034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14,598,362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14,714,404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3/16/2026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3,957,563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3,938,664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3,937,775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Graffiti Buyer,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8/10/2027</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2,386,875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2,341,314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2,340,331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12/31/2026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2,475,000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2,421,099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2,475,000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12/10/2024</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3,075,000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3,014,618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3,013,500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Acquisitionco,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11/15/2027</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Software</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5,404,356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5,298,045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5,296,269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Inception Fertility Ventures,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12/7/2023</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1M L+590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4,694,908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4,579,487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4,577,536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9/29/2023</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11,529,369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11,495,522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11,529,369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12/20/2023</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19,400,000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19,169,616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19,012,000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Kinetic Purchaser,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11/10/2027</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8,466,025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8,300,861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8,296,704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Lash OpCo,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2/18/2027</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14,463,750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14,144,208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14,319,113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10/31/2024</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Capital Equipment</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8.50 %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10,544,899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10,491,412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10,049,289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93"/>
              </w:rPr>
              <w:t>2/3/2026</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10,679,529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10,487,737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10,385,842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Lucky Bucks,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7/20/2027</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Hotel, Gaming and Leisure</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6.25 %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4,414,415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4,415,625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80" w:type="dxa"/>
            <w:vAlign w:val="bottom"/>
          </w:tcPr>
          <w:p>
            <w:pPr>
              <w:ind w:left="20"/>
              <w:spacing w:after="0" w:line="105" w:lineRule="exact"/>
              <w:rPr>
                <w:sz w:val="20"/>
                <w:szCs w:val="20"/>
                <w:color w:val="auto"/>
              </w:rPr>
            </w:pPr>
            <w:r>
              <w:rPr>
                <w:rFonts w:ascii="Arial" w:cs="Arial" w:eastAsia="Arial" w:hAnsi="Arial"/>
                <w:sz w:val="11"/>
                <w:szCs w:val="11"/>
                <w:color w:val="auto"/>
              </w:rPr>
              <w:t>Management Consulting &amp; Research, LLC</w:t>
            </w:r>
          </w:p>
        </w:tc>
        <w:tc>
          <w:tcPr>
            <w:tcW w:w="78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9"/>
              </w:rPr>
              <w:t>8/16/2027</w:t>
            </w:r>
          </w:p>
        </w:tc>
        <w:tc>
          <w:tcPr>
            <w:tcW w:w="140" w:type="dxa"/>
            <w:vAlign w:val="bottom"/>
          </w:tcPr>
          <w:p>
            <w:pPr>
              <w:spacing w:after="0"/>
              <w:rPr>
                <w:sz w:val="9"/>
                <w:szCs w:val="9"/>
                <w:color w:val="auto"/>
              </w:rPr>
            </w:pPr>
          </w:p>
        </w:tc>
        <w:tc>
          <w:tcPr>
            <w:tcW w:w="2540" w:type="dxa"/>
            <w:vAlign w:val="bottom"/>
          </w:tcPr>
          <w:p>
            <w:pPr>
              <w:jc w:val="center"/>
              <w:spacing w:after="0" w:line="105" w:lineRule="exact"/>
              <w:rPr>
                <w:sz w:val="20"/>
                <w:szCs w:val="20"/>
                <w:color w:val="auto"/>
              </w:rPr>
            </w:pPr>
            <w:r>
              <w:rPr>
                <w:rFonts w:ascii="Arial" w:cs="Arial" w:eastAsia="Arial" w:hAnsi="Arial"/>
                <w:sz w:val="11"/>
                <w:szCs w:val="11"/>
                <w:color w:val="auto"/>
                <w:w w:val="86"/>
              </w:rPr>
              <w:t>Aerospace and Defense</w:t>
            </w:r>
          </w:p>
        </w:tc>
        <w:tc>
          <w:tcPr>
            <w:tcW w:w="98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800" w:type="dxa"/>
            <w:vAlign w:val="bottom"/>
          </w:tcPr>
          <w:p>
            <w:pPr>
              <w:jc w:val="right"/>
              <w:spacing w:after="0" w:line="105" w:lineRule="exact"/>
              <w:rPr>
                <w:sz w:val="20"/>
                <w:szCs w:val="20"/>
                <w:color w:val="auto"/>
              </w:rPr>
            </w:pPr>
            <w:r>
              <w:rPr>
                <w:rFonts w:ascii="Arial" w:cs="Arial" w:eastAsia="Arial" w:hAnsi="Arial"/>
                <w:sz w:val="11"/>
                <w:szCs w:val="11"/>
                <w:color w:val="auto"/>
              </w:rPr>
              <w:t>1M L+700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15,000,000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14,707,013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14,700,000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80" w:type="dxa"/>
            <w:vAlign w:val="bottom"/>
          </w:tcPr>
          <w:p>
            <w:pPr>
              <w:ind w:left="20"/>
              <w:spacing w:after="0" w:line="155" w:lineRule="exact"/>
              <w:rPr>
                <w:sz w:val="20"/>
                <w:szCs w:val="20"/>
                <w:color w:val="auto"/>
              </w:rPr>
            </w:pPr>
            <w:r>
              <w:rPr>
                <w:rFonts w:ascii="Arial" w:cs="Arial" w:eastAsia="Arial" w:hAnsi="Arial"/>
                <w:sz w:val="11"/>
                <w:szCs w:val="11"/>
                <w:color w:val="auto"/>
                <w:w w:val="92"/>
              </w:rPr>
              <w:t xml:space="preserve">Marketplace Events, LLC - Super Priority First Lien Term Loan </w:t>
            </w:r>
            <w:r>
              <w:rPr>
                <w:rFonts w:ascii="Arial" w:cs="Arial" w:eastAsia="Arial" w:hAnsi="Arial"/>
                <w:sz w:val="14"/>
                <w:szCs w:val="14"/>
                <w:color w:val="auto"/>
                <w:w w:val="92"/>
                <w:vertAlign w:val="superscript"/>
              </w:rPr>
              <w:t>(3)(4)</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9/30/2025</w:t>
            </w:r>
          </w:p>
        </w:tc>
        <w:tc>
          <w:tcPr>
            <w:tcW w:w="1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L+750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627,350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627,350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627,350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080" w:type="dxa"/>
            <w:vAlign w:val="bottom"/>
          </w:tcPr>
          <w:p>
            <w:pPr>
              <w:ind w:left="20"/>
              <w:spacing w:after="0" w:line="108" w:lineRule="exact"/>
              <w:rPr>
                <w:sz w:val="20"/>
                <w:szCs w:val="20"/>
                <w:color w:val="auto"/>
              </w:rPr>
            </w:pPr>
            <w:r>
              <w:rPr>
                <w:rFonts w:ascii="Arial" w:cs="Arial" w:eastAsia="Arial" w:hAnsi="Arial"/>
                <w:sz w:val="11"/>
                <w:szCs w:val="11"/>
                <w:color w:val="auto"/>
                <w:w w:val="92"/>
              </w:rPr>
              <w:t>Marketplace Events, LLC - Super Priority First Lien Unfunded Term</w:t>
            </w:r>
          </w:p>
        </w:tc>
        <w:tc>
          <w:tcPr>
            <w:tcW w:w="78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89"/>
              </w:rPr>
              <w:t>9/30/2025</w:t>
            </w:r>
          </w:p>
        </w:tc>
        <w:tc>
          <w:tcPr>
            <w:tcW w:w="140" w:type="dxa"/>
            <w:vAlign w:val="bottom"/>
          </w:tcPr>
          <w:p>
            <w:pPr>
              <w:spacing w:after="0"/>
              <w:rPr>
                <w:sz w:val="9"/>
                <w:szCs w:val="9"/>
                <w:color w:val="auto"/>
              </w:rPr>
            </w:pPr>
          </w:p>
        </w:tc>
        <w:tc>
          <w:tcPr>
            <w:tcW w:w="2540" w:type="dxa"/>
            <w:vAlign w:val="bottom"/>
          </w:tcPr>
          <w:p>
            <w:pPr>
              <w:jc w:val="center"/>
              <w:spacing w:after="0" w:line="108" w:lineRule="exact"/>
              <w:rPr>
                <w:sz w:val="20"/>
                <w:szCs w:val="20"/>
                <w:color w:val="auto"/>
              </w:rPr>
            </w:pPr>
            <w:r>
              <w:rPr>
                <w:rFonts w:ascii="Arial" w:cs="Arial" w:eastAsia="Arial" w:hAnsi="Arial"/>
                <w:sz w:val="11"/>
                <w:szCs w:val="11"/>
                <w:color w:val="auto"/>
                <w:w w:val="91"/>
              </w:rPr>
              <w:t>Media: Diversified and Production</w:t>
            </w:r>
          </w:p>
        </w:tc>
        <w:tc>
          <w:tcPr>
            <w:tcW w:w="980" w:type="dxa"/>
            <w:vAlign w:val="bottom"/>
            <w:gridSpan w:val="3"/>
          </w:tcPr>
          <w:p>
            <w:pPr>
              <w:jc w:val="right"/>
              <w:ind w:right="20"/>
              <w:spacing w:after="0" w:line="108" w:lineRule="exact"/>
              <w:rPr>
                <w:sz w:val="20"/>
                <w:szCs w:val="20"/>
                <w:color w:val="auto"/>
              </w:rPr>
            </w:pPr>
            <w:r>
              <w:rPr>
                <w:rFonts w:ascii="Arial" w:cs="Arial" w:eastAsia="Arial" w:hAnsi="Arial"/>
                <w:sz w:val="11"/>
                <w:szCs w:val="11"/>
                <w:color w:val="auto"/>
              </w:rPr>
              <w:t>0.00 %</w:t>
            </w:r>
          </w:p>
        </w:tc>
        <w:tc>
          <w:tcPr>
            <w:tcW w:w="14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589,122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80" w:type="dxa"/>
            <w:vAlign w:val="bottom"/>
          </w:tcPr>
          <w:p>
            <w:pPr>
              <w:ind w:left="20"/>
              <w:spacing w:after="0" w:line="115" w:lineRule="exact"/>
              <w:rPr>
                <w:sz w:val="20"/>
                <w:szCs w:val="20"/>
                <w:color w:val="auto"/>
              </w:rPr>
            </w:pPr>
            <w:r>
              <w:rPr>
                <w:rFonts w:ascii="Arial" w:cs="Arial" w:eastAsia="Arial" w:hAnsi="Arial"/>
                <w:sz w:val="11"/>
                <w:szCs w:val="11"/>
                <w:color w:val="auto"/>
              </w:rPr>
              <w:t>Loan</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(3)(4)</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9/30/2026</w:t>
            </w:r>
          </w:p>
        </w:tc>
        <w:tc>
          <w:tcPr>
            <w:tcW w:w="1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0.00 %</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4,688,685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3,441,474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4,688,685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80" w:type="dxa"/>
            <w:vAlign w:val="bottom"/>
          </w:tcPr>
          <w:p>
            <w:pPr>
              <w:ind w:left="20"/>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5/14/2026</w:t>
            </w:r>
          </w:p>
        </w:tc>
        <w:tc>
          <w:tcPr>
            <w:tcW w:w="14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9,975,000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9,796,215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9,925,124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MBS Holdings,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4/16/2027</w:t>
            </w:r>
          </w:p>
        </w:tc>
        <w:tc>
          <w:tcPr>
            <w:tcW w:w="14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7,462,500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7,324,842</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7,387,875</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MeritDirect,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5/23/2024</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2"/>
              </w:rPr>
              <w:t>Media: Advertising, Printing &amp; Publishing</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5,496,927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5,386,916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5,441,957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Mission Critical Electronics,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9/28/2022</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Capital Equipment</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5,874,418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5,864,975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5,874,418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Municipal Emergency Services,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9/28/2027</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6.00 %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3,491,250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3,423,253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3,435,390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NBH Group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8/19/2026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Education &amp; Childcare</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jc w:val="right"/>
              <w:ind w:right="4"/>
              <w:spacing w:after="0"/>
              <w:rPr>
                <w:sz w:val="20"/>
                <w:szCs w:val="20"/>
                <w:color w:val="auto"/>
              </w:rPr>
            </w:pPr>
            <w:r>
              <w:rPr>
                <w:rFonts w:ascii="Arial" w:cs="Arial" w:eastAsia="Arial" w:hAnsi="Arial"/>
                <w:sz w:val="7"/>
                <w:szCs w:val="7"/>
                <w:color w:val="auto"/>
                <w:w w:val="92"/>
              </w:rPr>
              <w:t>(4)</w:t>
            </w: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10,901,830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10,695,121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10,792,812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New Milani Group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93"/>
              </w:rPr>
              <w:t>6/6/2024</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7.50 %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14,512,500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14,449,995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14,149,688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3"/>
              </w:rPr>
              <w:t>7/9/2026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1,990,000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1,962,468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1,970,100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One Stop Mailing,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93"/>
              </w:rPr>
              <w:t>5/7/2027</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3"/>
              </w:rPr>
              <w:t>Air Freight and Logistics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7.25 %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14,882,143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14,603,405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14,621,705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Output Services Group,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3/27/2024</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7,703,419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7,736,458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6,933,077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5/18/2026</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4,962,500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4,893,094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4,863,250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PH Beauty Holdings III,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9/29/2025</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5.18 %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9,667,689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9,508,551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8,894,274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PL Acquisitionco,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11/9/2027</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7.50 %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8,300,024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8,158,174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8,154,774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Plant Health Intermediate,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10/19/2022</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1,573,750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1,566,163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1,573,750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93"/>
              </w:rPr>
              <w:t>5/8/2026</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5.72 %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2,601,243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2,527,483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2,540,556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Quantic Electronics,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11/19/2026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7.25 %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3,952,053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3,875,185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3,873,013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1/29/2026</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4,962,500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4,879,117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4,888,063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12/20/2024</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10,651,962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10,570,256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10,498,893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93"/>
              </w:rPr>
              <w:t>1/3/2025</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7.75 %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5,310,941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5,237,218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5,231,277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12/20/2024</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5,506,404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5,454,203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5,506,404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7/14/2025</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11,814,827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11,843,002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11,430,845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Sigma Defense Systems,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12/18/2025</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9.50 %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14,630,464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Smile Brands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10/14/2025</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5.25 %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12,535,172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12,433,898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12,065,103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Snak Club,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7/19/2022</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Beverage, Food and Tobacco</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4,344,306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4,326,142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4,344,306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1/17/2024</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3M L+700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5,875,772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5,841,539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5,875,772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12/11/2026</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Construction and Building</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5.35 %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9,075,412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9,006,665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9,030,035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93"/>
              </w:rPr>
              <w:t>3/1/2026</w:t>
            </w:r>
          </w:p>
        </w:tc>
        <w:tc>
          <w:tcPr>
            <w:tcW w:w="1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1M 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4,654,618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4,575,450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4,654,618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11/20/2025</w:t>
            </w:r>
          </w:p>
        </w:tc>
        <w:tc>
          <w:tcPr>
            <w:tcW w:w="1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5.50 %</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10,308,377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10,285,422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10,205,294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857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857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366"/>
              <w:spacing w:after="0"/>
              <w:rPr>
                <w:sz w:val="20"/>
                <w:szCs w:val="20"/>
                <w:color w:val="auto"/>
              </w:rPr>
            </w:pPr>
            <w:r>
              <w:rPr>
                <w:rFonts w:ascii="Arial" w:cs="Arial" w:eastAsia="Arial" w:hAnsi="Arial"/>
                <w:sz w:val="11"/>
                <w:szCs w:val="11"/>
                <w:b w:val="1"/>
                <w:bCs w:val="1"/>
                <w:color w:val="auto"/>
              </w:rPr>
              <w:t>Current</w:t>
            </w: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80" w:type="dxa"/>
            <w:vAlign w:val="bottom"/>
          </w:tcPr>
          <w:p>
            <w:pPr>
              <w:spacing w:after="0"/>
              <w:rPr>
                <w:sz w:val="9"/>
                <w:szCs w:val="9"/>
                <w:color w:val="auto"/>
              </w:rPr>
            </w:pPr>
          </w:p>
        </w:tc>
        <w:tc>
          <w:tcPr>
            <w:tcW w:w="78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9"/>
                <w:szCs w:val="9"/>
                <w:color w:val="auto"/>
              </w:rPr>
            </w:pPr>
          </w:p>
        </w:tc>
        <w:tc>
          <w:tcPr>
            <w:tcW w:w="2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148"/>
        </w:trPr>
        <w:tc>
          <w:tcPr>
            <w:tcW w:w="3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7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80" w:type="dxa"/>
            <w:vAlign w:val="bottom"/>
          </w:tcPr>
          <w:p>
            <w:pPr>
              <w:spacing w:after="0"/>
              <w:rPr>
                <w:sz w:val="12"/>
                <w:szCs w:val="12"/>
                <w:color w:val="auto"/>
              </w:rPr>
            </w:pPr>
          </w:p>
        </w:tc>
        <w:tc>
          <w:tcPr>
            <w:tcW w:w="78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8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12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9"/>
              </w:rPr>
              <w:t>7/18/2025</w:t>
            </w:r>
          </w:p>
        </w:tc>
        <w:tc>
          <w:tcPr>
            <w:tcW w:w="180" w:type="dxa"/>
            <w:vAlign w:val="bottom"/>
            <w:shd w:val="clear" w:color="auto" w:fill="CCECFF"/>
          </w:tcPr>
          <w:p>
            <w:pPr>
              <w:spacing w:after="0"/>
              <w:rPr>
                <w:sz w:val="11"/>
                <w:szCs w:val="11"/>
                <w:color w:val="auto"/>
              </w:rPr>
            </w:pPr>
          </w:p>
        </w:tc>
        <w:tc>
          <w:tcPr>
            <w:tcW w:w="254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6.25</w:t>
            </w:r>
          </w:p>
        </w:tc>
        <w:tc>
          <w:tcPr>
            <w:tcW w:w="24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w w:val="81"/>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180" w:type="dxa"/>
            <w:vAlign w:val="bottom"/>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2,303,594</w:t>
            </w: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2,300,466</w:t>
            </w:r>
          </w:p>
        </w:tc>
        <w:tc>
          <w:tcPr>
            <w:tcW w:w="16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2,307,441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10/31/2025</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5,702,340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5,625,763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5,645,316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7/27/2026</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1,735,096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1,702,858</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1,769,798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9/16/2024</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tcPr>
          <w:p>
            <w:pPr>
              <w:jc w:val="right"/>
              <w:spacing w:after="0"/>
              <w:rPr>
                <w:sz w:val="20"/>
                <w:szCs w:val="20"/>
                <w:color w:val="auto"/>
              </w:rPr>
            </w:pPr>
            <w:r>
              <w:rPr>
                <w:rFonts w:ascii="Arial" w:cs="Arial" w:eastAsia="Arial" w:hAnsi="Arial"/>
                <w:sz w:val="11"/>
                <w:szCs w:val="11"/>
                <w:color w:val="auto"/>
              </w:rPr>
              <w:t>1M L+450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13,292,785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13,286,182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13,292,785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8/30/2027</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6.50 %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5,620,049</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5,509,843</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5,558,228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11/24/2025</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8,811,566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8,641,641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8,547,219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3/26/2026</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8,536,695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8,568,268</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8,536,695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6/16/2025</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tcPr>
          <w:p>
            <w:pPr>
              <w:jc w:val="right"/>
              <w:spacing w:after="0"/>
              <w:rPr>
                <w:sz w:val="20"/>
                <w:szCs w:val="20"/>
                <w:color w:val="auto"/>
              </w:rPr>
            </w:pPr>
            <w:r>
              <w:rPr>
                <w:rFonts w:ascii="Arial" w:cs="Arial" w:eastAsia="Arial" w:hAnsi="Arial"/>
                <w:sz w:val="11"/>
                <w:szCs w:val="11"/>
                <w:color w:val="auto"/>
              </w:rPr>
              <w:t>6M L+575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6,636,062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6,601,382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6,636,062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 (New Issue)</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4/1/2028</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L+550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15,667,608</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15,522,347</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15,550,101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UBEO,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4/3/2024</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60" w:type="dxa"/>
            <w:vAlign w:val="bottom"/>
          </w:tcPr>
          <w:p>
            <w:pPr>
              <w:jc w:val="right"/>
              <w:spacing w:after="0"/>
              <w:rPr>
                <w:sz w:val="20"/>
                <w:szCs w:val="20"/>
                <w:color w:val="auto"/>
              </w:rPr>
            </w:pPr>
            <w:r>
              <w:rPr>
                <w:rFonts w:ascii="Arial" w:cs="Arial" w:eastAsia="Arial" w:hAnsi="Arial"/>
                <w:sz w:val="11"/>
                <w:szCs w:val="11"/>
                <w:color w:val="auto"/>
              </w:rPr>
              <w:t>3M L+525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17,526,068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17,421,250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17,438,438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3/31/2027</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12,492,395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12,206,891</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12,305,009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Wildcat Buyerco,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2/27/2026</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tcPr>
          <w:p>
            <w:pPr>
              <w:jc w:val="right"/>
              <w:spacing w:after="0"/>
              <w:rPr>
                <w:sz w:val="20"/>
                <w:szCs w:val="20"/>
                <w:color w:val="auto"/>
              </w:rPr>
            </w:pPr>
            <w:r>
              <w:rPr>
                <w:rFonts w:ascii="Arial" w:cs="Arial" w:eastAsia="Arial" w:hAnsi="Arial"/>
                <w:sz w:val="11"/>
                <w:szCs w:val="11"/>
                <w:color w:val="auto"/>
              </w:rPr>
              <w:t>1M L+625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5,692,065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5,644,064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5,663,605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Zips Car Wash, LLC</w:t>
            </w:r>
          </w:p>
        </w:tc>
        <w:tc>
          <w:tcPr>
            <w:tcW w:w="78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3/1/2024</w:t>
            </w:r>
          </w:p>
        </w:tc>
        <w:tc>
          <w:tcPr>
            <w:tcW w:w="180" w:type="dxa"/>
            <w:vAlign w:val="bottom"/>
            <w:tcBorders>
              <w:bottom w:val="single" w:sz="8" w:color="CCECFF"/>
            </w:tcBorders>
            <w:shd w:val="clear" w:color="auto" w:fill="CCECFF"/>
          </w:tcPr>
          <w:p>
            <w:pPr>
              <w:spacing w:after="0"/>
              <w:rPr>
                <w:sz w:val="11"/>
                <w:szCs w:val="11"/>
                <w:color w:val="auto"/>
              </w:rPr>
            </w:pPr>
          </w:p>
        </w:tc>
        <w:tc>
          <w:tcPr>
            <w:tcW w:w="25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2"/>
              </w:rPr>
              <w:t>Automobiles</w:t>
            </w:r>
          </w:p>
        </w:tc>
        <w:tc>
          <w:tcPr>
            <w:tcW w:w="110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7.75 %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17,000,000</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16,676,420</w:t>
            </w:r>
          </w:p>
        </w:tc>
        <w:tc>
          <w:tcPr>
            <w:tcW w:w="1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16,660,000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639,374,876</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638,323,244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 - 5.3%</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0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DBI Intermediate Holdco, LLC, Term Loan B </w:t>
            </w:r>
            <w:r>
              <w:rPr>
                <w:rFonts w:ascii="Arial" w:cs="Arial" w:eastAsia="Arial" w:hAnsi="Arial"/>
                <w:sz w:val="14"/>
                <w:szCs w:val="14"/>
                <w:color w:val="auto"/>
                <w:vertAlign w:val="superscript"/>
              </w:rPr>
              <w:t>(4)</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02/02/2026</w:t>
            </w:r>
          </w:p>
        </w:tc>
        <w:tc>
          <w:tcPr>
            <w:tcW w:w="18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2,434,333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2,434,333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9.00%)</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Inventus Power, Inc.</w:t>
            </w:r>
          </w:p>
        </w:tc>
        <w:tc>
          <w:tcPr>
            <w:tcW w:w="78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09/29/2024</w:t>
            </w:r>
          </w:p>
        </w:tc>
        <w:tc>
          <w:tcPr>
            <w:tcW w:w="180" w:type="dxa"/>
            <w:vAlign w:val="bottom"/>
            <w:tcBorders>
              <w:bottom w:val="single" w:sz="8" w:color="CCECFF"/>
            </w:tcBorders>
            <w:shd w:val="clear" w:color="auto" w:fill="CCECFF"/>
          </w:tcPr>
          <w:p>
            <w:pPr>
              <w:spacing w:after="0"/>
              <w:rPr>
                <w:sz w:val="12"/>
                <w:szCs w:val="12"/>
                <w:color w:val="auto"/>
              </w:rPr>
            </w:pPr>
          </w:p>
        </w:tc>
        <w:tc>
          <w:tcPr>
            <w:tcW w:w="25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10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9.50 %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2,951,246</w:t>
            </w:r>
          </w:p>
        </w:tc>
        <w:tc>
          <w:tcPr>
            <w:tcW w:w="1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2,925,000</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5,385,579</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Equity Securities - .8%</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14"/>
                <w:szCs w:val="14"/>
                <w:color w:val="auto"/>
                <w:vertAlign w:val="superscript"/>
              </w:rPr>
              <w:t>(4)</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13.00 %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6,784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5,034,310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14"/>
                <w:szCs w:val="14"/>
                <w:color w:val="auto"/>
                <w:vertAlign w:val="superscript"/>
              </w:rPr>
              <w:t>(4)</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7,007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6,731,347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3080" w:type="dxa"/>
            <w:vAlign w:val="bottom"/>
          </w:tcPr>
          <w:p>
            <w:pPr>
              <w:ind w:left="20"/>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14"/>
                <w:szCs w:val="14"/>
                <w:color w:val="auto"/>
                <w:vertAlign w:val="superscript"/>
              </w:rPr>
              <w:t>(4)</w:t>
            </w:r>
          </w:p>
        </w:tc>
        <w:tc>
          <w:tcPr>
            <w:tcW w:w="120" w:type="dxa"/>
            <w:vAlign w:val="bottom"/>
          </w:tcPr>
          <w:p>
            <w:pPr>
              <w:spacing w:after="0"/>
              <w:rPr>
                <w:sz w:val="14"/>
                <w:szCs w:val="14"/>
                <w:color w:val="auto"/>
              </w:rPr>
            </w:pPr>
          </w:p>
        </w:tc>
        <w:tc>
          <w:tcPr>
            <w:tcW w:w="660" w:type="dxa"/>
            <w:vAlign w:val="bottom"/>
          </w:tcPr>
          <w:p>
            <w:pPr>
              <w:ind w:left="54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1,065,021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236,521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New MPE Holdings, LLC</w:t>
            </w: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ind w:left="540"/>
              <w:spacing w:after="0"/>
              <w:rPr>
                <w:sz w:val="20"/>
                <w:szCs w:val="20"/>
                <w:color w:val="auto"/>
              </w:rPr>
            </w:pPr>
            <w:r>
              <w:rPr>
                <w:rFonts w:ascii="Arial" w:cs="Arial" w:eastAsia="Arial" w:hAnsi="Arial"/>
                <w:sz w:val="11"/>
                <w:szCs w:val="11"/>
                <w:color w:val="auto"/>
                <w:w w:val="90"/>
              </w:rPr>
              <w:t>—</w:t>
            </w:r>
          </w:p>
        </w:tc>
        <w:tc>
          <w:tcPr>
            <w:tcW w:w="180" w:type="dxa"/>
            <w:vAlign w:val="bottom"/>
            <w:tcBorders>
              <w:bottom w:val="single" w:sz="8" w:color="CCECFF"/>
            </w:tcBorders>
            <w:shd w:val="clear" w:color="auto" w:fill="CCECFF"/>
          </w:tcPr>
          <w:p>
            <w:pPr>
              <w:spacing w:after="0"/>
              <w:rPr>
                <w:sz w:val="11"/>
                <w:szCs w:val="11"/>
                <w:color w:val="auto"/>
              </w:rPr>
            </w:pPr>
          </w:p>
        </w:tc>
        <w:tc>
          <w:tcPr>
            <w:tcW w:w="25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47</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425,043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12,002,178</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425,043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- 1166.3%</w:t>
            </w: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5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656,762,633</w:t>
            </w:r>
          </w:p>
        </w:tc>
        <w:tc>
          <w:tcPr>
            <w:tcW w:w="1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641,673,287</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- 64.7%</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5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35,578,940</w:t>
            </w:r>
          </w:p>
        </w:tc>
        <w:tc>
          <w:tcPr>
            <w:tcW w:w="1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35,582,572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35,578,940</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35,582,572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and Cash Equivalents —1231.%</w:t>
            </w:r>
          </w:p>
        </w:tc>
        <w:tc>
          <w:tcPr>
            <w:tcW w:w="120" w:type="dxa"/>
            <w:vAlign w:val="bottom"/>
            <w:tcBorders>
              <w:bottom w:val="single" w:sz="8" w:color="CCECFF"/>
            </w:tcBorders>
            <w:shd w:val="clear" w:color="auto" w:fill="CCECFF"/>
          </w:tcPr>
          <w:p>
            <w:pPr>
              <w:spacing w:after="0"/>
              <w:rPr>
                <w:sz w:val="15"/>
                <w:szCs w:val="15"/>
                <w:color w:val="auto"/>
              </w:rPr>
            </w:pPr>
          </w:p>
        </w:tc>
        <w:tc>
          <w:tcPr>
            <w:tcW w:w="6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5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692,341,573</w:t>
            </w:r>
          </w:p>
        </w:tc>
        <w:tc>
          <w:tcPr>
            <w:tcW w:w="16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677,255,859</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08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Liabilities in Excess of Other Assets — (1131.)%</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spacing w:after="0" w:line="102" w:lineRule="exact"/>
              <w:rPr>
                <w:sz w:val="20"/>
                <w:szCs w:val="20"/>
                <w:color w:val="auto"/>
              </w:rPr>
            </w:pPr>
            <w:r>
              <w:rPr>
                <w:rFonts w:ascii="Arial" w:cs="Arial" w:eastAsia="Arial" w:hAnsi="Arial"/>
                <w:sz w:val="11"/>
                <w:szCs w:val="11"/>
                <w:color w:val="auto"/>
                <w:w w:val="89"/>
              </w:rPr>
              <w:t>(622,238,626 )</w:t>
            </w:r>
          </w:p>
        </w:tc>
        <w:tc>
          <w:tcPr>
            <w:tcW w:w="0" w:type="dxa"/>
            <w:vAlign w:val="bottom"/>
          </w:tcPr>
          <w:p>
            <w:pPr>
              <w:spacing w:after="0"/>
              <w:rPr>
                <w:sz w:val="1"/>
                <w:szCs w:val="1"/>
                <w:color w:val="auto"/>
              </w:rPr>
            </w:pPr>
          </w:p>
        </w:tc>
      </w:tr>
      <w:tr>
        <w:trPr>
          <w:trHeight w:val="182"/>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Borders>
              <w:bottom w:val="single" w:sz="8" w:color="CCECFF"/>
            </w:tcBorders>
            <w:shd w:val="clear" w:color="auto" w:fill="CCECFF"/>
          </w:tcPr>
          <w:p>
            <w:pPr>
              <w:spacing w:after="0"/>
              <w:rPr>
                <w:sz w:val="15"/>
                <w:szCs w:val="15"/>
                <w:color w:val="auto"/>
              </w:rPr>
            </w:pPr>
          </w:p>
        </w:tc>
        <w:tc>
          <w:tcPr>
            <w:tcW w:w="6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5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55,017,233</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-1762125</wp:posOffset>
            </wp:positionV>
            <wp:extent cx="26035"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-1762125</wp:posOffset>
            </wp:positionV>
            <wp:extent cx="2603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57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-1316355</wp:posOffset>
            </wp:positionV>
            <wp:extent cx="2603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-1316355</wp:posOffset>
            </wp:positionV>
            <wp:extent cx="2603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857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857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-784860</wp:posOffset>
            </wp:positionV>
            <wp:extent cx="2603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-784860</wp:posOffset>
            </wp:positionV>
            <wp:extent cx="2603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-596265</wp:posOffset>
            </wp:positionV>
            <wp:extent cx="2603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-596265</wp:posOffset>
            </wp:positionV>
            <wp:extent cx="2603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-416560</wp:posOffset>
            </wp:positionV>
            <wp:extent cx="26035"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-416560</wp:posOffset>
            </wp:positionV>
            <wp:extent cx="2603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-230505</wp:posOffset>
            </wp:positionV>
            <wp:extent cx="260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-213995</wp:posOffset>
            </wp:positionV>
            <wp:extent cx="260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-230505</wp:posOffset>
            </wp:positionV>
            <wp:extent cx="260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-213995</wp:posOffset>
            </wp:positionV>
            <wp:extent cx="260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51" w:lineRule="exact"/>
        <w:rPr>
          <w:sz w:val="20"/>
          <w:szCs w:val="20"/>
          <w:color w:val="auto"/>
        </w:rPr>
      </w:pPr>
    </w:p>
    <w:p>
      <w:pPr>
        <w:ind w:left="380" w:right="20" w:hanging="372"/>
        <w:spacing w:after="0" w:line="219" w:lineRule="auto"/>
        <w:tabs>
          <w:tab w:leader="none" w:pos="38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221" w:lineRule="auto"/>
        <w:tabs>
          <w:tab w:leader="none" w:pos="38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Valued based on PSSL’s accounting policy.</w:t>
      </w:r>
    </w:p>
    <w:p>
      <w:pPr>
        <w:spacing w:after="0" w:line="34"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Non-U.S. company or principal place of business outside the United States.</w:t>
      </w:r>
    </w:p>
    <w:p>
      <w:pPr>
        <w:spacing w:after="0" w:line="33"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Non-income producing security.</w:t>
      </w:r>
    </w:p>
    <w:p>
      <w:pPr>
        <w:spacing w:after="0" w:line="20"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PSSL’s individual investments as of September 30, 2021:</w:t>
      </w:r>
    </w:p>
    <w:tbl>
      <w:tblPr>
        <w:tblLayout w:type="fixed"/>
        <w:tblInd w:w="0" w:type="dxa"/>
        <w:tblCellMar>
          <w:top w:w="0" w:type="dxa"/>
          <w:left w:w="0" w:type="dxa"/>
          <w:bottom w:w="0" w:type="dxa"/>
          <w:right w:w="0" w:type="dxa"/>
        </w:tblCellMar>
      </w:tblPr>
      <w:tr>
        <w:trPr>
          <w:trHeight w:val="114"/>
        </w:trPr>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Current</w:t>
            </w:r>
          </w:p>
        </w:tc>
        <w:tc>
          <w:tcPr>
            <w:tcW w:w="80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140" w:type="dxa"/>
            <w:vAlign w:val="bottom"/>
          </w:tcPr>
          <w:p>
            <w:pPr>
              <w:spacing w:after="0"/>
              <w:rPr>
                <w:sz w:val="9"/>
                <w:szCs w:val="9"/>
                <w:color w:val="auto"/>
              </w:rPr>
            </w:pPr>
          </w:p>
        </w:tc>
        <w:tc>
          <w:tcPr>
            <w:tcW w:w="2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160" w:type="dxa"/>
            <w:vAlign w:val="bottom"/>
          </w:tcPr>
          <w:p>
            <w:pPr>
              <w:spacing w:after="0"/>
              <w:rPr>
                <w:sz w:val="9"/>
                <w:szCs w:val="9"/>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Par</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500" w:type="dxa"/>
            <w:vAlign w:val="bottom"/>
          </w:tcPr>
          <w:p>
            <w:pPr>
              <w:ind w:left="220"/>
              <w:spacing w:after="0"/>
              <w:rPr>
                <w:sz w:val="20"/>
                <w:szCs w:val="20"/>
                <w:color w:val="auto"/>
              </w:rPr>
            </w:pPr>
            <w:r>
              <w:rPr>
                <w:rFonts w:ascii="Arial" w:cs="Arial" w:eastAsia="Arial" w:hAnsi="Arial"/>
                <w:sz w:val="11"/>
                <w:szCs w:val="11"/>
                <w:b w:val="1"/>
                <w:bCs w:val="1"/>
                <w:color w:val="auto"/>
                <w:w w:val="90"/>
              </w:rPr>
              <w:t>Index</w:t>
            </w:r>
          </w:p>
        </w:tc>
        <w:tc>
          <w:tcPr>
            <w:tcW w:w="300" w:type="dxa"/>
            <w:vAlign w:val="bottom"/>
          </w:tcPr>
          <w:p>
            <w:pPr>
              <w:jc w:val="right"/>
              <w:ind w:right="166"/>
              <w:spacing w:after="0"/>
              <w:rPr>
                <w:sz w:val="20"/>
                <w:szCs w:val="20"/>
                <w:color w:val="auto"/>
              </w:rPr>
            </w:pPr>
            <w:r>
              <w:rPr>
                <w:rFonts w:ascii="Arial" w:cs="Arial" w:eastAsia="Arial" w:hAnsi="Arial"/>
                <w:sz w:val="6"/>
                <w:szCs w:val="6"/>
                <w:b w:val="1"/>
                <w:bCs w:val="1"/>
                <w:color w:val="auto"/>
                <w:w w:val="81"/>
              </w:rPr>
              <w:t>(1)</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- 1088.%</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05/06/2026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8,977,500</w:t>
            </w:r>
          </w:p>
        </w:tc>
        <w:tc>
          <w:tcPr>
            <w:tcW w:w="3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8,851,554</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8,842,838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8.00 %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5,525,093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5,375,682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5,179,775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American Insulated Glass,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12/21/2023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Building Products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5,720,691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5,653,291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5,663,484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1,020,636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1,020,636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1,010,430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07/31/2025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2,222,284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2,222,284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2,200,061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Apex Service Partners, LLC Term Loan 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4,173,913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4,103,292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4,132,174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Applied Technical Services,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4,511,364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4,419,019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4,421,136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05/16/2022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12,879,690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12,868,714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12,879,690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Cadence Aerospace, LLC</w:t>
            </w:r>
          </w:p>
        </w:tc>
        <w:tc>
          <w:tcPr>
            <w:tcW w:w="800" w:type="dxa"/>
            <w:vAlign w:val="bottom"/>
            <w:gridSpan w:val="2"/>
            <w:shd w:val="clear" w:color="auto" w:fill="CCECFF"/>
          </w:tcPr>
          <w:p>
            <w:pPr>
              <w:jc w:val="center"/>
              <w:ind w:left="66"/>
              <w:spacing w:after="0" w:line="125" w:lineRule="exact"/>
              <w:rPr>
                <w:sz w:val="20"/>
                <w:szCs w:val="20"/>
                <w:color w:val="auto"/>
              </w:rPr>
            </w:pPr>
            <w:r>
              <w:rPr>
                <w:rFonts w:ascii="Arial" w:cs="Arial" w:eastAsia="Arial" w:hAnsi="Arial"/>
                <w:sz w:val="11"/>
                <w:szCs w:val="11"/>
                <w:color w:val="auto"/>
                <w:w w:val="87"/>
              </w:rPr>
              <w:t>11/14/2023</w:t>
            </w:r>
          </w:p>
        </w:tc>
        <w:tc>
          <w:tcPr>
            <w:tcW w:w="140" w:type="dxa"/>
            <w:vAlign w:val="bottom"/>
            <w:shd w:val="clear" w:color="auto" w:fill="CCECFF"/>
          </w:tcPr>
          <w:p>
            <w:pPr>
              <w:spacing w:after="0"/>
              <w:rPr>
                <w:sz w:val="10"/>
                <w:szCs w:val="10"/>
                <w:color w:val="auto"/>
              </w:rPr>
            </w:pPr>
          </w:p>
        </w:tc>
        <w:tc>
          <w:tcPr>
            <w:tcW w:w="252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80"/>
              <w:spacing w:after="0" w:line="125" w:lineRule="exact"/>
              <w:rPr>
                <w:sz w:val="20"/>
                <w:szCs w:val="20"/>
                <w:color w:val="auto"/>
              </w:rPr>
            </w:pPr>
            <w:r>
              <w:rPr>
                <w:rFonts w:ascii="Arial" w:cs="Arial" w:eastAsia="Arial" w:hAnsi="Arial"/>
                <w:sz w:val="11"/>
                <w:szCs w:val="11"/>
                <w:color w:val="auto"/>
              </w:rPr>
              <w:t>9.50 %</w:t>
            </w:r>
          </w:p>
        </w:tc>
        <w:tc>
          <w:tcPr>
            <w:tcW w:w="500" w:type="dxa"/>
            <w:vAlign w:val="bottom"/>
            <w:shd w:val="clear" w:color="auto" w:fill="CCECFF"/>
          </w:tcPr>
          <w:p>
            <w:pPr>
              <w:jc w:val="center"/>
              <w:ind w:left="246"/>
              <w:spacing w:after="0" w:line="125" w:lineRule="exact"/>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w w:val="90"/>
              </w:rPr>
              <w:t>L+850</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12,281,867</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12,231,080</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11,980,961</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9.50%)</w:t>
            </w:r>
          </w:p>
        </w:tc>
        <w:tc>
          <w:tcPr>
            <w:tcW w:w="5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Cano Health</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11/23/2027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Healthcare, Education &amp; Childcare</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5.25 %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2,653,333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2,646,700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2,654,448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CHA Holdings,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04/10/2025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5,614,627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5,518,856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5,530,408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60" w:type="dxa"/>
            <w:vAlign w:val="bottom"/>
          </w:tcPr>
          <w:p>
            <w:pPr>
              <w:ind w:left="20"/>
              <w:spacing w:after="0" w:line="125" w:lineRule="exact"/>
              <w:rPr>
                <w:sz w:val="20"/>
                <w:szCs w:val="20"/>
                <w:color w:val="auto"/>
              </w:rPr>
            </w:pPr>
            <w:r>
              <w:rPr>
                <w:rFonts w:ascii="Arial" w:cs="Arial" w:eastAsia="Arial" w:hAnsi="Arial"/>
                <w:sz w:val="11"/>
                <w:szCs w:val="11"/>
                <w:color w:val="auto"/>
              </w:rPr>
              <w:t>Challenger Performance Optimization, Inc.</w:t>
            </w: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08/31/2023</w:t>
            </w:r>
          </w:p>
        </w:tc>
        <w:tc>
          <w:tcPr>
            <w:tcW w:w="140" w:type="dxa"/>
            <w:vAlign w:val="bottom"/>
          </w:tcPr>
          <w:p>
            <w:pPr>
              <w:spacing w:after="0"/>
              <w:rPr>
                <w:sz w:val="10"/>
                <w:szCs w:val="10"/>
                <w:color w:val="auto"/>
              </w:rPr>
            </w:pPr>
          </w:p>
        </w:tc>
        <w:tc>
          <w:tcPr>
            <w:tcW w:w="252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80"/>
              <w:spacing w:after="0" w:line="125" w:lineRule="exact"/>
              <w:rPr>
                <w:sz w:val="20"/>
                <w:szCs w:val="20"/>
                <w:color w:val="auto"/>
              </w:rPr>
            </w:pPr>
            <w:r>
              <w:rPr>
                <w:rFonts w:ascii="Arial" w:cs="Arial" w:eastAsia="Arial" w:hAnsi="Arial"/>
                <w:sz w:val="11"/>
                <w:szCs w:val="11"/>
                <w:color w:val="auto"/>
              </w:rPr>
              <w:t>8.00 %</w:t>
            </w:r>
          </w:p>
        </w:tc>
        <w:tc>
          <w:tcPr>
            <w:tcW w:w="500" w:type="dxa"/>
            <w:vAlign w:val="bottom"/>
          </w:tcPr>
          <w:p>
            <w:pPr>
              <w:jc w:val="center"/>
              <w:ind w:left="246"/>
              <w:spacing w:after="0" w:line="12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90"/>
              </w:rPr>
              <w:t>L+675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9,500,705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9,453,659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9,215,683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1.00%)</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Buyer,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07/13/2027</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6.25 %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4,000,000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3,921,757</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3,920,000</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CoolSys,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08/04/2028</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1,909,091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1,890,159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1,913,864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Crane 1 Services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08/16/2027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2,131,579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2,100,271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2,110,264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08/05/2025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8,977,500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8,801,543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8,797,950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Digital Room Holdings,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05/22/2026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5.08 %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3,228,001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3,111,026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3,186,037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8,746,050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8,694,764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8,746,050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7,323,008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7,278,084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7,323,008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Dr. Squatch,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8/27/2026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9,803,125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11/03/2025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7.25 %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15,675,682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15,584,366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15,565,952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60" w:type="dxa"/>
            <w:vAlign w:val="bottom"/>
          </w:tcPr>
          <w:p>
            <w:pPr>
              <w:ind w:left="20"/>
              <w:spacing w:after="0" w:line="125" w:lineRule="exact"/>
              <w:rPr>
                <w:sz w:val="20"/>
                <w:szCs w:val="20"/>
                <w:color w:val="auto"/>
              </w:rPr>
            </w:pPr>
            <w:r>
              <w:rPr>
                <w:rFonts w:ascii="Arial" w:cs="Arial" w:eastAsia="Arial" w:hAnsi="Arial"/>
                <w:sz w:val="11"/>
                <w:szCs w:val="11"/>
                <w:color w:val="auto"/>
              </w:rPr>
              <w:t>East Valley Tourist Development Authority</w:t>
            </w: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03/07/2022</w:t>
            </w:r>
          </w:p>
        </w:tc>
        <w:tc>
          <w:tcPr>
            <w:tcW w:w="140" w:type="dxa"/>
            <w:vAlign w:val="bottom"/>
          </w:tcPr>
          <w:p>
            <w:pPr>
              <w:spacing w:after="0"/>
              <w:rPr>
                <w:sz w:val="10"/>
                <w:szCs w:val="10"/>
                <w:color w:val="auto"/>
              </w:rPr>
            </w:pPr>
          </w:p>
        </w:tc>
        <w:tc>
          <w:tcPr>
            <w:tcW w:w="2520" w:type="dxa"/>
            <w:vAlign w:val="bottom"/>
          </w:tcPr>
          <w:p>
            <w:pPr>
              <w:jc w:val="center"/>
              <w:spacing w:after="0" w:line="125" w:lineRule="exact"/>
              <w:rPr>
                <w:sz w:val="20"/>
                <w:szCs w:val="20"/>
                <w:color w:val="auto"/>
              </w:rPr>
            </w:pPr>
            <w:r>
              <w:rPr>
                <w:rFonts w:ascii="Arial" w:cs="Arial" w:eastAsia="Arial" w:hAnsi="Arial"/>
                <w:sz w:val="11"/>
                <w:szCs w:val="11"/>
                <w:color w:val="auto"/>
                <w:w w:val="87"/>
              </w:rPr>
              <w:t>Hotels, Restaurants and Leisure</w:t>
            </w:r>
          </w:p>
        </w:tc>
        <w:tc>
          <w:tcPr>
            <w:tcW w:w="1120" w:type="dxa"/>
            <w:vAlign w:val="bottom"/>
            <w:gridSpan w:val="3"/>
          </w:tcPr>
          <w:p>
            <w:pPr>
              <w:jc w:val="right"/>
              <w:ind w:right="180"/>
              <w:spacing w:after="0" w:line="125" w:lineRule="exact"/>
              <w:rPr>
                <w:sz w:val="20"/>
                <w:szCs w:val="20"/>
                <w:color w:val="auto"/>
              </w:rPr>
            </w:pPr>
            <w:r>
              <w:rPr>
                <w:rFonts w:ascii="Arial" w:cs="Arial" w:eastAsia="Arial" w:hAnsi="Arial"/>
                <w:sz w:val="11"/>
                <w:szCs w:val="11"/>
                <w:color w:val="auto"/>
              </w:rPr>
              <w:t>9.00 %</w:t>
            </w:r>
          </w:p>
        </w:tc>
        <w:tc>
          <w:tcPr>
            <w:tcW w:w="500" w:type="dxa"/>
            <w:vAlign w:val="bottom"/>
          </w:tcPr>
          <w:p>
            <w:pPr>
              <w:jc w:val="center"/>
              <w:ind w:left="246"/>
              <w:spacing w:after="0" w:line="12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90"/>
              </w:rPr>
              <w:t>L+800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5,719,009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5,624,041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5,633,224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3.50%)</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ECL Entertainment,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8"/>
              </w:rPr>
              <w:t>03/312028</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8.25 %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L+750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2,647,212</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2,621,341</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2,706,774</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ECM Industries,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4,994,355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4,994,355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4,894,468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Fairbanks More Defense</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06/17/2028</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9,954,660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FlexPrint,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01/02/2024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6.02 %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4,769,595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4,732,000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4,745,747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Gantech Acquisition Corp.</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7.25 %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14,925,000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14,648,015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14,626,500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03/16/2026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3,967,531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3,947,994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3,947,694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Graffiti Buyer,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08/10/2027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Trding Companies &amp; Distributors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2,392,857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2,345,748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2,356,964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Hancock Roofing and Construction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12/31/2026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2,481,250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2,424,925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2,456,438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Holdco Sands Intermediate,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6,473,725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6,407,142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6,441,356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IMIA Holdings,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04/09/2027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13,589,144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13,338,397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13,317,361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09/29/2023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11,566,905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11,527,975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11,566,905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8.00 %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19,450,000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19,192,725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18,932,630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LAV Gear Holdings, Inc.</w:t>
            </w:r>
          </w:p>
        </w:tc>
        <w:tc>
          <w:tcPr>
            <w:tcW w:w="80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90"/>
              </w:rPr>
              <w:t>10/31/2024</w:t>
            </w:r>
          </w:p>
        </w:tc>
        <w:tc>
          <w:tcPr>
            <w:tcW w:w="140" w:type="dxa"/>
            <w:vAlign w:val="bottom"/>
            <w:shd w:val="clear" w:color="auto" w:fill="CCECFF"/>
          </w:tcPr>
          <w:p>
            <w:pPr>
              <w:spacing w:after="0"/>
              <w:rPr>
                <w:sz w:val="10"/>
                <w:szCs w:val="10"/>
                <w:color w:val="auto"/>
              </w:rPr>
            </w:pPr>
          </w:p>
        </w:tc>
        <w:tc>
          <w:tcPr>
            <w:tcW w:w="252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1"/>
              </w:rPr>
              <w:t>Capital Equipment</w:t>
            </w:r>
          </w:p>
        </w:tc>
        <w:tc>
          <w:tcPr>
            <w:tcW w:w="1120" w:type="dxa"/>
            <w:vAlign w:val="bottom"/>
            <w:gridSpan w:val="3"/>
            <w:shd w:val="clear" w:color="auto" w:fill="CCECFF"/>
          </w:tcPr>
          <w:p>
            <w:pPr>
              <w:jc w:val="right"/>
              <w:ind w:right="180"/>
              <w:spacing w:after="0" w:line="125" w:lineRule="exact"/>
              <w:rPr>
                <w:sz w:val="20"/>
                <w:szCs w:val="20"/>
                <w:color w:val="auto"/>
              </w:rPr>
            </w:pPr>
            <w:r>
              <w:rPr>
                <w:rFonts w:ascii="Arial" w:cs="Arial" w:eastAsia="Arial" w:hAnsi="Arial"/>
                <w:sz w:val="11"/>
                <w:szCs w:val="11"/>
                <w:color w:val="auto"/>
              </w:rPr>
              <w:t>8.50 %</w:t>
            </w:r>
          </w:p>
        </w:tc>
        <w:tc>
          <w:tcPr>
            <w:tcW w:w="500" w:type="dxa"/>
            <w:vAlign w:val="bottom"/>
            <w:shd w:val="clear" w:color="auto" w:fill="CCECFF"/>
          </w:tcPr>
          <w:p>
            <w:pPr>
              <w:jc w:val="center"/>
              <w:ind w:left="246"/>
              <w:spacing w:after="0" w:line="125" w:lineRule="exact"/>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w w:val="90"/>
              </w:rPr>
              <w:t>L+750</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10,491,277</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10,435,348</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9,833,474</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1.00%)</w:t>
            </w:r>
          </w:p>
        </w:tc>
        <w:tc>
          <w:tcPr>
            <w:tcW w:w="5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60" w:type="dxa"/>
            <w:vAlign w:val="bottom"/>
          </w:tcPr>
          <w:p>
            <w:pPr>
              <w:ind w:left="20"/>
              <w:spacing w:after="0" w:line="125" w:lineRule="exact"/>
              <w:rPr>
                <w:sz w:val="20"/>
                <w:szCs w:val="20"/>
                <w:color w:val="auto"/>
              </w:rPr>
            </w:pPr>
            <w:r>
              <w:rPr>
                <w:rFonts w:ascii="Arial" w:cs="Arial" w:eastAsia="Arial" w:hAnsi="Arial"/>
                <w:sz w:val="11"/>
                <w:szCs w:val="11"/>
                <w:color w:val="auto"/>
              </w:rPr>
              <w:t>Lightspeed Buyer Inc.</w:t>
            </w:r>
          </w:p>
        </w:tc>
        <w:tc>
          <w:tcPr>
            <w:tcW w:w="80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89"/>
              </w:rPr>
              <w:t>02/3/2026</w:t>
            </w:r>
          </w:p>
        </w:tc>
        <w:tc>
          <w:tcPr>
            <w:tcW w:w="140" w:type="dxa"/>
            <w:vAlign w:val="bottom"/>
          </w:tcPr>
          <w:p>
            <w:pPr>
              <w:spacing w:after="0"/>
              <w:rPr>
                <w:sz w:val="10"/>
                <w:szCs w:val="10"/>
                <w:color w:val="auto"/>
              </w:rPr>
            </w:pPr>
          </w:p>
        </w:tc>
        <w:tc>
          <w:tcPr>
            <w:tcW w:w="2520" w:type="dxa"/>
            <w:vAlign w:val="bottom"/>
          </w:tcPr>
          <w:p>
            <w:pPr>
              <w:jc w:val="center"/>
              <w:spacing w:after="0" w:line="125" w:lineRule="exact"/>
              <w:rPr>
                <w:sz w:val="20"/>
                <w:szCs w:val="20"/>
                <w:color w:val="auto"/>
              </w:rPr>
            </w:pPr>
            <w:r>
              <w:rPr>
                <w:rFonts w:ascii="Arial" w:cs="Arial" w:eastAsia="Arial" w:hAnsi="Arial"/>
                <w:sz w:val="11"/>
                <w:szCs w:val="11"/>
                <w:color w:val="auto"/>
                <w:w w:val="87"/>
              </w:rPr>
              <w:t>Healthcare Providers and Services</w:t>
            </w:r>
          </w:p>
        </w:tc>
        <w:tc>
          <w:tcPr>
            <w:tcW w:w="1120" w:type="dxa"/>
            <w:vAlign w:val="bottom"/>
            <w:gridSpan w:val="3"/>
          </w:tcPr>
          <w:p>
            <w:pPr>
              <w:jc w:val="right"/>
              <w:ind w:right="180"/>
              <w:spacing w:after="0" w:line="125" w:lineRule="exact"/>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line="12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5,706,549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5,605,574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5,706,549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60" w:type="dxa"/>
            <w:vAlign w:val="bottom"/>
          </w:tcPr>
          <w:p>
            <w:pPr>
              <w:ind w:left="20"/>
              <w:spacing w:after="0" w:line="115" w:lineRule="exact"/>
              <w:rPr>
                <w:sz w:val="20"/>
                <w:szCs w:val="20"/>
                <w:color w:val="auto"/>
              </w:rPr>
            </w:pPr>
            <w:r>
              <w:rPr>
                <w:rFonts w:ascii="Arial" w:cs="Arial" w:eastAsia="Arial" w:hAnsi="Arial"/>
                <w:sz w:val="11"/>
                <w:szCs w:val="11"/>
                <w:color w:val="auto"/>
              </w:rPr>
              <w:t>Lucky Bucks,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07/20/2027</w:t>
            </w:r>
          </w:p>
        </w:tc>
        <w:tc>
          <w:tcPr>
            <w:tcW w:w="140" w:type="dxa"/>
            <w:vAlign w:val="bottom"/>
          </w:tcPr>
          <w:p>
            <w:pPr>
              <w:spacing w:after="0"/>
              <w:rPr>
                <w:sz w:val="9"/>
                <w:szCs w:val="9"/>
                <w:color w:val="auto"/>
              </w:rPr>
            </w:pPr>
          </w:p>
        </w:tc>
        <w:tc>
          <w:tcPr>
            <w:tcW w:w="2520" w:type="dxa"/>
            <w:vAlign w:val="bottom"/>
          </w:tcPr>
          <w:p>
            <w:pPr>
              <w:jc w:val="center"/>
              <w:spacing w:after="0" w:line="115" w:lineRule="exact"/>
              <w:rPr>
                <w:sz w:val="20"/>
                <w:szCs w:val="20"/>
                <w:color w:val="auto"/>
              </w:rPr>
            </w:pPr>
            <w:r>
              <w:rPr>
                <w:rFonts w:ascii="Arial" w:cs="Arial" w:eastAsia="Arial" w:hAnsi="Arial"/>
                <w:sz w:val="11"/>
                <w:szCs w:val="11"/>
                <w:color w:val="auto"/>
                <w:w w:val="90"/>
              </w:rPr>
              <w:t>Hotel, Gaming and Leisure</w:t>
            </w:r>
          </w:p>
        </w:tc>
        <w:tc>
          <w:tcPr>
            <w:tcW w:w="112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6.25 %</w:t>
            </w:r>
          </w:p>
        </w:tc>
        <w:tc>
          <w:tcPr>
            <w:tcW w:w="500" w:type="dxa"/>
            <w:vAlign w:val="bottom"/>
          </w:tcPr>
          <w:p>
            <w:pPr>
              <w:jc w:val="center"/>
              <w:ind w:left="246"/>
              <w:spacing w:after="0" w:line="11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90"/>
              </w:rPr>
              <w:t>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4,411,012</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4,424,085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(3)(4)</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09/30/2025</w:t>
            </w:r>
          </w:p>
        </w:tc>
        <w:tc>
          <w:tcPr>
            <w:tcW w:w="14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1"/>
                <w:szCs w:val="11"/>
                <w:color w:val="auto"/>
              </w:rPr>
              <w:t>Media: Diversified and Production</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617,487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617,487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617,487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Super Priority First Lien Term Loan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6.25%)</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060" w:type="dxa"/>
            <w:vAlign w:val="bottom"/>
          </w:tcPr>
          <w:p>
            <w:pPr>
              <w:ind w:left="20"/>
              <w:spacing w:after="0" w:line="104" w:lineRule="exact"/>
              <w:rPr>
                <w:sz w:val="20"/>
                <w:szCs w:val="20"/>
                <w:color w:val="auto"/>
              </w:rPr>
            </w:pPr>
            <w:r>
              <w:rPr>
                <w:rFonts w:ascii="Arial" w:cs="Arial" w:eastAsia="Arial" w:hAnsi="Arial"/>
                <w:sz w:val="11"/>
                <w:szCs w:val="11"/>
                <w:color w:val="auto"/>
                <w:w w:val="92"/>
              </w:rPr>
              <w:t>Marketplace Events, LLC - Super Priority First Lien Unfunded Term</w:t>
            </w:r>
          </w:p>
        </w:tc>
        <w:tc>
          <w:tcPr>
            <w:tcW w:w="800" w:type="dxa"/>
            <w:vAlign w:val="bottom"/>
            <w:gridSpan w:val="2"/>
            <w:vMerge w:val="restart"/>
          </w:tcPr>
          <w:p>
            <w:pPr>
              <w:jc w:val="center"/>
              <w:ind w:left="86"/>
              <w:spacing w:after="0"/>
              <w:rPr>
                <w:sz w:val="20"/>
                <w:szCs w:val="20"/>
                <w:color w:val="auto"/>
              </w:rPr>
            </w:pPr>
            <w:r>
              <w:rPr>
                <w:rFonts w:ascii="Arial" w:cs="Arial" w:eastAsia="Arial" w:hAnsi="Arial"/>
                <w:sz w:val="11"/>
                <w:szCs w:val="11"/>
                <w:color w:val="auto"/>
                <w:w w:val="90"/>
              </w:rPr>
              <w:t>09/30/2025</w:t>
            </w:r>
          </w:p>
        </w:tc>
        <w:tc>
          <w:tcPr>
            <w:tcW w:w="140" w:type="dxa"/>
            <w:vAlign w:val="bottom"/>
          </w:tcPr>
          <w:p>
            <w:pPr>
              <w:spacing w:after="0"/>
              <w:rPr>
                <w:sz w:val="9"/>
                <w:szCs w:val="9"/>
                <w:color w:val="auto"/>
              </w:rPr>
            </w:pPr>
          </w:p>
        </w:tc>
        <w:tc>
          <w:tcPr>
            <w:tcW w:w="2520" w:type="dxa"/>
            <w:vAlign w:val="bottom"/>
            <w:vMerge w:val="restart"/>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9"/>
                <w:szCs w:val="9"/>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589,122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060" w:type="dxa"/>
            <w:vAlign w:val="bottom"/>
          </w:tcPr>
          <w:p>
            <w:pPr>
              <w:ind w:left="20"/>
              <w:spacing w:after="0" w:line="119" w:lineRule="exact"/>
              <w:rPr>
                <w:sz w:val="20"/>
                <w:szCs w:val="20"/>
                <w:color w:val="auto"/>
              </w:rPr>
            </w:pPr>
            <w:r>
              <w:rPr>
                <w:rFonts w:ascii="Arial" w:cs="Arial" w:eastAsia="Arial" w:hAnsi="Arial"/>
                <w:sz w:val="13"/>
                <w:szCs w:val="13"/>
                <w:color w:val="auto"/>
                <w:vertAlign w:val="subscript"/>
              </w:rPr>
              <w:t>Loan</w:t>
            </w:r>
            <w:r>
              <w:rPr>
                <w:rFonts w:ascii="Arial" w:cs="Arial" w:eastAsia="Arial" w:hAnsi="Arial"/>
                <w:sz w:val="6"/>
                <w:szCs w:val="6"/>
                <w:color w:val="auto"/>
              </w:rPr>
              <w:t xml:space="preserve"> (3)(4)</w:t>
            </w: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20"/>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(4)</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09/30/2026</w:t>
            </w:r>
          </w:p>
        </w:tc>
        <w:tc>
          <w:tcPr>
            <w:tcW w:w="1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0.00 %</w:t>
            </w:r>
          </w:p>
        </w:tc>
        <w:tc>
          <w:tcPr>
            <w:tcW w:w="5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4,614,973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3,441,474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4,614,973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9,812,779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MBS Holdings,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04/16/2027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7,481,250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7,337,843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7,331,625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MeritDirect,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05/23/2024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Media: Advertising, Printing &amp; Publishing</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5,531,856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5,411,520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5,476,537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Mission Critical Electronics,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5,889,949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5,877,013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5,889,949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NBH Group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Education &amp; Culture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10,901,830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10,687,200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10,683,794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New Milani Group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06/06/2024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14,550,000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14,481,129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13,895,250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07/09/2026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1,995,000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1,965,911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1,965,075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One Stop Mailing,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05/07/2027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3"/>
              </w:rPr>
              <w:t>Air Freight and Logistics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14,919,643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14,631,178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14,658,549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Output Services Group,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03/27/2024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7,743,419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7,732,934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7,046,511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4,901,154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4,875,500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PH Beauty Holdings III,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5.12 %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9,692,670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9,514,071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9,466,540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Plant Health Intermediate,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1,577,806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1,568,099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1,577,806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05/8/2026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5.63 %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3,805,440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3,719,648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3,735,687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4,887,511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4,925,250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w w:val="93"/>
              </w:rPr>
              <w:t>Research Now Group, Inc. and Survey Sampling International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10,679,701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10,591,506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10,543,962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5,578,331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5,495,801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5,438,872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5,549,876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5,492,898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5,549,876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8.00 %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11,784,634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11,760,259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11,254,326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Smile Brands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10/14/2024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5.32 %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12,576,323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12,458,672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12,450,560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Snak Club,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Beverage, Food and Tobacco</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4,388,056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4,361,678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4,388,056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Solutionreach,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01/17/2024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5,892,286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5,854,034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5,892,286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-2296795</wp:posOffset>
            </wp:positionV>
            <wp:extent cx="7132320" cy="857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54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7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Basis Point</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right"/>
              <w:ind w:right="346"/>
              <w:spacing w:after="0"/>
              <w:rPr>
                <w:sz w:val="20"/>
                <w:szCs w:val="20"/>
                <w:color w:val="auto"/>
              </w:rPr>
            </w:pPr>
            <w:r>
              <w:rPr>
                <w:rFonts w:ascii="Arial" w:cs="Arial" w:eastAsia="Arial" w:hAnsi="Arial"/>
                <w:sz w:val="11"/>
                <w:szCs w:val="11"/>
                <w:b w:val="1"/>
                <w:bCs w:val="1"/>
                <w:color w:val="auto"/>
              </w:rPr>
              <w:t>Current</w:t>
            </w: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Spread</w:t>
            </w:r>
          </w:p>
        </w:tc>
        <w:tc>
          <w:tcPr>
            <w:tcW w:w="180" w:type="dxa"/>
            <w:vAlign w:val="bottom"/>
          </w:tcPr>
          <w:p>
            <w:pPr>
              <w:spacing w:after="0"/>
              <w:rPr>
                <w:sz w:val="9"/>
                <w:szCs w:val="9"/>
                <w:color w:val="auto"/>
              </w:rPr>
            </w:pPr>
          </w:p>
        </w:tc>
        <w:tc>
          <w:tcPr>
            <w:tcW w:w="1060" w:type="dxa"/>
            <w:vAlign w:val="bottom"/>
            <w:gridSpan w:val="3"/>
            <w:vMerge w:val="restart"/>
          </w:tcPr>
          <w:p>
            <w:pPr>
              <w:jc w:val="center"/>
              <w:ind w:right="246"/>
              <w:spacing w:after="0"/>
              <w:rPr>
                <w:sz w:val="20"/>
                <w:szCs w:val="20"/>
                <w:color w:val="auto"/>
              </w:rPr>
            </w:pPr>
            <w:r>
              <w:rPr>
                <w:rFonts w:ascii="Arial" w:cs="Arial" w:eastAsia="Arial" w:hAnsi="Arial"/>
                <w:sz w:val="11"/>
                <w:szCs w:val="11"/>
                <w:b w:val="1"/>
                <w:bCs w:val="1"/>
                <w:color w:val="auto"/>
              </w:rPr>
              <w:t>Par /</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00" w:type="dxa"/>
            <w:vAlign w:val="bottom"/>
          </w:tcPr>
          <w:p>
            <w:pPr>
              <w:spacing w:after="0"/>
              <w:rPr>
                <w:sz w:val="9"/>
                <w:szCs w:val="9"/>
                <w:color w:val="auto"/>
              </w:rPr>
            </w:pPr>
          </w:p>
        </w:tc>
        <w:tc>
          <w:tcPr>
            <w:tcW w:w="2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82"/>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7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80" w:type="dxa"/>
            <w:vAlign w:val="bottom"/>
          </w:tcPr>
          <w:p>
            <w:pPr>
              <w:spacing w:after="0"/>
              <w:rPr>
                <w:sz w:val="12"/>
                <w:szCs w:val="12"/>
                <w:color w:val="auto"/>
              </w:rPr>
            </w:pPr>
          </w:p>
        </w:tc>
        <w:tc>
          <w:tcPr>
            <w:tcW w:w="1060" w:type="dxa"/>
            <w:vAlign w:val="bottom"/>
            <w:gridSpan w:val="3"/>
          </w:tcPr>
          <w:p>
            <w:pPr>
              <w:jc w:val="center"/>
              <w:ind w:right="226"/>
              <w:spacing w:after="0"/>
              <w:rPr>
                <w:sz w:val="20"/>
                <w:szCs w:val="20"/>
                <w:color w:val="auto"/>
              </w:rPr>
            </w:pPr>
            <w:r>
              <w:rPr>
                <w:rFonts w:ascii="Arial" w:cs="Arial" w:eastAsia="Arial" w:hAnsi="Arial"/>
                <w:sz w:val="11"/>
                <w:szCs w:val="11"/>
                <w:b w:val="1"/>
                <w:bCs w:val="1"/>
                <w:color w:val="auto"/>
                <w:w w:val="81"/>
              </w:rPr>
              <w:t>Shares</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Spectacle Gary Holdings, LLC</w:t>
            </w:r>
          </w:p>
        </w:tc>
        <w:tc>
          <w:tcPr>
            <w:tcW w:w="36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200" w:type="dxa"/>
            <w:vAlign w:val="bottom"/>
            <w:shd w:val="clear" w:color="auto" w:fill="CCECFF"/>
          </w:tcPr>
          <w:p>
            <w:pPr>
              <w:spacing w:after="0"/>
              <w:rPr>
                <w:sz w:val="11"/>
                <w:szCs w:val="11"/>
                <w:color w:val="auto"/>
              </w:rPr>
            </w:pPr>
          </w:p>
        </w:tc>
        <w:tc>
          <w:tcPr>
            <w:tcW w:w="252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11.00</w:t>
            </w:r>
          </w:p>
        </w:tc>
        <w:tc>
          <w:tcPr>
            <w:tcW w:w="24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w w:val="81"/>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18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4,389,000</w:t>
            </w: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4,505,648</w:t>
            </w:r>
          </w:p>
        </w:tc>
        <w:tc>
          <w:tcPr>
            <w:tcW w:w="16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4,764,830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STV Group Incorporated</w:t>
            </w:r>
          </w:p>
        </w:tc>
        <w:tc>
          <w:tcPr>
            <w:tcW w:w="1140" w:type="dxa"/>
            <w:vAlign w:val="bottom"/>
            <w:gridSpan w:val="3"/>
          </w:tcPr>
          <w:p>
            <w:pPr>
              <w:jc w:val="center"/>
              <w:ind w:left="446"/>
              <w:spacing w:after="0"/>
              <w:rPr>
                <w:sz w:val="20"/>
                <w:szCs w:val="20"/>
                <w:color w:val="auto"/>
              </w:rPr>
            </w:pPr>
            <w:r>
              <w:rPr>
                <w:rFonts w:ascii="Arial" w:cs="Arial" w:eastAsia="Arial" w:hAnsi="Arial"/>
                <w:sz w:val="11"/>
                <w:szCs w:val="11"/>
                <w:color w:val="auto"/>
                <w:w w:val="87"/>
              </w:rPr>
              <w:t>12/11/2026</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5.33 %</w:t>
            </w:r>
          </w:p>
        </w:tc>
        <w:tc>
          <w:tcPr>
            <w:tcW w:w="780" w:type="dxa"/>
            <w:vAlign w:val="bottom"/>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9,075,412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9,003,666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9,030,035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TAC LifePort Purchaser, LLC</w:t>
            </w:r>
          </w:p>
        </w:tc>
        <w:tc>
          <w:tcPr>
            <w:tcW w:w="1140" w:type="dxa"/>
            <w:vAlign w:val="bottom"/>
            <w:gridSpan w:val="3"/>
            <w:shd w:val="clear" w:color="auto" w:fill="CCECFF"/>
          </w:tcPr>
          <w:p>
            <w:pPr>
              <w:jc w:val="center"/>
              <w:ind w:left="446"/>
              <w:spacing w:after="0"/>
              <w:rPr>
                <w:sz w:val="20"/>
                <w:szCs w:val="20"/>
                <w:color w:val="auto"/>
              </w:rPr>
            </w:pPr>
            <w:r>
              <w:rPr>
                <w:rFonts w:ascii="Arial" w:cs="Arial" w:eastAsia="Arial" w:hAnsi="Arial"/>
                <w:sz w:val="11"/>
                <w:szCs w:val="11"/>
                <w:color w:val="auto"/>
                <w:w w:val="87"/>
              </w:rPr>
              <w:t>03/01/2026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7.00 %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4,860,463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4,948,403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TeleGuam Holdings, LLC</w:t>
            </w:r>
          </w:p>
        </w:tc>
        <w:tc>
          <w:tcPr>
            <w:tcW w:w="1140" w:type="dxa"/>
            <w:vAlign w:val="bottom"/>
            <w:gridSpan w:val="3"/>
          </w:tcPr>
          <w:p>
            <w:pPr>
              <w:jc w:val="center"/>
              <w:ind w:left="446"/>
              <w:spacing w:after="0"/>
              <w:rPr>
                <w:sz w:val="20"/>
                <w:szCs w:val="20"/>
                <w:color w:val="auto"/>
              </w:rPr>
            </w:pPr>
            <w:r>
              <w:rPr>
                <w:rFonts w:ascii="Arial" w:cs="Arial" w:eastAsia="Arial" w:hAnsi="Arial"/>
                <w:sz w:val="11"/>
                <w:szCs w:val="11"/>
                <w:color w:val="auto"/>
                <w:w w:val="87"/>
              </w:rPr>
              <w:t>11/20/2025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10,337,380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10,312,931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10,234,006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1140" w:type="dxa"/>
            <w:vAlign w:val="bottom"/>
            <w:gridSpan w:val="3"/>
            <w:shd w:val="clear" w:color="auto" w:fill="CCECFF"/>
          </w:tcPr>
          <w:p>
            <w:pPr>
              <w:jc w:val="center"/>
              <w:ind w:left="446"/>
              <w:spacing w:after="0"/>
              <w:rPr>
                <w:sz w:val="20"/>
                <w:szCs w:val="20"/>
                <w:color w:val="auto"/>
              </w:rPr>
            </w:pPr>
            <w:r>
              <w:rPr>
                <w:rFonts w:ascii="Arial" w:cs="Arial" w:eastAsia="Arial" w:hAnsi="Arial"/>
                <w:sz w:val="11"/>
                <w:szCs w:val="11"/>
                <w:color w:val="auto"/>
                <w:w w:val="87"/>
              </w:rPr>
              <w:t>07/18/2025</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2,309,486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2,306,149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2,296,969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1140" w:type="dxa"/>
            <w:vAlign w:val="bottom"/>
            <w:gridSpan w:val="3"/>
          </w:tcPr>
          <w:p>
            <w:pPr>
              <w:jc w:val="center"/>
              <w:ind w:left="446"/>
              <w:spacing w:after="0"/>
              <w:rPr>
                <w:sz w:val="20"/>
                <w:szCs w:val="20"/>
                <w:color w:val="auto"/>
              </w:rPr>
            </w:pPr>
            <w:r>
              <w:rPr>
                <w:rFonts w:ascii="Arial" w:cs="Arial" w:eastAsia="Arial" w:hAnsi="Arial"/>
                <w:sz w:val="11"/>
                <w:szCs w:val="11"/>
                <w:color w:val="auto"/>
                <w:w w:val="87"/>
              </w:rPr>
              <w:t>10/31/2025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6.77 %</w:t>
            </w:r>
          </w:p>
        </w:tc>
        <w:tc>
          <w:tcPr>
            <w:tcW w:w="78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5,713,461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5,633,702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5,656,327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1140" w:type="dxa"/>
            <w:vAlign w:val="bottom"/>
            <w:gridSpan w:val="3"/>
            <w:shd w:val="clear" w:color="auto" w:fill="CCECFF"/>
          </w:tcPr>
          <w:p>
            <w:pPr>
              <w:jc w:val="center"/>
              <w:ind w:left="446"/>
              <w:spacing w:after="0"/>
              <w:rPr>
                <w:sz w:val="20"/>
                <w:szCs w:val="20"/>
                <w:color w:val="auto"/>
              </w:rPr>
            </w:pPr>
            <w:r>
              <w:rPr>
                <w:rFonts w:ascii="Arial" w:cs="Arial" w:eastAsia="Arial" w:hAnsi="Arial"/>
                <w:sz w:val="11"/>
                <w:szCs w:val="11"/>
                <w:color w:val="auto"/>
                <w:w w:val="87"/>
              </w:rPr>
              <w:t>07/27/2026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8.00 %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1,743,846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1,709,872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1,732,860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1140" w:type="dxa"/>
            <w:vAlign w:val="bottom"/>
            <w:gridSpan w:val="3"/>
          </w:tcPr>
          <w:p>
            <w:pPr>
              <w:jc w:val="center"/>
              <w:ind w:left="446"/>
              <w:spacing w:after="0"/>
              <w:rPr>
                <w:sz w:val="20"/>
                <w:szCs w:val="20"/>
                <w:color w:val="auto"/>
              </w:rPr>
            </w:pPr>
            <w:r>
              <w:rPr>
                <w:rFonts w:ascii="Arial" w:cs="Arial" w:eastAsia="Arial" w:hAnsi="Arial"/>
                <w:sz w:val="11"/>
                <w:szCs w:val="11"/>
                <w:color w:val="auto"/>
                <w:w w:val="87"/>
              </w:rPr>
              <w:t>09/16/2024</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6M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13,383,253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13,375,955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13,383,253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1140" w:type="dxa"/>
            <w:vAlign w:val="bottom"/>
            <w:gridSpan w:val="3"/>
            <w:shd w:val="clear" w:color="auto" w:fill="CCECFF"/>
          </w:tcPr>
          <w:p>
            <w:pPr>
              <w:jc w:val="center"/>
              <w:ind w:left="446"/>
              <w:spacing w:after="0"/>
              <w:rPr>
                <w:sz w:val="20"/>
                <w:szCs w:val="20"/>
                <w:color w:val="auto"/>
              </w:rPr>
            </w:pPr>
            <w:r>
              <w:rPr>
                <w:rFonts w:ascii="Arial" w:cs="Arial" w:eastAsia="Arial" w:hAnsi="Arial"/>
                <w:sz w:val="11"/>
                <w:szCs w:val="11"/>
                <w:color w:val="auto"/>
                <w:w w:val="87"/>
              </w:rPr>
              <w:t>08/30/2027</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5,634,134</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5,523,212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5,528,647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1140" w:type="dxa"/>
            <w:vAlign w:val="bottom"/>
            <w:gridSpan w:val="3"/>
          </w:tcPr>
          <w:p>
            <w:pPr>
              <w:jc w:val="center"/>
              <w:ind w:left="446"/>
              <w:spacing w:after="0"/>
              <w:rPr>
                <w:sz w:val="20"/>
                <w:szCs w:val="20"/>
                <w:color w:val="auto"/>
              </w:rPr>
            </w:pPr>
            <w:r>
              <w:rPr>
                <w:rFonts w:ascii="Arial" w:cs="Arial" w:eastAsia="Arial" w:hAnsi="Arial"/>
                <w:sz w:val="11"/>
                <w:szCs w:val="11"/>
                <w:color w:val="auto"/>
                <w:w w:val="87"/>
              </w:rPr>
              <w:t>11/24/2025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8,834,066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8,654,973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8,569,044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1140" w:type="dxa"/>
            <w:vAlign w:val="bottom"/>
            <w:gridSpan w:val="3"/>
            <w:shd w:val="clear" w:color="auto" w:fill="CCECFF"/>
          </w:tcPr>
          <w:p>
            <w:pPr>
              <w:jc w:val="center"/>
              <w:ind w:left="446"/>
              <w:spacing w:after="0"/>
              <w:rPr>
                <w:sz w:val="20"/>
                <w:szCs w:val="20"/>
                <w:color w:val="auto"/>
              </w:rPr>
            </w:pPr>
            <w:r>
              <w:rPr>
                <w:rFonts w:ascii="Arial" w:cs="Arial" w:eastAsia="Arial" w:hAnsi="Arial"/>
                <w:sz w:val="11"/>
                <w:szCs w:val="11"/>
                <w:color w:val="auto"/>
                <w:w w:val="87"/>
              </w:rPr>
              <w:t>03/26/2026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8,558,226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8,593,467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8,558,226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1140" w:type="dxa"/>
            <w:vAlign w:val="bottom"/>
            <w:gridSpan w:val="3"/>
          </w:tcPr>
          <w:p>
            <w:pPr>
              <w:jc w:val="center"/>
              <w:ind w:left="446"/>
              <w:spacing w:after="0"/>
              <w:rPr>
                <w:sz w:val="20"/>
                <w:szCs w:val="20"/>
                <w:color w:val="auto"/>
              </w:rPr>
            </w:pPr>
            <w:r>
              <w:rPr>
                <w:rFonts w:ascii="Arial" w:cs="Arial" w:eastAsia="Arial" w:hAnsi="Arial"/>
                <w:sz w:val="11"/>
                <w:szCs w:val="11"/>
                <w:color w:val="auto"/>
                <w:w w:val="87"/>
              </w:rPr>
              <w:t>06/16/2025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6,636,062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6,598,947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6,636,062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w:t>
            </w:r>
          </w:p>
        </w:tc>
        <w:tc>
          <w:tcPr>
            <w:tcW w:w="1140" w:type="dxa"/>
            <w:vAlign w:val="bottom"/>
            <w:gridSpan w:val="3"/>
            <w:shd w:val="clear" w:color="auto" w:fill="CCECFF"/>
          </w:tcPr>
          <w:p>
            <w:pPr>
              <w:jc w:val="center"/>
              <w:ind w:left="446"/>
              <w:spacing w:after="0"/>
              <w:rPr>
                <w:sz w:val="20"/>
                <w:szCs w:val="20"/>
                <w:color w:val="auto"/>
              </w:rPr>
            </w:pPr>
            <w:r>
              <w:rPr>
                <w:rFonts w:ascii="Arial" w:cs="Arial" w:eastAsia="Arial" w:hAnsi="Arial"/>
                <w:sz w:val="11"/>
                <w:szCs w:val="11"/>
                <w:color w:val="auto"/>
                <w:w w:val="87"/>
              </w:rPr>
              <w:t>08/27/2024</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11,442,500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11,334,186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11,442,500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UBEO, LLC</w:t>
            </w:r>
          </w:p>
        </w:tc>
        <w:tc>
          <w:tcPr>
            <w:tcW w:w="1140" w:type="dxa"/>
            <w:vAlign w:val="bottom"/>
            <w:gridSpan w:val="3"/>
          </w:tcPr>
          <w:p>
            <w:pPr>
              <w:jc w:val="center"/>
              <w:ind w:left="446"/>
              <w:spacing w:after="0"/>
              <w:rPr>
                <w:sz w:val="20"/>
                <w:szCs w:val="20"/>
                <w:color w:val="auto"/>
              </w:rPr>
            </w:pPr>
            <w:r>
              <w:rPr>
                <w:rFonts w:ascii="Arial" w:cs="Arial" w:eastAsia="Arial" w:hAnsi="Arial"/>
                <w:sz w:val="11"/>
                <w:szCs w:val="11"/>
                <w:color w:val="auto"/>
                <w:w w:val="87"/>
              </w:rPr>
              <w:t>04/03/2024</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17,571,320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17,457,179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17,483,464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Urology Management Associates, LLC</w:t>
            </w:r>
          </w:p>
        </w:tc>
        <w:tc>
          <w:tcPr>
            <w:tcW w:w="1140" w:type="dxa"/>
            <w:vAlign w:val="bottom"/>
            <w:gridSpan w:val="3"/>
            <w:shd w:val="clear" w:color="auto" w:fill="CCECFF"/>
          </w:tcPr>
          <w:p>
            <w:pPr>
              <w:jc w:val="center"/>
              <w:ind w:left="446"/>
              <w:spacing w:after="0"/>
              <w:rPr>
                <w:sz w:val="20"/>
                <w:szCs w:val="20"/>
                <w:color w:val="auto"/>
              </w:rPr>
            </w:pPr>
            <w:r>
              <w:rPr>
                <w:rFonts w:ascii="Arial" w:cs="Arial" w:eastAsia="Arial" w:hAnsi="Arial"/>
                <w:sz w:val="11"/>
                <w:szCs w:val="11"/>
                <w:color w:val="auto"/>
                <w:w w:val="87"/>
              </w:rPr>
              <w:t>08/30/2024</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11,030,410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10,848,799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10,975,256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Walker Edison Furniture Company LLC</w:t>
            </w:r>
          </w:p>
        </w:tc>
        <w:tc>
          <w:tcPr>
            <w:tcW w:w="1140" w:type="dxa"/>
            <w:vAlign w:val="bottom"/>
            <w:gridSpan w:val="3"/>
          </w:tcPr>
          <w:p>
            <w:pPr>
              <w:jc w:val="center"/>
              <w:ind w:left="446"/>
              <w:spacing w:after="0"/>
              <w:rPr>
                <w:sz w:val="20"/>
                <w:szCs w:val="20"/>
                <w:color w:val="auto"/>
              </w:rPr>
            </w:pPr>
            <w:r>
              <w:rPr>
                <w:rFonts w:ascii="Arial" w:cs="Arial" w:eastAsia="Arial" w:hAnsi="Arial"/>
                <w:sz w:val="11"/>
                <w:szCs w:val="11"/>
                <w:color w:val="auto"/>
                <w:w w:val="87"/>
              </w:rPr>
              <w:t>03/31/2027</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Wholesale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12,437,500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12,141,939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11,971,094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1140" w:type="dxa"/>
            <w:vAlign w:val="bottom"/>
            <w:tcBorders>
              <w:bottom w:val="single" w:sz="8" w:color="CCECFF"/>
            </w:tcBorders>
            <w:gridSpan w:val="3"/>
            <w:shd w:val="clear" w:color="auto" w:fill="CCECFF"/>
          </w:tcPr>
          <w:p>
            <w:pPr>
              <w:jc w:val="center"/>
              <w:ind w:left="446"/>
              <w:spacing w:after="0"/>
              <w:rPr>
                <w:sz w:val="20"/>
                <w:szCs w:val="20"/>
                <w:color w:val="auto"/>
              </w:rPr>
            </w:pPr>
            <w:r>
              <w:rPr>
                <w:rFonts w:ascii="Arial" w:cs="Arial" w:eastAsia="Arial" w:hAnsi="Arial"/>
                <w:sz w:val="11"/>
                <w:szCs w:val="11"/>
                <w:color w:val="auto"/>
                <w:w w:val="87"/>
              </w:rPr>
              <w:t>02/27/2026</w:t>
            </w: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08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6.00 %</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5,705,549</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5,655,884</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5,678,016</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558,879,885</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557,731,845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7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 - 10.5%</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7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DBI Intermediate Holdco, LLC, Term Loan B </w:t>
            </w:r>
            <w:r>
              <w:rPr>
                <w:rFonts w:ascii="Arial" w:cs="Arial" w:eastAsia="Arial" w:hAnsi="Arial"/>
                <w:sz w:val="14"/>
                <w:szCs w:val="14"/>
                <w:color w:val="auto"/>
                <w:vertAlign w:val="superscript"/>
              </w:rPr>
              <w:t>(4)</w:t>
            </w:r>
          </w:p>
        </w:tc>
        <w:tc>
          <w:tcPr>
            <w:tcW w:w="1140" w:type="dxa"/>
            <w:vAlign w:val="bottom"/>
            <w:gridSpan w:val="3"/>
          </w:tcPr>
          <w:p>
            <w:pPr>
              <w:jc w:val="center"/>
              <w:ind w:left="446"/>
              <w:spacing w:after="0"/>
              <w:rPr>
                <w:sz w:val="20"/>
                <w:szCs w:val="20"/>
                <w:color w:val="auto"/>
              </w:rPr>
            </w:pPr>
            <w:r>
              <w:rPr>
                <w:rFonts w:ascii="Arial" w:cs="Arial" w:eastAsia="Arial" w:hAnsi="Arial"/>
                <w:sz w:val="11"/>
                <w:szCs w:val="11"/>
                <w:color w:val="auto"/>
                <w:w w:val="87"/>
              </w:rPr>
              <w:t>02/02/2026</w:t>
            </w:r>
          </w:p>
        </w:tc>
        <w:tc>
          <w:tcPr>
            <w:tcW w:w="20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2,434,333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2,434,333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2,434,333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P(IK 9.00%)</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Inventus Power, Inc.</w:t>
            </w:r>
          </w:p>
        </w:tc>
        <w:tc>
          <w:tcPr>
            <w:tcW w:w="1140" w:type="dxa"/>
            <w:vAlign w:val="bottom"/>
            <w:tcBorders>
              <w:bottom w:val="single" w:sz="8" w:color="CCECFF"/>
            </w:tcBorders>
            <w:gridSpan w:val="3"/>
            <w:shd w:val="clear" w:color="auto" w:fill="CCECFF"/>
          </w:tcPr>
          <w:p>
            <w:pPr>
              <w:jc w:val="center"/>
              <w:ind w:left="446"/>
              <w:spacing w:after="0"/>
              <w:rPr>
                <w:sz w:val="20"/>
                <w:szCs w:val="20"/>
                <w:color w:val="auto"/>
              </w:rPr>
            </w:pPr>
            <w:r>
              <w:rPr>
                <w:rFonts w:ascii="Arial" w:cs="Arial" w:eastAsia="Arial" w:hAnsi="Arial"/>
                <w:sz w:val="11"/>
                <w:szCs w:val="11"/>
                <w:color w:val="auto"/>
                <w:w w:val="87"/>
              </w:rPr>
              <w:t>09/29/2024</w:t>
            </w:r>
          </w:p>
        </w:tc>
        <w:tc>
          <w:tcPr>
            <w:tcW w:w="20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08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9.50 %</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2,946,584</w:t>
            </w: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2,940,000</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5,380,917</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5,374,333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7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Equity Securities - 3.3%</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14"/>
                <w:szCs w:val="14"/>
                <w:color w:val="auto"/>
                <w:vertAlign w:val="superscript"/>
              </w:rPr>
              <w:t>(4)</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13.00 %</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6,784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5,034,310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14"/>
                <w:szCs w:val="14"/>
                <w:color w:val="auto"/>
                <w:vertAlign w:val="superscript"/>
              </w:rPr>
              <w:t>(4)</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7,007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6,731,347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1,314,706.0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00" w:type="dxa"/>
            <w:vAlign w:val="bottom"/>
          </w:tcPr>
          <w:p>
            <w:pPr>
              <w:ind w:left="20"/>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14"/>
                <w:szCs w:val="14"/>
                <w:color w:val="auto"/>
                <w:vertAlign w:val="superscript"/>
              </w:rPr>
              <w:t>(4)</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1,065,021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236,521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New MPE Holdings, LLC</w:t>
            </w:r>
          </w:p>
        </w:tc>
        <w:tc>
          <w:tcPr>
            <w:tcW w:w="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18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47</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362,244.0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Total Equity Securities</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12,002,178</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1,676,950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- 1101.7%</w:t>
            </w:r>
          </w:p>
        </w:tc>
        <w:tc>
          <w:tcPr>
            <w:tcW w:w="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576,262,980</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564,783,128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- 55.3%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28,190,894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28,190,894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US Bank Cash</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195,787</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182,647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3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28,386,681</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28,373,541</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w w:val="99"/>
              </w:rPr>
              <w:t>Total Investments and Cash Equivalents —1157.1%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3"/>
          </w:tcPr>
          <w:p>
            <w:pPr>
              <w:spacing w:after="0"/>
              <w:rPr>
                <w:sz w:val="12"/>
                <w:szCs w:val="12"/>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604,649,661</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593,156,669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Liabilities in Excess of Other Assets — (1057.1)%</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7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w w:val="98"/>
              </w:rPr>
              <w:t>(541,892,538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Members' Equity—100.0%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51,264,131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-1899285</wp:posOffset>
            </wp:positionV>
            <wp:extent cx="2540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-1899285</wp:posOffset>
            </wp:positionV>
            <wp:extent cx="2603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57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-1453515</wp:posOffset>
            </wp:positionV>
            <wp:extent cx="2540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-1453515</wp:posOffset>
            </wp:positionV>
            <wp:extent cx="2603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857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857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-922020</wp:posOffset>
            </wp:positionV>
            <wp:extent cx="2540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-922020</wp:posOffset>
            </wp:positionV>
            <wp:extent cx="2603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-733425</wp:posOffset>
            </wp:positionV>
            <wp:extent cx="2540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-733425</wp:posOffset>
            </wp:positionV>
            <wp:extent cx="26035"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-373380</wp:posOffset>
            </wp:positionV>
            <wp:extent cx="2540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-373380</wp:posOffset>
            </wp:positionV>
            <wp:extent cx="26035"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946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1" w:lineRule="exact"/>
        <w:rPr>
          <w:sz w:val="20"/>
          <w:szCs w:val="20"/>
          <w:color w:val="auto"/>
        </w:rPr>
      </w:pPr>
    </w:p>
    <w:p>
      <w:pPr>
        <w:ind w:left="380" w:right="20" w:hanging="372"/>
        <w:spacing w:after="0" w:line="219" w:lineRule="auto"/>
        <w:tabs>
          <w:tab w:leader="none" w:pos="38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221" w:lineRule="auto"/>
        <w:tabs>
          <w:tab w:leader="none" w:pos="38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Valued based on PSSL’s accounting policy.</w:t>
      </w:r>
    </w:p>
    <w:p>
      <w:pPr>
        <w:spacing w:after="0" w:line="34"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Non-U.S. company or principal place of business outside the United States.</w:t>
      </w:r>
    </w:p>
    <w:p>
      <w:pPr>
        <w:spacing w:after="0" w:line="33"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Non-income producing security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the financial information for PSSL:</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gridSpan w:val="3"/>
          </w:tcPr>
          <w:p>
            <w:pPr>
              <w:ind w:left="410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30"/>
        </w:trPr>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tcPr>
          <w:p>
            <w:pPr>
              <w:spacing w:after="0"/>
              <w:rPr>
                <w:sz w:val="16"/>
                <w:szCs w:val="16"/>
                <w:color w:val="auto"/>
              </w:rPr>
            </w:pPr>
          </w:p>
        </w:tc>
      </w:tr>
      <w:tr>
        <w:trPr>
          <w:trHeight w:val="169"/>
        </w:trPr>
        <w:tc>
          <w:tcPr>
            <w:tcW w:w="64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CFF"/>
          </w:tcPr>
          <w:p>
            <w:pPr>
              <w:spacing w:after="0"/>
              <w:rPr>
                <w:sz w:val="14"/>
                <w:szCs w:val="14"/>
                <w:color w:val="auto"/>
              </w:rPr>
            </w:pPr>
          </w:p>
        </w:tc>
        <w:tc>
          <w:tcPr>
            <w:tcW w:w="19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r>
      <w:tr>
        <w:trPr>
          <w:trHeight w:val="175"/>
        </w:trPr>
        <w:tc>
          <w:tcPr>
            <w:tcW w:w="6480" w:type="dxa"/>
            <w:vAlign w:val="bottom"/>
          </w:tcPr>
          <w:p>
            <w:pPr>
              <w:ind w:left="20"/>
              <w:spacing w:after="0"/>
              <w:rPr>
                <w:sz w:val="20"/>
                <w:szCs w:val="20"/>
                <w:color w:val="auto"/>
              </w:rPr>
            </w:pPr>
            <w:r>
              <w:rPr>
                <w:rFonts w:ascii="Arial" w:cs="Arial" w:eastAsia="Arial" w:hAnsi="Arial"/>
                <w:sz w:val="14"/>
                <w:szCs w:val="14"/>
                <w:color w:val="auto"/>
              </w:rPr>
              <w:t>Investments at fair value (cost—$656,762,633 and $576,262,980, respectively)</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641,673,287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564,783,128</w:t>
            </w:r>
          </w:p>
        </w:tc>
        <w:tc>
          <w:tcPr>
            <w:tcW w:w="40" w:type="dxa"/>
            <w:vAlign w:val="bottom"/>
          </w:tcPr>
          <w:p>
            <w:pPr>
              <w:spacing w:after="0"/>
              <w:rPr>
                <w:sz w:val="15"/>
                <w:szCs w:val="15"/>
                <w:color w:val="auto"/>
              </w:rPr>
            </w:pPr>
          </w:p>
        </w:tc>
      </w:tr>
      <w:tr>
        <w:trPr>
          <w:trHeight w:val="176"/>
        </w:trPr>
        <w:tc>
          <w:tcPr>
            <w:tcW w:w="6480" w:type="dxa"/>
            <w:vAlign w:val="bottom"/>
            <w:shd w:val="clear" w:color="auto" w:fill="CCECFF"/>
          </w:tcPr>
          <w:p>
            <w:pPr>
              <w:ind w:left="20"/>
              <w:spacing w:after="0"/>
              <w:rPr>
                <w:sz w:val="20"/>
                <w:szCs w:val="20"/>
                <w:color w:val="auto"/>
              </w:rPr>
            </w:pPr>
            <w:r>
              <w:rPr>
                <w:rFonts w:ascii="Arial" w:cs="Arial" w:eastAsia="Arial" w:hAnsi="Arial"/>
                <w:sz w:val="14"/>
                <w:szCs w:val="14"/>
                <w:color w:val="auto"/>
              </w:rPr>
              <w:t>Cash and cash equivalents (cost—$35,578,940 and $28,386,681, respectively)</w:t>
            </w: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35,582,572</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28,373,541</w:t>
            </w:r>
          </w:p>
        </w:tc>
        <w:tc>
          <w:tcPr>
            <w:tcW w:w="40" w:type="dxa"/>
            <w:vAlign w:val="bottom"/>
            <w:shd w:val="clear" w:color="auto" w:fill="CCECFF"/>
          </w:tcPr>
          <w:p>
            <w:pPr>
              <w:spacing w:after="0"/>
              <w:rPr>
                <w:sz w:val="15"/>
                <w:szCs w:val="15"/>
                <w:color w:val="auto"/>
              </w:rPr>
            </w:pPr>
          </w:p>
        </w:tc>
      </w:tr>
      <w:tr>
        <w:trPr>
          <w:trHeight w:val="175"/>
        </w:trPr>
        <w:tc>
          <w:tcPr>
            <w:tcW w:w="648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2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1,880,980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1,413,529</w:t>
            </w:r>
          </w:p>
        </w:tc>
        <w:tc>
          <w:tcPr>
            <w:tcW w:w="40" w:type="dxa"/>
            <w:vAlign w:val="bottom"/>
          </w:tcPr>
          <w:p>
            <w:pPr>
              <w:spacing w:after="0"/>
              <w:rPr>
                <w:sz w:val="15"/>
                <w:szCs w:val="15"/>
                <w:color w:val="auto"/>
              </w:rPr>
            </w:pPr>
          </w:p>
        </w:tc>
      </w:tr>
      <w:tr>
        <w:trPr>
          <w:trHeight w:val="175"/>
        </w:trPr>
        <w:tc>
          <w:tcPr>
            <w:tcW w:w="648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Receivable for investment sold</w:t>
            </w: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1,918,636</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7,323,360</w:t>
            </w:r>
          </w:p>
        </w:tc>
        <w:tc>
          <w:tcPr>
            <w:tcW w:w="40" w:type="dxa"/>
            <w:vAlign w:val="bottom"/>
            <w:shd w:val="clear" w:color="auto" w:fill="CCECFF"/>
          </w:tcPr>
          <w:p>
            <w:pPr>
              <w:spacing w:after="0"/>
              <w:rPr>
                <w:sz w:val="15"/>
                <w:szCs w:val="15"/>
                <w:color w:val="auto"/>
              </w:rPr>
            </w:pPr>
          </w:p>
        </w:tc>
      </w:tr>
      <w:tr>
        <w:trPr>
          <w:trHeight w:val="175"/>
        </w:trPr>
        <w:tc>
          <w:tcPr>
            <w:tcW w:w="648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1,897,782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1,665,633</w:t>
            </w:r>
          </w:p>
        </w:tc>
        <w:tc>
          <w:tcPr>
            <w:tcW w:w="40" w:type="dxa"/>
            <w:vAlign w:val="bottom"/>
          </w:tcPr>
          <w:p>
            <w:pPr>
              <w:spacing w:after="0"/>
              <w:rPr>
                <w:sz w:val="15"/>
                <w:szCs w:val="15"/>
                <w:color w:val="auto"/>
              </w:rPr>
            </w:pPr>
          </w:p>
        </w:tc>
      </w:tr>
      <w:tr>
        <w:trPr>
          <w:trHeight w:val="169"/>
        </w:trPr>
        <w:tc>
          <w:tcPr>
            <w:tcW w:w="648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CFF"/>
          </w:tcPr>
          <w:p>
            <w:pPr>
              <w:spacing w:after="0"/>
              <w:rPr>
                <w:sz w:val="14"/>
                <w:szCs w:val="14"/>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682,953,257</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603,559,191</w:t>
            </w:r>
          </w:p>
        </w:tc>
        <w:tc>
          <w:tcPr>
            <w:tcW w:w="40" w:type="dxa"/>
            <w:vAlign w:val="bottom"/>
            <w:tcBorders>
              <w:bottom w:val="single" w:sz="8" w:color="CCECFF"/>
            </w:tcBorders>
            <w:shd w:val="clear" w:color="auto" w:fill="CCECFF"/>
          </w:tcPr>
          <w:p>
            <w:pPr>
              <w:spacing w:after="0"/>
              <w:rPr>
                <w:sz w:val="14"/>
                <w:szCs w:val="14"/>
                <w:color w:val="auto"/>
              </w:rPr>
            </w:pPr>
          </w:p>
        </w:tc>
      </w:tr>
      <w:tr>
        <w:trPr>
          <w:trHeight w:val="169"/>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64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Payable for investments purchased</w:t>
            </w: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1,503,750</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31,963,307</w:t>
            </w:r>
          </w:p>
        </w:tc>
        <w:tc>
          <w:tcPr>
            <w:tcW w:w="40" w:type="dxa"/>
            <w:vAlign w:val="bottom"/>
            <w:shd w:val="clear" w:color="auto" w:fill="CCECFF"/>
          </w:tcPr>
          <w:p>
            <w:pPr>
              <w:spacing w:after="0"/>
              <w:rPr>
                <w:sz w:val="15"/>
                <w:szCs w:val="15"/>
                <w:color w:val="auto"/>
              </w:rPr>
            </w:pPr>
          </w:p>
        </w:tc>
      </w:tr>
      <w:tr>
        <w:trPr>
          <w:trHeight w:val="176"/>
        </w:trPr>
        <w:tc>
          <w:tcPr>
            <w:tcW w:w="6480" w:type="dxa"/>
            <w:vAlign w:val="bottom"/>
          </w:tcPr>
          <w:p>
            <w:pPr>
              <w:ind w:left="20"/>
              <w:spacing w:after="0"/>
              <w:rPr>
                <w:sz w:val="20"/>
                <w:szCs w:val="20"/>
                <w:color w:val="auto"/>
              </w:rPr>
            </w:pPr>
            <w:r>
              <w:rPr>
                <w:rFonts w:ascii="Arial" w:cs="Arial" w:eastAsia="Arial" w:hAnsi="Arial"/>
                <w:sz w:val="14"/>
                <w:szCs w:val="14"/>
                <w:color w:val="auto"/>
              </w:rPr>
              <w:t>Credit facility payable</w:t>
            </w:r>
          </w:p>
        </w:tc>
        <w:tc>
          <w:tcPr>
            <w:tcW w:w="2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203,500,000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112,000,000</w:t>
            </w:r>
          </w:p>
        </w:tc>
        <w:tc>
          <w:tcPr>
            <w:tcW w:w="40" w:type="dxa"/>
            <w:vAlign w:val="bottom"/>
          </w:tcPr>
          <w:p>
            <w:pPr>
              <w:spacing w:after="0"/>
              <w:rPr>
                <w:sz w:val="15"/>
                <w:szCs w:val="15"/>
                <w:color w:val="auto"/>
              </w:rPr>
            </w:pPr>
          </w:p>
        </w:tc>
      </w:tr>
      <w:tr>
        <w:trPr>
          <w:trHeight w:val="175"/>
        </w:trPr>
        <w:tc>
          <w:tcPr>
            <w:tcW w:w="648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2032 Asset-backed debt, net (par—$246,000,000)</w:t>
            </w: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242,908,921</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242,756,901</w:t>
            </w:r>
          </w:p>
        </w:tc>
        <w:tc>
          <w:tcPr>
            <w:tcW w:w="40" w:type="dxa"/>
            <w:vAlign w:val="bottom"/>
            <w:shd w:val="clear" w:color="auto" w:fill="CCECFF"/>
          </w:tcPr>
          <w:p>
            <w:pPr>
              <w:spacing w:after="0"/>
              <w:rPr>
                <w:sz w:val="15"/>
                <w:szCs w:val="15"/>
                <w:color w:val="auto"/>
              </w:rPr>
            </w:pPr>
          </w:p>
        </w:tc>
      </w:tr>
      <w:tr>
        <w:trPr>
          <w:trHeight w:val="175"/>
        </w:trPr>
        <w:tc>
          <w:tcPr>
            <w:tcW w:w="6480" w:type="dxa"/>
            <w:vAlign w:val="bottom"/>
          </w:tcPr>
          <w:p>
            <w:pPr>
              <w:ind w:left="20"/>
              <w:spacing w:after="0"/>
              <w:rPr>
                <w:sz w:val="20"/>
                <w:szCs w:val="20"/>
                <w:color w:val="auto"/>
              </w:rPr>
            </w:pPr>
            <w:r>
              <w:rPr>
                <w:rFonts w:ascii="Arial" w:cs="Arial" w:eastAsia="Arial" w:hAnsi="Arial"/>
                <w:sz w:val="14"/>
                <w:szCs w:val="14"/>
                <w:color w:val="auto"/>
              </w:rPr>
              <w:t>Notes payable to members</w:t>
            </w:r>
          </w:p>
        </w:tc>
        <w:tc>
          <w:tcPr>
            <w:tcW w:w="2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175,000,000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161,000,000</w:t>
            </w:r>
          </w:p>
        </w:tc>
        <w:tc>
          <w:tcPr>
            <w:tcW w:w="40" w:type="dxa"/>
            <w:vAlign w:val="bottom"/>
          </w:tcPr>
          <w:p>
            <w:pPr>
              <w:spacing w:after="0"/>
              <w:rPr>
                <w:sz w:val="15"/>
                <w:szCs w:val="15"/>
                <w:color w:val="auto"/>
              </w:rPr>
            </w:pPr>
          </w:p>
        </w:tc>
      </w:tr>
      <w:tr>
        <w:trPr>
          <w:trHeight w:val="175"/>
        </w:trPr>
        <w:tc>
          <w:tcPr>
            <w:tcW w:w="648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Credit Facility</w:t>
            </w: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1,831,907</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1,740,807</w:t>
            </w:r>
          </w:p>
        </w:tc>
        <w:tc>
          <w:tcPr>
            <w:tcW w:w="40" w:type="dxa"/>
            <w:vAlign w:val="bottom"/>
            <w:shd w:val="clear" w:color="auto" w:fill="CCECFF"/>
          </w:tcPr>
          <w:p>
            <w:pPr>
              <w:spacing w:after="0"/>
              <w:rPr>
                <w:sz w:val="15"/>
                <w:szCs w:val="15"/>
                <w:color w:val="auto"/>
              </w:rPr>
            </w:pPr>
          </w:p>
        </w:tc>
      </w:tr>
      <w:tr>
        <w:trPr>
          <w:trHeight w:val="175"/>
        </w:trPr>
        <w:tc>
          <w:tcPr>
            <w:tcW w:w="6480" w:type="dxa"/>
            <w:vAlign w:val="bottom"/>
          </w:tcPr>
          <w:p>
            <w:pPr>
              <w:ind w:left="20"/>
              <w:spacing w:after="0"/>
              <w:rPr>
                <w:sz w:val="20"/>
                <w:szCs w:val="20"/>
                <w:color w:val="auto"/>
              </w:rPr>
            </w:pPr>
            <w:r>
              <w:rPr>
                <w:rFonts w:ascii="Arial" w:cs="Arial" w:eastAsia="Arial" w:hAnsi="Arial"/>
                <w:sz w:val="14"/>
                <w:szCs w:val="14"/>
                <w:color w:val="auto"/>
              </w:rPr>
              <w:t>Interest payable on notes to members</w:t>
            </w:r>
          </w:p>
        </w:tc>
        <w:tc>
          <w:tcPr>
            <w:tcW w:w="2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2,621,117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2,655,607</w:t>
            </w:r>
          </w:p>
        </w:tc>
        <w:tc>
          <w:tcPr>
            <w:tcW w:w="40" w:type="dxa"/>
            <w:vAlign w:val="bottom"/>
          </w:tcPr>
          <w:p>
            <w:pPr>
              <w:spacing w:after="0"/>
              <w:rPr>
                <w:sz w:val="15"/>
                <w:szCs w:val="15"/>
                <w:color w:val="auto"/>
              </w:rPr>
            </w:pPr>
          </w:p>
        </w:tc>
      </w:tr>
      <w:tr>
        <w:trPr>
          <w:trHeight w:val="175"/>
        </w:trPr>
        <w:tc>
          <w:tcPr>
            <w:tcW w:w="64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Accrued other expenses</w:t>
            </w:r>
          </w:p>
        </w:tc>
        <w:tc>
          <w:tcPr>
            <w:tcW w:w="220" w:type="dxa"/>
            <w:vAlign w:val="bottom"/>
            <w:tcBorders>
              <w:bottom w:val="single" w:sz="8" w:color="auto"/>
            </w:tcBorders>
            <w:shd w:val="clear" w:color="auto" w:fill="CCECFF"/>
          </w:tcPr>
          <w:p>
            <w:pPr>
              <w:spacing w:after="0"/>
              <w:rPr>
                <w:sz w:val="15"/>
                <w:szCs w:val="15"/>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570,329</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178,438</w:t>
            </w:r>
          </w:p>
        </w:tc>
        <w:tc>
          <w:tcPr>
            <w:tcW w:w="40" w:type="dxa"/>
            <w:vAlign w:val="bottom"/>
            <w:tcBorders>
              <w:bottom w:val="single" w:sz="8" w:color="CCECFF"/>
            </w:tcBorders>
            <w:shd w:val="clear" w:color="auto" w:fill="CCECFF"/>
          </w:tcPr>
          <w:p>
            <w:pPr>
              <w:spacing w:after="0"/>
              <w:rPr>
                <w:sz w:val="15"/>
                <w:szCs w:val="15"/>
                <w:color w:val="auto"/>
              </w:rPr>
            </w:pPr>
          </w:p>
        </w:tc>
      </w:tr>
      <w:tr>
        <w:trPr>
          <w:trHeight w:val="169"/>
        </w:trPr>
        <w:tc>
          <w:tcPr>
            <w:tcW w:w="6480" w:type="dxa"/>
            <w:vAlign w:val="bottom"/>
          </w:tcPr>
          <w:p>
            <w:pPr>
              <w:ind w:left="56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627,936,024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552,295,060</w:t>
            </w:r>
          </w:p>
        </w:tc>
        <w:tc>
          <w:tcPr>
            <w:tcW w:w="40" w:type="dxa"/>
            <w:vAlign w:val="bottom"/>
          </w:tcPr>
          <w:p>
            <w:pPr>
              <w:spacing w:after="0"/>
              <w:rPr>
                <w:sz w:val="14"/>
                <w:szCs w:val="14"/>
                <w:color w:val="auto"/>
              </w:rPr>
            </w:pPr>
          </w:p>
        </w:tc>
      </w:tr>
      <w:tr>
        <w:trPr>
          <w:trHeight w:val="169"/>
        </w:trPr>
        <w:tc>
          <w:tcPr>
            <w:tcW w:w="648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Members' equity</w:t>
            </w:r>
          </w:p>
        </w:tc>
        <w:tc>
          <w:tcPr>
            <w:tcW w:w="220" w:type="dxa"/>
            <w:vAlign w:val="bottom"/>
            <w:tcBorders>
              <w:bottom w:val="single" w:sz="8" w:color="auto"/>
            </w:tcBorders>
            <w:shd w:val="clear" w:color="auto" w:fill="CCECFF"/>
          </w:tcPr>
          <w:p>
            <w:pPr>
              <w:spacing w:after="0"/>
              <w:rPr>
                <w:sz w:val="14"/>
                <w:szCs w:val="14"/>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55,017,233</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51,264,131</w:t>
            </w:r>
          </w:p>
        </w:tc>
        <w:tc>
          <w:tcPr>
            <w:tcW w:w="40" w:type="dxa"/>
            <w:vAlign w:val="bottom"/>
            <w:tcBorders>
              <w:bottom w:val="single" w:sz="8" w:color="CCECFF"/>
            </w:tcBorders>
            <w:shd w:val="clear" w:color="auto" w:fill="CCECFF"/>
          </w:tcPr>
          <w:p>
            <w:pPr>
              <w:spacing w:after="0"/>
              <w:rPr>
                <w:sz w:val="14"/>
                <w:szCs w:val="14"/>
                <w:color w:val="auto"/>
              </w:rPr>
            </w:pPr>
          </w:p>
        </w:tc>
      </w:tr>
      <w:tr>
        <w:trPr>
          <w:trHeight w:val="169"/>
        </w:trPr>
        <w:tc>
          <w:tcPr>
            <w:tcW w:w="6480" w:type="dxa"/>
            <w:vAlign w:val="bottom"/>
          </w:tcPr>
          <w:p>
            <w:pPr>
              <w:ind w:left="560"/>
              <w:spacing w:after="0"/>
              <w:rPr>
                <w:sz w:val="20"/>
                <w:szCs w:val="20"/>
                <w:color w:val="auto"/>
              </w:rPr>
            </w:pPr>
            <w:r>
              <w:rPr>
                <w:rFonts w:ascii="Arial" w:cs="Arial" w:eastAsia="Arial" w:hAnsi="Arial"/>
                <w:sz w:val="14"/>
                <w:szCs w:val="14"/>
                <w:b w:val="1"/>
                <w:bCs w:val="1"/>
                <w:color w:val="auto"/>
              </w:rPr>
              <w:t>Total liabilities and members' equity</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682,953,257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603,559,191</w:t>
            </w:r>
          </w:p>
        </w:tc>
        <w:tc>
          <w:tcPr>
            <w:tcW w:w="40" w:type="dxa"/>
            <w:vAlign w:val="bottom"/>
          </w:tcPr>
          <w:p>
            <w:pPr>
              <w:spacing w:after="0"/>
              <w:rPr>
                <w:sz w:val="14"/>
                <w:szCs w:val="14"/>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-1282065</wp:posOffset>
            </wp:positionV>
            <wp:extent cx="3429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-1282065</wp:posOffset>
            </wp:positionV>
            <wp:extent cx="2603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-382270</wp:posOffset>
            </wp:positionV>
            <wp:extent cx="3429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-382270</wp:posOffset>
            </wp:positionV>
            <wp:extent cx="2603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-142240</wp:posOffset>
            </wp:positionV>
            <wp:extent cx="3429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-142240</wp:posOffset>
            </wp:positionV>
            <wp:extent cx="2603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41"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As of December 31, 2021and September 30, 2021, PSSL had unfunded commitments to fund investments of $0.6 million and $0.6 million,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85"/>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28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6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10,950,649</w:t>
            </w:r>
          </w:p>
        </w:tc>
        <w:tc>
          <w:tcPr>
            <w:tcW w:w="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6,747,939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CCECFF"/>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871,056</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155,384</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0" w:type="dxa"/>
            <w:vAlign w:val="bottom"/>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28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11,821,705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6,903,323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6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200"/>
              <w:spacing w:after="0"/>
              <w:rPr>
                <w:sz w:val="20"/>
                <w:szCs w:val="20"/>
                <w:color w:val="auto"/>
              </w:rPr>
            </w:pPr>
            <w:r>
              <w:rPr>
                <w:rFonts w:ascii="Arial" w:cs="Arial" w:eastAsia="Arial" w:hAnsi="Arial"/>
                <w:sz w:val="14"/>
                <w:szCs w:val="14"/>
                <w:color w:val="auto"/>
              </w:rPr>
              <w:t>Interest and expense on credit facility and asset-backed debt</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3,173,664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1,416,006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expense on notes to members</w:t>
            </w:r>
          </w:p>
        </w:tc>
        <w:tc>
          <w:tcPr>
            <w:tcW w:w="28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3,554,315</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3,054,519</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0"/>
              <w:spacing w:after="0"/>
              <w:rPr>
                <w:sz w:val="20"/>
                <w:szCs w:val="20"/>
                <w:color w:val="auto"/>
              </w:rPr>
            </w:pPr>
            <w:r>
              <w:rPr>
                <w:rFonts w:ascii="Arial" w:cs="Arial" w:eastAsia="Arial" w:hAnsi="Arial"/>
                <w:sz w:val="14"/>
                <w:szCs w:val="14"/>
                <w:color w:val="auto"/>
              </w:rPr>
              <w:t>Administrative services expenses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280" w:type="dxa"/>
            <w:vAlign w:val="bottom"/>
            <w:tcBorders>
              <w:bottom w:val="single" w:sz="8" w:color="CCECFF"/>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288,967</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195,317</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0" w:type="dxa"/>
            <w:vAlign w:val="bottom"/>
          </w:tcPr>
          <w:p>
            <w:pPr>
              <w:ind w:left="20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7,316,946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4,965,842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280" w:type="dxa"/>
            <w:vAlign w:val="bottom"/>
            <w:tcBorders>
              <w:bottom w:val="single" w:sz="8" w:color="CCECFF"/>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4,504,759</w:t>
            </w:r>
          </w:p>
        </w:tc>
        <w:tc>
          <w:tcPr>
            <w:tcW w:w="2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CCECFF"/>
            </w:tcBorders>
            <w:shd w:val="clear" w:color="auto" w:fill="CCECFF"/>
          </w:tcPr>
          <w:p>
            <w:pPr>
              <w:spacing w:after="0"/>
              <w:rPr>
                <w:sz w:val="14"/>
                <w:szCs w:val="14"/>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1,937,481</w:t>
            </w:r>
          </w:p>
        </w:tc>
        <w:tc>
          <w:tcPr>
            <w:tcW w:w="6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w w:val="92"/>
              </w:rPr>
              <w:t>Realized and unrealized (loss) gain on investments and credit facility foreign currency translation currency translations:</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realized loss on investments</w:t>
            </w:r>
          </w:p>
        </w:tc>
        <w:tc>
          <w:tcPr>
            <w:tcW w:w="280" w:type="dxa"/>
            <w:vAlign w:val="bottom"/>
            <w:shd w:val="clear" w:color="auto" w:fill="CCECFF"/>
          </w:tcPr>
          <w:p>
            <w:pPr>
              <w:spacing w:after="0"/>
              <w:rPr>
                <w:sz w:val="15"/>
                <w:szCs w:val="15"/>
                <w:color w:val="auto"/>
              </w:rPr>
            </w:pPr>
          </w:p>
        </w:tc>
        <w:tc>
          <w:tcPr>
            <w:tcW w:w="164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(347,884 )</w:t>
            </w:r>
          </w:p>
        </w:tc>
        <w:tc>
          <w:tcPr>
            <w:tcW w:w="260" w:type="dxa"/>
            <w:vAlign w:val="bottom"/>
            <w:shd w:val="clear" w:color="auto" w:fill="CCECFF"/>
          </w:tcPr>
          <w:p>
            <w:pPr>
              <w:spacing w:after="0"/>
              <w:rPr>
                <w:sz w:val="15"/>
                <w:szCs w:val="15"/>
                <w:color w:val="auto"/>
              </w:rPr>
            </w:pPr>
          </w:p>
        </w:tc>
        <w:tc>
          <w:tcPr>
            <w:tcW w:w="16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(791,279 )</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Net change in unrealized (depreciation) appreciation on:</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Investments</w:t>
            </w:r>
          </w:p>
        </w:tc>
        <w:tc>
          <w:tcPr>
            <w:tcW w:w="280" w:type="dxa"/>
            <w:vAlign w:val="bottom"/>
            <w:shd w:val="clear" w:color="auto" w:fill="CCECFF"/>
          </w:tcPr>
          <w:p>
            <w:pPr>
              <w:spacing w:after="0"/>
              <w:rPr>
                <w:sz w:val="15"/>
                <w:szCs w:val="15"/>
                <w:color w:val="auto"/>
              </w:rPr>
            </w:pPr>
          </w:p>
        </w:tc>
        <w:tc>
          <w:tcPr>
            <w:tcW w:w="164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(3,203,772 )</w:t>
            </w:r>
          </w:p>
        </w:tc>
        <w:tc>
          <w:tcPr>
            <w:tcW w:w="260" w:type="dxa"/>
            <w:vAlign w:val="bottom"/>
            <w:shd w:val="clear" w:color="auto" w:fill="CCECFF"/>
          </w:tcPr>
          <w:p>
            <w:pPr>
              <w:spacing w:after="0"/>
              <w:rPr>
                <w:sz w:val="15"/>
                <w:szCs w:val="15"/>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4,184,101</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0"/>
              <w:spacing w:after="0"/>
              <w:rPr>
                <w:sz w:val="20"/>
                <w:szCs w:val="20"/>
                <w:color w:val="auto"/>
              </w:rPr>
            </w:pPr>
            <w:r>
              <w:rPr>
                <w:rFonts w:ascii="Arial" w:cs="Arial" w:eastAsia="Arial" w:hAnsi="Arial"/>
                <w:sz w:val="14"/>
                <w:szCs w:val="14"/>
                <w:color w:val="auto"/>
              </w:rPr>
              <w:t>Credit facility foreign currency translation</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(659,754 )</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400" w:type="dxa"/>
            <w:vAlign w:val="bottom"/>
            <w:shd w:val="clear" w:color="auto" w:fill="CCECFF"/>
          </w:tcPr>
          <w:p>
            <w:pPr>
              <w:ind w:left="20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w:t>
            </w:r>
          </w:p>
        </w:tc>
        <w:tc>
          <w:tcPr>
            <w:tcW w:w="280" w:type="dxa"/>
            <w:vAlign w:val="bottom"/>
            <w:shd w:val="clear" w:color="auto" w:fill="CCECFF"/>
          </w:tcPr>
          <w:p>
            <w:pPr>
              <w:spacing w:after="0"/>
              <w:rPr>
                <w:sz w:val="11"/>
                <w:szCs w:val="11"/>
                <w:color w:val="auto"/>
              </w:rPr>
            </w:pPr>
          </w:p>
        </w:tc>
        <w:tc>
          <w:tcPr>
            <w:tcW w:w="1640" w:type="dxa"/>
            <w:vAlign w:val="bottom"/>
            <w:gridSpan w:val="2"/>
            <w:vMerge w:val="restart"/>
            <w:shd w:val="clear" w:color="auto" w:fill="CCECFF"/>
          </w:tcPr>
          <w:p>
            <w:pPr>
              <w:jc w:val="right"/>
              <w:ind w:right="160"/>
              <w:spacing w:after="0"/>
              <w:rPr>
                <w:sz w:val="20"/>
                <w:szCs w:val="20"/>
                <w:color w:val="auto"/>
              </w:rPr>
            </w:pPr>
            <w:r>
              <w:rPr>
                <w:rFonts w:ascii="Arial" w:cs="Arial" w:eastAsia="Arial" w:hAnsi="Arial"/>
                <w:sz w:val="14"/>
                <w:szCs w:val="14"/>
                <w:color w:val="auto"/>
              </w:rPr>
              <w:t>(3,203,772 )</w:t>
            </w:r>
          </w:p>
        </w:tc>
        <w:tc>
          <w:tcPr>
            <w:tcW w:w="260" w:type="dxa"/>
            <w:vAlign w:val="bottom"/>
            <w:shd w:val="clear" w:color="auto" w:fill="CCECFF"/>
          </w:tcPr>
          <w:p>
            <w:pPr>
              <w:spacing w:after="0"/>
              <w:rPr>
                <w:sz w:val="11"/>
                <w:szCs w:val="11"/>
                <w:color w:val="auto"/>
              </w:rPr>
            </w:pPr>
          </w:p>
        </w:tc>
        <w:tc>
          <w:tcPr>
            <w:tcW w:w="160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3,524,347</w:t>
            </w:r>
          </w:p>
        </w:tc>
        <w:tc>
          <w:tcPr>
            <w:tcW w:w="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400" w:type="dxa"/>
            <w:vAlign w:val="bottom"/>
            <w:shd w:val="clear" w:color="auto" w:fill="CCECFF"/>
          </w:tcPr>
          <w:p>
            <w:pPr>
              <w:ind w:left="300"/>
              <w:spacing w:after="0"/>
              <w:rPr>
                <w:sz w:val="20"/>
                <w:szCs w:val="20"/>
                <w:color w:val="auto"/>
              </w:rPr>
            </w:pPr>
            <w:r>
              <w:rPr>
                <w:rFonts w:ascii="Arial" w:cs="Arial" w:eastAsia="Arial" w:hAnsi="Arial"/>
                <w:sz w:val="14"/>
                <w:szCs w:val="14"/>
                <w:b w:val="1"/>
                <w:bCs w:val="1"/>
                <w:color w:val="auto"/>
              </w:rPr>
              <w:t>facility foreign currency translations</w:t>
            </w:r>
          </w:p>
        </w:tc>
        <w:tc>
          <w:tcPr>
            <w:tcW w:w="280" w:type="dxa"/>
            <w:vAlign w:val="bottom"/>
            <w:shd w:val="clear" w:color="auto" w:fill="CCECFF"/>
          </w:tcPr>
          <w:p>
            <w:pPr>
              <w:spacing w:after="0"/>
              <w:rPr>
                <w:sz w:val="14"/>
                <w:szCs w:val="14"/>
                <w:color w:val="auto"/>
              </w:rPr>
            </w:pPr>
          </w:p>
        </w:tc>
        <w:tc>
          <w:tcPr>
            <w:tcW w:w="1640" w:type="dxa"/>
            <w:vAlign w:val="bottom"/>
            <w:gridSpan w:val="2"/>
            <w:vMerge w:val="continue"/>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600" w:type="dxa"/>
            <w:vAlign w:val="bottom"/>
            <w:vMerge w:val="continue"/>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0" w:type="dxa"/>
            <w:vAlign w:val="bottom"/>
            <w:shd w:val="clear" w:color="auto" w:fill="CCECFF"/>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4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Net realized and unrealized (loss) gain from investments and credit facility foreign</w:t>
            </w:r>
          </w:p>
        </w:tc>
        <w:tc>
          <w:tcPr>
            <w:tcW w:w="280" w:type="dxa"/>
            <w:vAlign w:val="bottom"/>
          </w:tcPr>
          <w:p>
            <w:pPr>
              <w:spacing w:after="0"/>
              <w:rPr>
                <w:sz w:val="11"/>
                <w:szCs w:val="11"/>
                <w:color w:val="auto"/>
              </w:rPr>
            </w:pP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(3,551,656 )</w:t>
            </w:r>
          </w:p>
        </w:tc>
        <w:tc>
          <w:tcPr>
            <w:tcW w:w="2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2,733,068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40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2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in members' equity resulting from operations</w:t>
            </w:r>
          </w:p>
        </w:tc>
        <w:tc>
          <w:tcPr>
            <w:tcW w:w="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953,103</w:t>
            </w: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4,670,549</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-2045335</wp:posOffset>
            </wp:positionV>
            <wp:extent cx="4318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-2045335</wp:posOffset>
            </wp:positionV>
            <wp:extent cx="4318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-1359535</wp:posOffset>
            </wp:positionV>
            <wp:extent cx="4318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-1359535</wp:posOffset>
            </wp:positionV>
            <wp:extent cx="4318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-1119505</wp:posOffset>
            </wp:positionV>
            <wp:extent cx="4318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-1119505</wp:posOffset>
            </wp:positionV>
            <wp:extent cx="4318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-347980</wp:posOffset>
            </wp:positionV>
            <wp:extent cx="4318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-347980</wp:posOffset>
            </wp:positionV>
            <wp:extent cx="4318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431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431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4"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No management or incentive fees are payable by PSSL. If any fees were to be charged, they would be separately disclosed in the Statement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67" w:lineRule="exact"/>
        <w:rPr>
          <w:sz w:val="20"/>
          <w:szCs w:val="20"/>
          <w:color w:val="auto"/>
        </w:rPr>
      </w:pPr>
    </w:p>
    <w:p>
      <w:pPr>
        <w:ind w:firstLine="449"/>
        <w:spacing w:after="0" w:line="273"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63"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ind w:left="1540" w:right="320" w:hanging="1241"/>
        <w:spacing w:after="0" w:line="238" w:lineRule="auto"/>
        <w:tabs>
          <w:tab w:leader="none" w:pos="15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9" w:lineRule="exact"/>
        <w:rPr>
          <w:sz w:val="20"/>
          <w:szCs w:val="20"/>
          <w:color w:val="auto"/>
        </w:rPr>
      </w:pPr>
    </w:p>
    <w:p>
      <w:pPr>
        <w:ind w:left="1540" w:right="760" w:hanging="1241"/>
        <w:spacing w:after="0" w:line="253" w:lineRule="auto"/>
        <w:tabs>
          <w:tab w:leader="none" w:pos="15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7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0" w:lineRule="exact"/>
        <w:rPr>
          <w:sz w:val="20"/>
          <w:szCs w:val="20"/>
          <w:color w:val="auto"/>
        </w:rPr>
      </w:pPr>
    </w:p>
    <w:p>
      <w:pPr>
        <w:ind w:right="40" w:firstLine="449"/>
        <w:spacing w:after="0" w:line="249"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37" w:lineRule="exact"/>
        <w:rPr>
          <w:sz w:val="20"/>
          <w:szCs w:val="20"/>
          <w:color w:val="auto"/>
        </w:rPr>
      </w:pPr>
    </w:p>
    <w:p>
      <w:pPr>
        <w:jc w:val="both"/>
        <w:ind w:right="60" w:firstLine="449"/>
        <w:spacing w:after="0" w:line="249"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37" w:lineRule="exact"/>
        <w:rPr>
          <w:sz w:val="20"/>
          <w:szCs w:val="20"/>
          <w:color w:val="auto"/>
        </w:rPr>
      </w:pPr>
    </w:p>
    <w:p>
      <w:pPr>
        <w:ind w:right="260" w:firstLine="449"/>
        <w:spacing w:after="0" w:line="25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13" w:lineRule="exact"/>
        <w:rPr>
          <w:sz w:val="20"/>
          <w:szCs w:val="20"/>
          <w:color w:val="auto"/>
        </w:rPr>
      </w:pPr>
    </w:p>
    <w:p>
      <w:pPr>
        <w:jc w:val="both"/>
        <w:ind w:right="20" w:firstLine="449"/>
        <w:spacing w:after="0" w:line="257" w:lineRule="auto"/>
        <w:rPr>
          <w:sz w:val="20"/>
          <w:szCs w:val="20"/>
          <w:color w:val="auto"/>
        </w:rPr>
      </w:pPr>
      <w:r>
        <w:rPr>
          <w:rFonts w:ascii="Arial" w:cs="Arial" w:eastAsia="Arial" w:hAnsi="Arial"/>
          <w:sz w:val="14"/>
          <w:szCs w:val="14"/>
          <w:color w:val="auto"/>
        </w:rPr>
        <w:t>In addition to using the above inputs to value cash equivalents, investments, our 2023 Notes, our 2026 Note,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31" w:lineRule="exact"/>
        <w:rPr>
          <w:sz w:val="20"/>
          <w:szCs w:val="20"/>
          <w:color w:val="auto"/>
        </w:rPr>
      </w:pPr>
    </w:p>
    <w:p>
      <w:pPr>
        <w:jc w:val="both"/>
        <w:ind w:right="140" w:firstLine="449"/>
        <w:spacing w:after="0" w:line="273"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22" w:lineRule="exact"/>
        <w:rPr>
          <w:sz w:val="20"/>
          <w:szCs w:val="20"/>
          <w:color w:val="auto"/>
        </w:rPr>
      </w:pPr>
    </w:p>
    <w:p>
      <w:pPr>
        <w:ind w:firstLine="449"/>
        <w:spacing w:after="0" w:line="244"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Fair value at December 31,</w:t>
            </w:r>
          </w:p>
        </w:tc>
        <w:tc>
          <w:tcPr>
            <w:tcW w:w="20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6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9"/>
                <w:szCs w:val="19"/>
                <w:b w:val="1"/>
                <w:bCs w:val="1"/>
                <w:color w:val="auto"/>
                <w:w w:val="91"/>
                <w:vertAlign w:val="superscript"/>
              </w:rPr>
              <w:t>(1)</w:t>
            </w:r>
          </w:p>
        </w:tc>
        <w:tc>
          <w:tcPr>
            <w:tcW w:w="0" w:type="dxa"/>
            <w:vAlign w:val="bottom"/>
          </w:tcPr>
          <w:p>
            <w:pPr>
              <w:spacing w:after="0"/>
              <w:rPr>
                <w:sz w:val="1"/>
                <w:szCs w:val="1"/>
                <w:color w:val="auto"/>
              </w:rPr>
            </w:pPr>
          </w:p>
        </w:tc>
      </w:tr>
      <w:tr>
        <w:trPr>
          <w:trHeight w:val="169"/>
        </w:trPr>
        <w:tc>
          <w:tcPr>
            <w:tcW w:w="33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4"/>
                <w:szCs w:val="14"/>
                <w:color w:val="auto"/>
              </w:rPr>
            </w:pPr>
          </w:p>
        </w:tc>
        <w:tc>
          <w:tcPr>
            <w:tcW w:w="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159,800,422</w:t>
            </w:r>
          </w:p>
        </w:tc>
        <w:tc>
          <w:tcPr>
            <w:tcW w:w="200" w:type="dxa"/>
            <w:vAlign w:val="bottom"/>
            <w:shd w:val="clear" w:color="auto" w:fill="CCECFF"/>
          </w:tcPr>
          <w:p>
            <w:pPr>
              <w:spacing w:after="0"/>
              <w:rPr>
                <w:sz w:val="14"/>
                <w:szCs w:val="14"/>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shd w:val="clear" w:color="auto" w:fill="CCECFF"/>
          </w:tcPr>
          <w:p>
            <w:pPr>
              <w:spacing w:after="0"/>
              <w:rPr>
                <w:sz w:val="14"/>
                <w:szCs w:val="14"/>
                <w:color w:val="auto"/>
              </w:rPr>
            </w:pPr>
          </w:p>
        </w:tc>
        <w:tc>
          <w:tcPr>
            <w:tcW w:w="194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Broker/Dealer bids or quotes</w:t>
            </w:r>
          </w:p>
        </w:tc>
        <w:tc>
          <w:tcPr>
            <w:tcW w:w="120" w:type="dxa"/>
            <w:vAlign w:val="bottom"/>
            <w:shd w:val="clear" w:color="auto" w:fill="CCECFF"/>
          </w:tcPr>
          <w:p>
            <w:pPr>
              <w:spacing w:after="0"/>
              <w:rPr>
                <w:sz w:val="14"/>
                <w:szCs w:val="14"/>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862,343,276</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7"/>
              </w:rPr>
              <w:t>Market Yield</w:t>
            </w:r>
          </w:p>
        </w:tc>
        <w:tc>
          <w:tcPr>
            <w:tcW w:w="190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5.5% - 12.7% (7.9%)</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3,542,746</w:t>
            </w:r>
          </w:p>
        </w:tc>
        <w:tc>
          <w:tcPr>
            <w:tcW w:w="20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7"/>
              </w:rPr>
              <w:t>Market Yield</w:t>
            </w:r>
          </w:p>
        </w:tc>
        <w:tc>
          <w:tcPr>
            <w:tcW w:w="1900" w:type="dxa"/>
            <w:vAlign w:val="bottom"/>
            <w:gridSpan w:val="2"/>
            <w:shd w:val="clear" w:color="auto" w:fill="CCECFF"/>
          </w:tcPr>
          <w:p>
            <w:pPr>
              <w:jc w:val="center"/>
              <w:ind w:left="28"/>
              <w:spacing w:after="0"/>
              <w:rPr>
                <w:sz w:val="20"/>
                <w:szCs w:val="20"/>
                <w:color w:val="auto"/>
              </w:rPr>
            </w:pPr>
            <w:r>
              <w:rPr>
                <w:rFonts w:ascii="Arial" w:cs="Arial" w:eastAsia="Arial" w:hAnsi="Arial"/>
                <w:sz w:val="14"/>
                <w:szCs w:val="14"/>
                <w:color w:val="auto"/>
                <w:w w:val="93"/>
              </w:rPr>
              <w:t>11.0% - 11.3% (11.%)</w:t>
            </w:r>
          </w:p>
        </w:tc>
        <w:tc>
          <w:tcPr>
            <w:tcW w:w="0" w:type="dxa"/>
            <w:vAlign w:val="bottom"/>
          </w:tcPr>
          <w:p>
            <w:pPr>
              <w:spacing w:after="0"/>
              <w:rPr>
                <w:sz w:val="1"/>
                <w:szCs w:val="1"/>
                <w:color w:val="auto"/>
              </w:rPr>
            </w:pPr>
          </w:p>
        </w:tc>
      </w:tr>
      <w:tr>
        <w:trPr>
          <w:trHeight w:val="176"/>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2,694,621</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EBITDA multiple</w:t>
            </w:r>
          </w:p>
        </w:tc>
        <w:tc>
          <w:tcPr>
            <w:tcW w:w="1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8"/>
              </w:rPr>
              <w:t>1.8x</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896,967</w:t>
            </w:r>
          </w:p>
        </w:tc>
        <w:tc>
          <w:tcPr>
            <w:tcW w:w="20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2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8"/>
              </w:rPr>
              <w:t>5.4x</w:t>
            </w:r>
          </w:p>
        </w:tc>
        <w:tc>
          <w:tcPr>
            <w:tcW w:w="0" w:type="dxa"/>
            <w:vAlign w:val="bottom"/>
          </w:tcPr>
          <w:p>
            <w:pPr>
              <w:spacing w:after="0"/>
              <w:rPr>
                <w:sz w:val="1"/>
                <w:szCs w:val="1"/>
                <w:color w:val="auto"/>
              </w:rPr>
            </w:pPr>
          </w:p>
        </w:tc>
      </w:tr>
      <w:tr>
        <w:trPr>
          <w:trHeight w:val="176"/>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85,580,455</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EBITDA multiple</w:t>
            </w:r>
          </w:p>
        </w:tc>
        <w:tc>
          <w:tcPr>
            <w:tcW w:w="1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2.3x - 26.8x (13.4x)</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80" w:type="dxa"/>
            <w:vAlign w:val="bottom"/>
            <w:tcBorders>
              <w:bottom w:val="single" w:sz="8" w:color="CCECFF"/>
            </w:tcBorders>
            <w:shd w:val="clear" w:color="auto" w:fill="CCECFF"/>
          </w:tcPr>
          <w:p>
            <w:pPr>
              <w:spacing w:after="0"/>
              <w:rPr>
                <w:sz w:val="15"/>
                <w:szCs w:val="15"/>
                <w:color w:val="auto"/>
              </w:rPr>
            </w:pPr>
          </w:p>
        </w:tc>
        <w:tc>
          <w:tcPr>
            <w:tcW w:w="420" w:type="dxa"/>
            <w:vAlign w:val="bottom"/>
            <w:tcBorders>
              <w:bottom w:val="single" w:sz="8" w:color="auto"/>
            </w:tcBorders>
            <w:shd w:val="clear" w:color="auto" w:fill="CCECFF"/>
          </w:tcPr>
          <w:p>
            <w:pPr>
              <w:spacing w:after="0"/>
              <w:rPr>
                <w:sz w:val="15"/>
                <w:szCs w:val="15"/>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5,394,886</w:t>
            </w:r>
          </w:p>
        </w:tc>
        <w:tc>
          <w:tcPr>
            <w:tcW w:w="200" w:type="dxa"/>
            <w:vAlign w:val="bottom"/>
            <w:tcBorders>
              <w:bottom w:val="single" w:sz="8" w:color="CCECFF"/>
            </w:tcBorders>
            <w:shd w:val="clear" w:color="auto" w:fill="CCECFF"/>
          </w:tcPr>
          <w:p>
            <w:pPr>
              <w:spacing w:after="0"/>
              <w:rPr>
                <w:sz w:val="15"/>
                <w:szCs w:val="15"/>
                <w:color w:val="auto"/>
              </w:rPr>
            </w:pPr>
          </w:p>
        </w:tc>
        <w:tc>
          <w:tcPr>
            <w:tcW w:w="17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tcBorders>
              <w:bottom w:val="single" w:sz="8" w:color="CCECFF"/>
            </w:tcBorders>
            <w:shd w:val="clear" w:color="auto" w:fill="CCECFF"/>
          </w:tcPr>
          <w:p>
            <w:pPr>
              <w:spacing w:after="0"/>
              <w:rPr>
                <w:sz w:val="15"/>
                <w:szCs w:val="15"/>
                <w:color w:val="auto"/>
              </w:rPr>
            </w:pPr>
          </w:p>
        </w:tc>
        <w:tc>
          <w:tcPr>
            <w:tcW w:w="19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rPr>
              <w:t>DLOM</w:t>
            </w:r>
          </w:p>
        </w:tc>
        <w:tc>
          <w:tcPr>
            <w:tcW w:w="1900" w:type="dxa"/>
            <w:vAlign w:val="bottom"/>
            <w:tcBorders>
              <w:bottom w:val="single" w:sz="8" w:color="CCECFF"/>
            </w:tcBorders>
            <w:gridSpan w:val="2"/>
            <w:shd w:val="clear" w:color="auto" w:fill="CCECFF"/>
          </w:tcPr>
          <w:p>
            <w:pPr>
              <w:jc w:val="center"/>
              <w:ind w:left="48"/>
              <w:spacing w:after="0"/>
              <w:rPr>
                <w:sz w:val="20"/>
                <w:szCs w:val="20"/>
                <w:color w:val="auto"/>
              </w:rPr>
            </w:pPr>
            <w:r>
              <w:rPr>
                <w:rFonts w:ascii="Arial" w:cs="Arial" w:eastAsia="Arial" w:hAnsi="Arial"/>
                <w:sz w:val="14"/>
                <w:szCs w:val="14"/>
                <w:color w:val="auto"/>
                <w:w w:val="95"/>
              </w:rPr>
              <w:t>16.6%</w:t>
            </w: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Arial" w:cs="Arial" w:eastAsia="Arial" w:hAnsi="Arial"/>
                <w:sz w:val="14"/>
                <w:szCs w:val="14"/>
                <w:color w:val="auto"/>
              </w:rPr>
              <w:t>Total Level 3 investments</w:t>
            </w:r>
          </w:p>
        </w:tc>
        <w:tc>
          <w:tcPr>
            <w:tcW w:w="18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1,120,253,374</w:t>
            </w: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CCECFF"/>
            </w:tcBorders>
            <w:gridSpan w:val="2"/>
            <w:shd w:val="clear" w:color="auto" w:fill="CCECFF"/>
          </w:tcPr>
          <w:p>
            <w:pPr>
              <w:ind w:left="20"/>
              <w:spacing w:after="0" w:line="155" w:lineRule="exact"/>
              <w:rPr>
                <w:sz w:val="20"/>
                <w:szCs w:val="20"/>
                <w:color w:val="auto"/>
              </w:rPr>
            </w:pPr>
            <w:r>
              <w:rPr>
                <w:rFonts w:ascii="Arial" w:cs="Arial" w:eastAsia="Arial" w:hAnsi="Arial"/>
                <w:sz w:val="14"/>
                <w:szCs w:val="14"/>
                <w:color w:val="auto"/>
              </w:rPr>
              <w:t>Long-Term Credit Facility</w:t>
            </w:r>
          </w:p>
        </w:tc>
        <w:tc>
          <w:tcPr>
            <w:tcW w:w="180" w:type="dxa"/>
            <w:vAlign w:val="bottom"/>
            <w:tcBorders>
              <w:bottom w:val="single" w:sz="8" w:color="CCECFF"/>
            </w:tcBorders>
            <w:shd w:val="clear" w:color="auto" w:fill="CCECFF"/>
          </w:tcPr>
          <w:p>
            <w:pPr>
              <w:spacing w:after="0"/>
              <w:rPr>
                <w:sz w:val="17"/>
                <w:szCs w:val="17"/>
                <w:color w:val="auto"/>
              </w:rPr>
            </w:pPr>
          </w:p>
        </w:tc>
        <w:tc>
          <w:tcPr>
            <w:tcW w:w="420" w:type="dxa"/>
            <w:vAlign w:val="bottom"/>
            <w:tcBorders>
              <w:top w:val="single" w:sz="8" w:color="auto"/>
              <w:bottom w:val="single" w:sz="8" w:color="auto"/>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256,670,500</w:t>
            </w:r>
          </w:p>
        </w:tc>
        <w:tc>
          <w:tcPr>
            <w:tcW w:w="20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bottom w:val="single" w:sz="8" w:color="CCECFF"/>
            </w:tcBorders>
            <w:shd w:val="clear" w:color="auto" w:fill="CCECFF"/>
          </w:tcPr>
          <w:p>
            <w:pPr>
              <w:spacing w:after="0"/>
              <w:rPr>
                <w:sz w:val="17"/>
                <w:szCs w:val="17"/>
                <w:color w:val="auto"/>
              </w:rPr>
            </w:pPr>
          </w:p>
        </w:tc>
        <w:tc>
          <w:tcPr>
            <w:tcW w:w="194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7"/>
              </w:rPr>
              <w:t>Market Yield</w:t>
            </w:r>
          </w:p>
        </w:tc>
        <w:tc>
          <w:tcPr>
            <w:tcW w:w="1900" w:type="dxa"/>
            <w:vAlign w:val="bottom"/>
            <w:tcBorders>
              <w:bottom w:val="single" w:sz="8" w:color="CCECFF"/>
            </w:tcBorders>
            <w:gridSpan w:val="2"/>
            <w:shd w:val="clear" w:color="auto" w:fill="CCECFF"/>
          </w:tcPr>
          <w:p>
            <w:pPr>
              <w:jc w:val="center"/>
              <w:ind w:left="48"/>
              <w:spacing w:after="0" w:line="155" w:lineRule="exact"/>
              <w:rPr>
                <w:sz w:val="20"/>
                <w:szCs w:val="20"/>
                <w:color w:val="auto"/>
              </w:rPr>
            </w:pPr>
            <w:r>
              <w:rPr>
                <w:rFonts w:ascii="Arial" w:cs="Arial" w:eastAsia="Arial" w:hAnsi="Arial"/>
                <w:sz w:val="14"/>
                <w:szCs w:val="14"/>
                <w:color w:val="auto"/>
                <w:w w:val="93"/>
              </w:rPr>
              <w:t>2.0%</w:t>
            </w:r>
          </w:p>
        </w:tc>
        <w:tc>
          <w:tcPr>
            <w:tcW w:w="0" w:type="dxa"/>
            <w:vAlign w:val="bottom"/>
          </w:tcPr>
          <w:p>
            <w:pPr>
              <w:spacing w:after="0"/>
              <w:rPr>
                <w:sz w:val="1"/>
                <w:szCs w:val="1"/>
                <w:color w:val="auto"/>
              </w:rPr>
            </w:pPr>
          </w:p>
        </w:tc>
      </w:tr>
      <w:tr>
        <w:trPr>
          <w:trHeight w:val="278"/>
        </w:trPr>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Fair value at September 30,</w:t>
            </w:r>
          </w:p>
        </w:tc>
        <w:tc>
          <w:tcPr>
            <w:tcW w:w="20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60" w:type="dxa"/>
            <w:vAlign w:val="bottom"/>
          </w:tcPr>
          <w:p>
            <w:pPr>
              <w:spacing w:after="0"/>
              <w:rPr>
                <w:sz w:val="24"/>
                <w:szCs w:val="2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9"/>
                <w:szCs w:val="19"/>
                <w:b w:val="1"/>
                <w:bCs w:val="1"/>
                <w:color w:val="auto"/>
                <w:w w:val="91"/>
                <w:vertAlign w:val="superscript"/>
              </w:rPr>
              <w:t>(1)</w:t>
            </w:r>
          </w:p>
        </w:tc>
        <w:tc>
          <w:tcPr>
            <w:tcW w:w="0" w:type="dxa"/>
            <w:vAlign w:val="bottom"/>
          </w:tcPr>
          <w:p>
            <w:pPr>
              <w:spacing w:after="0"/>
              <w:rPr>
                <w:sz w:val="1"/>
                <w:szCs w:val="1"/>
                <w:color w:val="auto"/>
              </w:rPr>
            </w:pPr>
          </w:p>
        </w:tc>
      </w:tr>
      <w:tr>
        <w:trPr>
          <w:trHeight w:val="169"/>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177,480,425</w:t>
            </w:r>
          </w:p>
        </w:tc>
        <w:tc>
          <w:tcPr>
            <w:tcW w:w="2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Broker/Dealer bids or quotes</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754,003,640</w:t>
            </w:r>
          </w:p>
        </w:tc>
        <w:tc>
          <w:tcPr>
            <w:tcW w:w="20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7"/>
              </w:rPr>
              <w:t>Market Yield</w:t>
            </w:r>
          </w:p>
        </w:tc>
        <w:tc>
          <w:tcPr>
            <w:tcW w:w="12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5.6% – 13.0% (7.5%)</w:t>
            </w:r>
          </w:p>
        </w:tc>
        <w:tc>
          <w:tcPr>
            <w:tcW w:w="0" w:type="dxa"/>
            <w:vAlign w:val="bottom"/>
          </w:tcPr>
          <w:p>
            <w:pPr>
              <w:spacing w:after="0"/>
              <w:rPr>
                <w:sz w:val="1"/>
                <w:szCs w:val="1"/>
                <w:color w:val="auto"/>
              </w:rPr>
            </w:pPr>
          </w:p>
        </w:tc>
      </w:tr>
      <w:tr>
        <w:trPr>
          <w:trHeight w:val="176"/>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8,084,823</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7"/>
              </w:rPr>
              <w:t>Market Yield</w:t>
            </w:r>
          </w:p>
        </w:tc>
        <w:tc>
          <w:tcPr>
            <w:tcW w:w="1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11.0% – 14.0% (11.8%)</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2,934,204</w:t>
            </w:r>
          </w:p>
        </w:tc>
        <w:tc>
          <w:tcPr>
            <w:tcW w:w="20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2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8"/>
              </w:rPr>
              <w:t>1.8x</w:t>
            </w:r>
          </w:p>
        </w:tc>
        <w:tc>
          <w:tcPr>
            <w:tcW w:w="0" w:type="dxa"/>
            <w:vAlign w:val="bottom"/>
          </w:tcPr>
          <w:p>
            <w:pPr>
              <w:spacing w:after="0"/>
              <w:rPr>
                <w:sz w:val="1"/>
                <w:szCs w:val="1"/>
                <w:color w:val="auto"/>
              </w:rPr>
            </w:pPr>
          </w:p>
        </w:tc>
      </w:tr>
      <w:tr>
        <w:trPr>
          <w:trHeight w:val="175"/>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864,289</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EBITDA multiple</w:t>
            </w:r>
          </w:p>
        </w:tc>
        <w:tc>
          <w:tcPr>
            <w:tcW w:w="1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8"/>
              </w:rPr>
              <w:t>5.4x</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70,252,783</w:t>
            </w:r>
          </w:p>
        </w:tc>
        <w:tc>
          <w:tcPr>
            <w:tcW w:w="20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2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4.7x – 18.5x (11.5x)</w:t>
            </w:r>
          </w:p>
        </w:tc>
        <w:tc>
          <w:tcPr>
            <w:tcW w:w="0" w:type="dxa"/>
            <w:vAlign w:val="bottom"/>
          </w:tcPr>
          <w:p>
            <w:pPr>
              <w:spacing w:after="0"/>
              <w:rPr>
                <w:sz w:val="1"/>
                <w:szCs w:val="1"/>
                <w:color w:val="auto"/>
              </w:rPr>
            </w:pPr>
          </w:p>
        </w:tc>
      </w:tr>
      <w:tr>
        <w:trPr>
          <w:trHeight w:val="175"/>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7,569,161</w:t>
            </w:r>
          </w:p>
        </w:tc>
        <w:tc>
          <w:tcPr>
            <w:tcW w:w="2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DLOM</w:t>
            </w:r>
          </w:p>
        </w:tc>
        <w:tc>
          <w:tcPr>
            <w:tcW w:w="190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9.3%</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CFF"/>
            </w:tcBorders>
            <w:gridSpan w:val="2"/>
            <w:shd w:val="clear" w:color="auto" w:fill="CCECFF"/>
          </w:tcPr>
          <w:p>
            <w:pPr>
              <w:ind w:left="200"/>
              <w:spacing w:after="0"/>
              <w:rPr>
                <w:sz w:val="20"/>
                <w:szCs w:val="20"/>
                <w:color w:val="auto"/>
              </w:rPr>
            </w:pPr>
            <w:r>
              <w:rPr>
                <w:rFonts w:ascii="Arial" w:cs="Arial" w:eastAsia="Arial" w:hAnsi="Arial"/>
                <w:sz w:val="14"/>
                <w:szCs w:val="14"/>
                <w:color w:val="auto"/>
              </w:rPr>
              <w:t>Total Level 3 investments</w:t>
            </w:r>
          </w:p>
        </w:tc>
        <w:tc>
          <w:tcPr>
            <w:tcW w:w="18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1,021,189,325</w:t>
            </w:r>
          </w:p>
        </w:tc>
        <w:tc>
          <w:tcPr>
            <w:tcW w:w="20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19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Long-Term Credit Facility</w:t>
            </w:r>
          </w:p>
        </w:tc>
        <w:tc>
          <w:tcPr>
            <w:tcW w:w="6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218,851,500</w:t>
            </w:r>
          </w:p>
        </w:tc>
        <w:tc>
          <w:tcPr>
            <w:tcW w:w="200" w:type="dxa"/>
            <w:vAlign w:val="bottom"/>
          </w:tcPr>
          <w:p>
            <w:pPr>
              <w:spacing w:after="0"/>
              <w:rPr>
                <w:sz w:val="13"/>
                <w:szCs w:val="13"/>
                <w:color w:val="auto"/>
              </w:rPr>
            </w:pPr>
          </w:p>
        </w:tc>
        <w:tc>
          <w:tcPr>
            <w:tcW w:w="1780" w:type="dxa"/>
            <w:vAlign w:val="bottom"/>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3"/>
                <w:szCs w:val="13"/>
                <w:color w:val="auto"/>
              </w:rPr>
            </w:pPr>
          </w:p>
        </w:tc>
        <w:tc>
          <w:tcPr>
            <w:tcW w:w="1940" w:type="dxa"/>
            <w:vAlign w:val="bottom"/>
          </w:tcPr>
          <w:p>
            <w:pPr>
              <w:jc w:val="center"/>
              <w:spacing w:after="0" w:line="155" w:lineRule="exact"/>
              <w:rPr>
                <w:sz w:val="20"/>
                <w:szCs w:val="20"/>
                <w:color w:val="auto"/>
              </w:rPr>
            </w:pPr>
            <w:r>
              <w:rPr>
                <w:rFonts w:ascii="Arial" w:cs="Arial" w:eastAsia="Arial" w:hAnsi="Arial"/>
                <w:sz w:val="14"/>
                <w:szCs w:val="14"/>
                <w:color w:val="auto"/>
                <w:w w:val="97"/>
              </w:rPr>
              <w:t>Market Yield</w:t>
            </w:r>
          </w:p>
        </w:tc>
        <w:tc>
          <w:tcPr>
            <w:tcW w:w="1900" w:type="dxa"/>
            <w:vAlign w:val="bottom"/>
            <w:gridSpan w:val="2"/>
          </w:tcPr>
          <w:p>
            <w:pPr>
              <w:jc w:val="center"/>
              <w:ind w:left="48"/>
              <w:spacing w:after="0" w:line="155" w:lineRule="exact"/>
              <w:rPr>
                <w:sz w:val="20"/>
                <w:szCs w:val="20"/>
                <w:color w:val="auto"/>
              </w:rPr>
            </w:pPr>
            <w:r>
              <w:rPr>
                <w:rFonts w:ascii="Arial" w:cs="Arial" w:eastAsia="Arial" w:hAnsi="Arial"/>
                <w:sz w:val="14"/>
                <w:szCs w:val="14"/>
                <w:color w:val="auto"/>
                <w:w w:val="93"/>
              </w:rPr>
              <w:t>2.1%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-1693545</wp:posOffset>
            </wp:positionV>
            <wp:extent cx="2540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-1439545</wp:posOffset>
            </wp:positionV>
            <wp:extent cx="254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-1422400</wp:posOffset>
            </wp:positionV>
            <wp:extent cx="254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-196215</wp:posOffset>
            </wp:positionV>
            <wp:extent cx="254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-179070</wp:posOffset>
            </wp:positionV>
            <wp:extent cx="254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ind w:left="380" w:hanging="372"/>
        <w:spacing w:after="0" w:line="220" w:lineRule="auto"/>
        <w:tabs>
          <w:tab w:leader="none" w:pos="38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The weighted averages disclosed in the table above were weighted by their relative fair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right="40" w:firstLine="449"/>
        <w:spacing w:after="0" w:line="273" w:lineRule="auto"/>
        <w:rPr>
          <w:sz w:val="20"/>
          <w:szCs w:val="20"/>
          <w:color w:val="auto"/>
        </w:rPr>
      </w:pPr>
      <w:r>
        <w:rPr>
          <w:rFonts w:ascii="Arial" w:cs="Arial" w:eastAsia="Arial" w:hAnsi="Arial"/>
          <w:sz w:val="14"/>
          <w:szCs w:val="14"/>
          <w:color w:val="auto"/>
        </w:rPr>
        <w:t>Our investments, cash and cash equivalents, Credit Facility or Prior Credit Facility, as applicable, 2023 Notes, 2026 Notes and 2031 Asset-Backed Debt were categorized as follows in the fair value hierarchy for ASC 820 purposes::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Fair Value at December 31, 2021</w:t>
            </w: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1"/>
                <w:szCs w:val="11"/>
                <w:color w:val="auto"/>
              </w:rPr>
            </w:pP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68"/>
              <w:spacing w:after="0" w:line="129" w:lineRule="exact"/>
              <w:rPr>
                <w:sz w:val="20"/>
                <w:szCs w:val="20"/>
                <w:color w:val="auto"/>
              </w:rPr>
            </w:pPr>
            <w:r>
              <w:rPr>
                <w:rFonts w:ascii="Arial" w:cs="Arial" w:eastAsia="Arial" w:hAnsi="Arial"/>
                <w:sz w:val="14"/>
                <w:szCs w:val="14"/>
                <w:b w:val="1"/>
                <w:bCs w:val="1"/>
                <w:color w:val="auto"/>
                <w:w w:val="94"/>
              </w:rPr>
              <w:t>Measured at 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48"/>
              <w:spacing w:after="0" w:line="189" w:lineRule="exact"/>
              <w:rPr>
                <w:sz w:val="20"/>
                <w:szCs w:val="20"/>
                <w:color w:val="auto"/>
              </w:rPr>
            </w:pPr>
            <w:r>
              <w:rPr>
                <w:rFonts w:ascii="Arial" w:cs="Arial" w:eastAsia="Arial" w:hAnsi="Arial"/>
                <w:sz w:val="14"/>
                <w:szCs w:val="14"/>
                <w:b w:val="1"/>
                <w:bCs w:val="1"/>
                <w:color w:val="auto"/>
                <w:w w:val="95"/>
              </w:rPr>
              <w:t xml:space="preserve">Asset Value </w:t>
            </w:r>
            <w:r>
              <w:rPr>
                <w:rFonts w:ascii="Arial" w:cs="Arial" w:eastAsia="Arial" w:hAnsi="Arial"/>
                <w:sz w:val="19"/>
                <w:szCs w:val="19"/>
                <w:b w:val="1"/>
                <w:bCs w:val="1"/>
                <w:color w:val="auto"/>
                <w:w w:val="95"/>
                <w:vertAlign w:val="superscript"/>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80" w:type="dxa"/>
            <w:vAlign w:val="bottom"/>
            <w:tcBorders>
              <w:top w:val="single" w:sz="8" w:color="auto"/>
            </w:tcBorders>
            <w:gridSpan w:val="2"/>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1,024,838,319</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1,024,838,319</w:t>
            </w:r>
          </w:p>
        </w:tc>
        <w:tc>
          <w:tcPr>
            <w:tcW w:w="1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gridSpan w:val="3"/>
          </w:tcPr>
          <w:p>
            <w:pPr>
              <w:ind w:left="20"/>
              <w:spacing w:after="0"/>
              <w:rPr>
                <w:sz w:val="20"/>
                <w:szCs w:val="20"/>
                <w:color w:val="auto"/>
              </w:rPr>
            </w:pPr>
            <w:r>
              <w:rPr>
                <w:rFonts w:ascii="Arial" w:cs="Arial" w:eastAsia="Arial" w:hAnsi="Arial"/>
                <w:sz w:val="14"/>
                <w:szCs w:val="14"/>
                <w:color w:val="auto"/>
              </w:rPr>
              <w:t>Second lien</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4,439,713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4,439,713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220" w:type="dxa"/>
            <w:vAlign w:val="bottom"/>
            <w:tcBorders>
              <w:bottom w:val="single" w:sz="8" w:color="auto"/>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150,543,510</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90,975,342</w:t>
            </w:r>
          </w:p>
        </w:tc>
        <w:tc>
          <w:tcPr>
            <w:tcW w:w="18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59,568,168</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500" w:type="dxa"/>
            <w:vAlign w:val="bottom"/>
            <w:gridSpan w:val="2"/>
          </w:tcPr>
          <w:p>
            <w:pPr>
              <w:ind w:left="60"/>
              <w:spacing w:after="0"/>
              <w:rPr>
                <w:sz w:val="20"/>
                <w:szCs w:val="20"/>
                <w:color w:val="auto"/>
              </w:rPr>
            </w:pPr>
            <w:r>
              <w:rPr>
                <w:rFonts w:ascii="Arial" w:cs="Arial" w:eastAsia="Arial" w:hAnsi="Arial"/>
                <w:sz w:val="14"/>
                <w:szCs w:val="14"/>
                <w:color w:val="auto"/>
              </w:rPr>
              <w:t>Total investments</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1,179,821,542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1,120,253,374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59,568,168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2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61,266,942</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61,266,942</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500" w:type="dxa"/>
            <w:vAlign w:val="bottom"/>
            <w:gridSpan w:val="2"/>
          </w:tcPr>
          <w:p>
            <w:pPr>
              <w:ind w:left="60"/>
              <w:spacing w:after="0"/>
              <w:rPr>
                <w:sz w:val="20"/>
                <w:szCs w:val="20"/>
                <w:color w:val="auto"/>
              </w:rPr>
            </w:pPr>
            <w:r>
              <w:rPr>
                <w:rFonts w:ascii="Arial" w:cs="Arial" w:eastAsia="Arial" w:hAnsi="Arial"/>
                <w:sz w:val="14"/>
                <w:szCs w:val="14"/>
                <w:color w:val="auto"/>
              </w:rPr>
              <w:t>Total investments and cash and cash equivalents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1,241,088,484</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61,266,942</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1,120,253,374</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59,568,168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gridSpan w:val="3"/>
            <w:shd w:val="clear" w:color="auto" w:fill="CCECFF"/>
          </w:tcPr>
          <w:p>
            <w:pPr>
              <w:ind w:left="20"/>
              <w:spacing w:after="0" w:line="156" w:lineRule="exact"/>
              <w:rPr>
                <w:sz w:val="20"/>
                <w:szCs w:val="20"/>
                <w:color w:val="auto"/>
              </w:rPr>
            </w:pPr>
            <w:r>
              <w:rPr>
                <w:rFonts w:ascii="Arial" w:cs="Arial" w:eastAsia="Arial" w:hAnsi="Arial"/>
                <w:sz w:val="14"/>
                <w:szCs w:val="14"/>
                <w:color w:val="auto"/>
              </w:rPr>
              <w:t>Credit Facility payable</w:t>
            </w:r>
          </w:p>
        </w:tc>
        <w:tc>
          <w:tcPr>
            <w:tcW w:w="220" w:type="dxa"/>
            <w:vAlign w:val="bottom"/>
            <w:tcBorders>
              <w:top w:val="single" w:sz="8" w:color="auto"/>
            </w:tcBorders>
            <w:shd w:val="clear" w:color="auto" w:fill="CCECFF"/>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256,670,500</w:t>
            </w:r>
          </w:p>
        </w:tc>
        <w:tc>
          <w:tcPr>
            <w:tcW w:w="20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256,670,500</w:t>
            </w:r>
          </w:p>
        </w:tc>
        <w:tc>
          <w:tcPr>
            <w:tcW w:w="18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0" w:type="dxa"/>
            <w:vAlign w:val="bottom"/>
          </w:tcPr>
          <w:p>
            <w:pPr>
              <w:ind w:left="20"/>
              <w:spacing w:after="0"/>
              <w:rPr>
                <w:sz w:val="20"/>
                <w:szCs w:val="20"/>
                <w:color w:val="auto"/>
              </w:rPr>
            </w:pPr>
            <w:r>
              <w:rPr>
                <w:rFonts w:ascii="Arial" w:cs="Arial" w:eastAsia="Arial" w:hAnsi="Arial"/>
                <w:sz w:val="14"/>
                <w:szCs w:val="14"/>
                <w:color w:val="auto"/>
                <w:w w:val="89"/>
              </w:rPr>
              <w:t>2023</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Notes payable</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86,150,940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86,150,940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shd w:val="clear" w:color="auto" w:fill="CCECFF"/>
          </w:tcPr>
          <w:p>
            <w:pPr>
              <w:ind w:left="20"/>
              <w:spacing w:after="0"/>
              <w:rPr>
                <w:sz w:val="20"/>
                <w:szCs w:val="20"/>
                <w:color w:val="auto"/>
              </w:rPr>
            </w:pPr>
            <w:r>
              <w:rPr>
                <w:rFonts w:ascii="Arial" w:cs="Arial" w:eastAsia="Arial" w:hAnsi="Arial"/>
                <w:sz w:val="14"/>
                <w:szCs w:val="14"/>
                <w:color w:val="auto"/>
                <w:w w:val="89"/>
              </w:rPr>
              <w:t>2026</w:t>
            </w:r>
          </w:p>
        </w:tc>
        <w:tc>
          <w:tcPr>
            <w:tcW w:w="3500" w:type="dxa"/>
            <w:vAlign w:val="bottom"/>
            <w:gridSpan w:val="2"/>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Notes payable </w:t>
            </w:r>
            <w:r>
              <w:rPr>
                <w:rFonts w:ascii="Arial" w:cs="Arial" w:eastAsia="Arial" w:hAnsi="Arial"/>
                <w:sz w:val="19"/>
                <w:szCs w:val="19"/>
                <w:color w:val="auto"/>
                <w:vertAlign w:val="superscript"/>
              </w:rPr>
              <w:t>(2)</w:t>
            </w:r>
          </w:p>
        </w:tc>
        <w:tc>
          <w:tcPr>
            <w:tcW w:w="2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181,693,294</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181,693,294</w:t>
            </w: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Pr>
          <w:p>
            <w:pPr>
              <w:ind w:left="20"/>
              <w:spacing w:after="0"/>
              <w:rPr>
                <w:sz w:val="20"/>
                <w:szCs w:val="20"/>
                <w:color w:val="auto"/>
              </w:rPr>
            </w:pPr>
            <w:r>
              <w:rPr>
                <w:rFonts w:ascii="Arial" w:cs="Arial" w:eastAsia="Arial" w:hAnsi="Arial"/>
                <w:sz w:val="14"/>
                <w:szCs w:val="14"/>
                <w:color w:val="auto"/>
                <w:w w:val="89"/>
              </w:rPr>
              <w:t>2031</w:t>
            </w:r>
          </w:p>
        </w:tc>
        <w:tc>
          <w:tcPr>
            <w:tcW w:w="350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Asset-Backed Debt</w:t>
            </w:r>
            <w:r>
              <w:rPr>
                <w:rFonts w:ascii="Arial" w:cs="Arial" w:eastAsia="Arial" w:hAnsi="Arial"/>
                <w:sz w:val="19"/>
                <w:szCs w:val="19"/>
                <w:color w:val="auto"/>
                <w:vertAlign w:val="superscript"/>
              </w:rPr>
              <w:t>(2)</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225,654,887</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225,654,887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CCECFF"/>
            </w:tcBorders>
            <w:shd w:val="clear" w:color="auto" w:fill="CCECFF"/>
          </w:tcPr>
          <w:p>
            <w:pPr>
              <w:spacing w:after="0"/>
              <w:rPr>
                <w:sz w:val="18"/>
                <w:szCs w:val="18"/>
                <w:color w:val="auto"/>
              </w:rPr>
            </w:pPr>
          </w:p>
        </w:tc>
        <w:tc>
          <w:tcPr>
            <w:tcW w:w="3500" w:type="dxa"/>
            <w:vAlign w:val="bottom"/>
            <w:tcBorders>
              <w:bottom w:val="single" w:sz="8" w:color="CCECFF"/>
            </w:tcBorders>
            <w:gridSpan w:val="2"/>
            <w:shd w:val="clear" w:color="auto" w:fill="CCECFF"/>
          </w:tcPr>
          <w:p>
            <w:pPr>
              <w:ind w:left="60"/>
              <w:spacing w:after="0"/>
              <w:rPr>
                <w:sz w:val="20"/>
                <w:szCs w:val="20"/>
                <w:color w:val="auto"/>
              </w:rPr>
            </w:pPr>
            <w:r>
              <w:rPr>
                <w:rFonts w:ascii="Arial" w:cs="Arial" w:eastAsia="Arial" w:hAnsi="Arial"/>
                <w:sz w:val="14"/>
                <w:szCs w:val="14"/>
                <w:color w:val="auto"/>
              </w:rPr>
              <w:t>Total debt</w:t>
            </w:r>
          </w:p>
        </w:tc>
        <w:tc>
          <w:tcPr>
            <w:tcW w:w="220" w:type="dxa"/>
            <w:vAlign w:val="bottom"/>
            <w:tcBorders>
              <w:bottom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750,169,621</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86,150,940</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181,693,294</w:t>
            </w: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482,325,387</w:t>
            </w:r>
          </w:p>
        </w:tc>
        <w:tc>
          <w:tcPr>
            <w:tcW w:w="1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-973455</wp:posOffset>
            </wp:positionV>
            <wp:extent cx="3429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-973455</wp:posOffset>
            </wp:positionV>
            <wp:extent cx="3429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-973455</wp:posOffset>
            </wp:positionV>
            <wp:extent cx="3429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-973455</wp:posOffset>
            </wp:positionV>
            <wp:extent cx="2603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-973455</wp:posOffset>
            </wp:positionV>
            <wp:extent cx="2603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-733425</wp:posOffset>
            </wp:positionV>
            <wp:extent cx="3429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-733425</wp:posOffset>
            </wp:positionV>
            <wp:extent cx="3429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-733425</wp:posOffset>
            </wp:positionV>
            <wp:extent cx="3429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-733425</wp:posOffset>
            </wp:positionV>
            <wp:extent cx="2603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-733425</wp:posOffset>
            </wp:positionV>
            <wp:extent cx="2603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342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342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342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342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342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342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260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260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3" w:lineRule="exact"/>
        <w:rPr>
          <w:sz w:val="20"/>
          <w:szCs w:val="20"/>
          <w:color w:val="auto"/>
        </w:rPr>
      </w:pPr>
    </w:p>
    <w:p>
      <w:pPr>
        <w:ind w:left="380" w:right="360" w:hanging="372"/>
        <w:spacing w:after="0" w:line="201" w:lineRule="auto"/>
        <w:tabs>
          <w:tab w:leader="none" w:pos="38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ind w:left="380" w:right="100" w:hanging="372"/>
        <w:spacing w:after="0" w:line="201" w:lineRule="auto"/>
        <w:tabs>
          <w:tab w:leader="none" w:pos="38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Fair Value at September 30, 2021</w:t>
            </w: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1"/>
                <w:szCs w:val="11"/>
                <w:color w:val="auto"/>
              </w:rPr>
            </w:pP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68"/>
              <w:spacing w:after="0" w:line="129" w:lineRule="exact"/>
              <w:rPr>
                <w:sz w:val="20"/>
                <w:szCs w:val="20"/>
                <w:color w:val="auto"/>
              </w:rPr>
            </w:pPr>
            <w:r>
              <w:rPr>
                <w:rFonts w:ascii="Arial" w:cs="Arial" w:eastAsia="Arial" w:hAnsi="Arial"/>
                <w:sz w:val="14"/>
                <w:szCs w:val="14"/>
                <w:b w:val="1"/>
                <w:bCs w:val="1"/>
                <w:color w:val="auto"/>
                <w:w w:val="94"/>
              </w:rPr>
              <w:t>Measured at 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48"/>
              <w:spacing w:after="0" w:line="189" w:lineRule="exact"/>
              <w:rPr>
                <w:sz w:val="20"/>
                <w:szCs w:val="20"/>
                <w:color w:val="auto"/>
              </w:rPr>
            </w:pPr>
            <w:r>
              <w:rPr>
                <w:rFonts w:ascii="Arial" w:cs="Arial" w:eastAsia="Arial" w:hAnsi="Arial"/>
                <w:sz w:val="14"/>
                <w:szCs w:val="14"/>
                <w:b w:val="1"/>
                <w:bCs w:val="1"/>
                <w:color w:val="auto"/>
                <w:w w:val="95"/>
              </w:rPr>
              <w:t xml:space="preserve">Asset Value </w:t>
            </w:r>
            <w:r>
              <w:rPr>
                <w:rFonts w:ascii="Arial" w:cs="Arial" w:eastAsia="Arial" w:hAnsi="Arial"/>
                <w:sz w:val="19"/>
                <w:szCs w:val="19"/>
                <w:b w:val="1"/>
                <w:bCs w:val="1"/>
                <w:color w:val="auto"/>
                <w:w w:val="95"/>
                <w:vertAlign w:val="superscript"/>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80" w:type="dxa"/>
            <w:vAlign w:val="bottom"/>
            <w:tcBorders>
              <w:top w:val="single" w:sz="8" w:color="auto"/>
            </w:tcBorders>
            <w:gridSpan w:val="2"/>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934,418,269</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934,418,269</w:t>
            </w:r>
          </w:p>
        </w:tc>
        <w:tc>
          <w:tcPr>
            <w:tcW w:w="1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gridSpan w:val="3"/>
          </w:tcPr>
          <w:p>
            <w:pPr>
              <w:ind w:left="20"/>
              <w:spacing w:after="0"/>
              <w:rPr>
                <w:sz w:val="20"/>
                <w:szCs w:val="20"/>
                <w:color w:val="auto"/>
              </w:rPr>
            </w:pPr>
            <w:r>
              <w:rPr>
                <w:rFonts w:ascii="Arial" w:cs="Arial" w:eastAsia="Arial" w:hAnsi="Arial"/>
                <w:sz w:val="14"/>
                <w:szCs w:val="14"/>
                <w:color w:val="auto"/>
              </w:rPr>
              <w:t>Second lien</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8,949,112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8,949,112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220" w:type="dxa"/>
            <w:vAlign w:val="bottom"/>
            <w:tcBorders>
              <w:bottom w:val="single" w:sz="8" w:color="auto"/>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138,252,031</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77,821,944</w:t>
            </w:r>
          </w:p>
        </w:tc>
        <w:tc>
          <w:tcPr>
            <w:tcW w:w="18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60,430,087</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500" w:type="dxa"/>
            <w:vAlign w:val="bottom"/>
            <w:gridSpan w:val="2"/>
          </w:tcPr>
          <w:p>
            <w:pPr>
              <w:ind w:left="60"/>
              <w:spacing w:after="0"/>
              <w:rPr>
                <w:sz w:val="20"/>
                <w:szCs w:val="20"/>
                <w:color w:val="auto"/>
              </w:rPr>
            </w:pPr>
            <w:r>
              <w:rPr>
                <w:rFonts w:ascii="Arial" w:cs="Arial" w:eastAsia="Arial" w:hAnsi="Arial"/>
                <w:sz w:val="14"/>
                <w:szCs w:val="14"/>
                <w:color w:val="auto"/>
              </w:rPr>
              <w:t>Total investments</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1,081,619,412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1,021,189,325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60,430,087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2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49,825,527</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49,825,527</w:t>
            </w:r>
          </w:p>
        </w:tc>
        <w:tc>
          <w:tcPr>
            <w:tcW w:w="2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500" w:type="dxa"/>
            <w:vAlign w:val="bottom"/>
            <w:gridSpan w:val="2"/>
          </w:tcPr>
          <w:p>
            <w:pPr>
              <w:ind w:left="60"/>
              <w:spacing w:after="0"/>
              <w:rPr>
                <w:sz w:val="20"/>
                <w:szCs w:val="20"/>
                <w:color w:val="auto"/>
              </w:rPr>
            </w:pPr>
            <w:r>
              <w:rPr>
                <w:rFonts w:ascii="Arial" w:cs="Arial" w:eastAsia="Arial" w:hAnsi="Arial"/>
                <w:sz w:val="14"/>
                <w:szCs w:val="14"/>
                <w:color w:val="auto"/>
              </w:rPr>
              <w:t>Total investments and cash and cash equivalents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1,131,444,939</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49,825,527</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1,021,189,325</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60,430,087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gridSpan w:val="3"/>
            <w:shd w:val="clear" w:color="auto" w:fill="CCECFF"/>
          </w:tcPr>
          <w:p>
            <w:pPr>
              <w:ind w:left="20"/>
              <w:spacing w:after="0" w:line="156" w:lineRule="exact"/>
              <w:rPr>
                <w:sz w:val="20"/>
                <w:szCs w:val="20"/>
                <w:color w:val="auto"/>
              </w:rPr>
            </w:pPr>
            <w:r>
              <w:rPr>
                <w:rFonts w:ascii="Arial" w:cs="Arial" w:eastAsia="Arial" w:hAnsi="Arial"/>
                <w:sz w:val="14"/>
                <w:szCs w:val="14"/>
                <w:color w:val="auto"/>
              </w:rPr>
              <w:t>Credit Facility payable</w:t>
            </w:r>
          </w:p>
        </w:tc>
        <w:tc>
          <w:tcPr>
            <w:tcW w:w="220" w:type="dxa"/>
            <w:vAlign w:val="bottom"/>
            <w:tcBorders>
              <w:top w:val="single" w:sz="8" w:color="auto"/>
            </w:tcBorders>
            <w:shd w:val="clear" w:color="auto" w:fill="CCECFF"/>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218,851,500</w:t>
            </w:r>
          </w:p>
        </w:tc>
        <w:tc>
          <w:tcPr>
            <w:tcW w:w="20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218,851,500</w:t>
            </w:r>
          </w:p>
        </w:tc>
        <w:tc>
          <w:tcPr>
            <w:tcW w:w="18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4"/>
                <w:szCs w:val="14"/>
                <w:color w:val="auto"/>
                <w:w w:val="89"/>
              </w:rPr>
              <w:t>2023</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Notes payable</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111,114,023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111,114,023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shd w:val="clear" w:color="auto" w:fill="CCECFF"/>
          </w:tcPr>
          <w:p>
            <w:pPr>
              <w:ind w:left="20"/>
              <w:spacing w:after="0"/>
              <w:rPr>
                <w:sz w:val="20"/>
                <w:szCs w:val="20"/>
                <w:color w:val="auto"/>
              </w:rPr>
            </w:pPr>
            <w:r>
              <w:rPr>
                <w:rFonts w:ascii="Arial" w:cs="Arial" w:eastAsia="Arial" w:hAnsi="Arial"/>
                <w:sz w:val="14"/>
                <w:szCs w:val="14"/>
                <w:color w:val="auto"/>
                <w:w w:val="89"/>
              </w:rPr>
              <w:t>2026</w:t>
            </w:r>
          </w:p>
        </w:tc>
        <w:tc>
          <w:tcPr>
            <w:tcW w:w="3500" w:type="dxa"/>
            <w:vAlign w:val="bottom"/>
            <w:gridSpan w:val="2"/>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Notes payable </w:t>
            </w:r>
            <w:r>
              <w:rPr>
                <w:rFonts w:ascii="Arial" w:cs="Arial" w:eastAsia="Arial" w:hAnsi="Arial"/>
                <w:sz w:val="19"/>
                <w:szCs w:val="19"/>
                <w:color w:val="auto"/>
                <w:vertAlign w:val="superscript"/>
              </w:rPr>
              <w:t>(2)</w:t>
            </w:r>
          </w:p>
        </w:tc>
        <w:tc>
          <w:tcPr>
            <w:tcW w:w="2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97,170,665</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97,170,665</w:t>
            </w: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4"/>
                <w:szCs w:val="14"/>
                <w:color w:val="auto"/>
                <w:w w:val="89"/>
              </w:rPr>
              <w:t>2031</w:t>
            </w:r>
          </w:p>
        </w:tc>
        <w:tc>
          <w:tcPr>
            <w:tcW w:w="350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Asset-Backed Debt</w:t>
            </w:r>
            <w:r>
              <w:rPr>
                <w:rFonts w:ascii="Arial" w:cs="Arial" w:eastAsia="Arial" w:hAnsi="Arial"/>
                <w:sz w:val="19"/>
                <w:szCs w:val="19"/>
                <w:color w:val="auto"/>
                <w:vertAlign w:val="superscript"/>
              </w:rPr>
              <w:t>(2)</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225,497,177</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225,497,177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CCECFF"/>
            </w:tcBorders>
            <w:shd w:val="clear" w:color="auto" w:fill="CCECFF"/>
          </w:tcPr>
          <w:p>
            <w:pPr>
              <w:spacing w:after="0"/>
              <w:rPr>
                <w:sz w:val="18"/>
                <w:szCs w:val="18"/>
                <w:color w:val="auto"/>
              </w:rPr>
            </w:pPr>
          </w:p>
        </w:tc>
        <w:tc>
          <w:tcPr>
            <w:tcW w:w="3500" w:type="dxa"/>
            <w:vAlign w:val="bottom"/>
            <w:tcBorders>
              <w:bottom w:val="single" w:sz="8" w:color="CCECFF"/>
            </w:tcBorders>
            <w:gridSpan w:val="2"/>
            <w:shd w:val="clear" w:color="auto" w:fill="CCECFF"/>
          </w:tcPr>
          <w:p>
            <w:pPr>
              <w:ind w:left="60"/>
              <w:spacing w:after="0"/>
              <w:rPr>
                <w:sz w:val="20"/>
                <w:szCs w:val="20"/>
                <w:color w:val="auto"/>
              </w:rPr>
            </w:pPr>
            <w:r>
              <w:rPr>
                <w:rFonts w:ascii="Arial" w:cs="Arial" w:eastAsia="Arial" w:hAnsi="Arial"/>
                <w:sz w:val="14"/>
                <w:szCs w:val="14"/>
                <w:color w:val="auto"/>
              </w:rPr>
              <w:t>Total debt</w:t>
            </w:r>
          </w:p>
        </w:tc>
        <w:tc>
          <w:tcPr>
            <w:tcW w:w="220" w:type="dxa"/>
            <w:vAlign w:val="bottom"/>
            <w:tcBorders>
              <w:bottom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652,633,365</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111,114,023</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97,170,665</w:t>
            </w: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444,348,677</w:t>
            </w:r>
          </w:p>
        </w:tc>
        <w:tc>
          <w:tcPr>
            <w:tcW w:w="1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-973455</wp:posOffset>
            </wp:positionV>
            <wp:extent cx="3429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-973455</wp:posOffset>
            </wp:positionV>
            <wp:extent cx="3429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-973455</wp:posOffset>
            </wp:positionV>
            <wp:extent cx="3429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-973455</wp:posOffset>
            </wp:positionV>
            <wp:extent cx="26035"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-973455</wp:posOffset>
            </wp:positionV>
            <wp:extent cx="2603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-733425</wp:posOffset>
            </wp:positionV>
            <wp:extent cx="3429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-733425</wp:posOffset>
            </wp:positionV>
            <wp:extent cx="3429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-733425</wp:posOffset>
            </wp:positionV>
            <wp:extent cx="3429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-733425</wp:posOffset>
            </wp:positionV>
            <wp:extent cx="26035"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-733425</wp:posOffset>
            </wp:positionV>
            <wp:extent cx="26035"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342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342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342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342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342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342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260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260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-8255</wp:posOffset>
            </wp:positionV>
            <wp:extent cx="260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3" w:lineRule="exact"/>
        <w:rPr>
          <w:sz w:val="20"/>
          <w:szCs w:val="20"/>
          <w:color w:val="auto"/>
        </w:rPr>
      </w:pPr>
    </w:p>
    <w:p>
      <w:pPr>
        <w:ind w:left="380" w:right="80" w:hanging="372"/>
        <w:spacing w:after="0" w:line="201" w:lineRule="auto"/>
        <w:tabs>
          <w:tab w:leader="none" w:pos="38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 accordance with ASC Subtopic 820-10, Fair Value Measurements and Disclosures, or ASC 820-10, our equity investment in PSSL is measured using the net asset value per share (or its equivalent) as a practical expedient for fair value, and thus has not been classified in the fair value hierarchy.</w:t>
      </w:r>
    </w:p>
    <w:p>
      <w:pPr>
        <w:spacing w:after="0" w:line="13" w:lineRule="exact"/>
        <w:rPr>
          <w:rFonts w:ascii="Arial" w:cs="Arial" w:eastAsia="Arial" w:hAnsi="Arial"/>
          <w:sz w:val="16"/>
          <w:szCs w:val="16"/>
          <w:color w:val="auto"/>
          <w:vertAlign w:val="superscript"/>
        </w:rPr>
      </w:pPr>
    </w:p>
    <w:p>
      <w:pPr>
        <w:ind w:left="380" w:right="420" w:hanging="372"/>
        <w:spacing w:after="0" w:line="201" w:lineRule="auto"/>
        <w:tabs>
          <w:tab w:leader="none" w:pos="38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We elected not to apply the fair value option allowed by ASC 825-10 to the 2031 Asset-Backed Debt and thus the balance reported in the Consolidated Statement of Assets and Liabilities represents the carrying value, which approximates the fair value.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405447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111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111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Net change in unrealized depreciation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Purchases, PIK interest, net discount accretion and non-cash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117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Sales, repayments and non-cash exchanges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Transfers in and/or out of Level 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20" w:right="1060" w:hanging="107"/>
        <w:spacing w:after="0" w:line="238" w:lineRule="auto"/>
        <w:rPr>
          <w:sz w:val="20"/>
          <w:szCs w:val="20"/>
          <w:color w:val="auto"/>
        </w:rPr>
      </w:pPr>
      <w:r>
        <w:rPr>
          <w:rFonts w:ascii="Arial" w:cs="Arial" w:eastAsia="Arial" w:hAnsi="Arial"/>
          <w:sz w:val="14"/>
          <w:szCs w:val="14"/>
          <w:color w:val="auto"/>
        </w:rPr>
        <w:t>Net change in unrealized depreciation reported within the net change in unrealized depreciation on investments in our Consolidated Statements of Operations attributable to our Level 3 assets still held at the reporting date.</w:t>
      </w:r>
    </w:p>
    <w:p>
      <w:pPr>
        <w:spacing w:after="0" w:line="183"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Three months ended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First Lien</w:t>
            </w:r>
          </w:p>
        </w:tc>
        <w:tc>
          <w:tcPr>
            <w:tcW w:w="1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934,418,269</w:t>
            </w:r>
          </w:p>
        </w:tc>
        <w:tc>
          <w:tcPr>
            <w:tcW w:w="2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86,771,056</w:t>
            </w: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1,021,189,325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(86,946 )</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2,864,894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2,777,948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(211,471 )</w:t>
            </w:r>
          </w:p>
        </w:tc>
        <w:tc>
          <w:tcPr>
            <w:tcW w:w="14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(939,609 )</w:t>
            </w:r>
          </w:p>
        </w:tc>
        <w:tc>
          <w:tcPr>
            <w:tcW w:w="2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(1,151,080 )</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318,967,816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12,684,011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331,651,827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(228,249,348 )</w:t>
            </w:r>
          </w:p>
        </w:tc>
        <w:tc>
          <w:tcPr>
            <w:tcW w:w="14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(5,965,298 )</w:t>
            </w:r>
          </w:p>
        </w:tc>
        <w:tc>
          <w:tcPr>
            <w:tcW w:w="2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(234,214,646 )</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1,024,838,320</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95,415,054</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1,120,253,374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678,940</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(832,457 )</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(153,517 )</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840" w:space="720"/>
            <w:col w:w="4680"/>
          </w:cols>
          <w:pgMar w:left="320" w:top="118"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Three months ended December 31, 2020</w:t>
            </w: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First Lien</w:t>
            </w:r>
          </w:p>
        </w:tc>
        <w:tc>
          <w:tcPr>
            <w:tcW w:w="16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40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5"/>
        </w:trPr>
        <w:tc>
          <w:tcPr>
            <w:tcW w:w="6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4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4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968,615,748</w:t>
            </w:r>
          </w:p>
        </w:tc>
        <w:tc>
          <w:tcPr>
            <w:tcW w:w="24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78,402,145</w:t>
            </w:r>
          </w:p>
        </w:tc>
        <w:tc>
          <w:tcPr>
            <w:tcW w:w="200" w:type="dxa"/>
            <w:vAlign w:val="bottom"/>
            <w:shd w:val="clear" w:color="auto" w:fill="CCECFF"/>
          </w:tcPr>
          <w:p>
            <w:pPr>
              <w:spacing w:after="0"/>
              <w:rPr>
                <w:sz w:val="14"/>
                <w:szCs w:val="14"/>
                <w:color w:val="auto"/>
              </w:rPr>
            </w:pPr>
          </w:p>
        </w:tc>
        <w:tc>
          <w:tcPr>
            <w:tcW w:w="400" w:type="dxa"/>
            <w:vAlign w:val="bottom"/>
            <w:tcBorders>
              <w:top w:val="single" w:sz="8" w:color="auto"/>
            </w:tcBorders>
            <w:shd w:val="clear" w:color="auto" w:fill="CCEC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1,047,017,893</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gridSpan w:val="2"/>
          </w:tcPr>
          <w:p>
            <w:pPr>
              <w:ind w:left="380"/>
              <w:spacing w:after="0"/>
              <w:rPr>
                <w:sz w:val="20"/>
                <w:szCs w:val="20"/>
                <w:color w:val="auto"/>
              </w:rPr>
            </w:pPr>
            <w:r>
              <w:rPr>
                <w:rFonts w:ascii="Arial" w:cs="Arial" w:eastAsia="Arial" w:hAnsi="Arial"/>
                <w:sz w:val="14"/>
                <w:szCs w:val="14"/>
                <w:color w:val="auto"/>
              </w:rPr>
              <w:t>Net realized losses</w:t>
            </w:r>
          </w:p>
        </w:tc>
        <w:tc>
          <w:tcPr>
            <w:tcW w:w="24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(810,853 )</w:t>
            </w:r>
          </w:p>
        </w:tc>
        <w:tc>
          <w:tcPr>
            <w:tcW w:w="16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(1,102,977 )</w:t>
            </w:r>
          </w:p>
        </w:tc>
        <w:tc>
          <w:tcPr>
            <w:tcW w:w="4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(1,913,830 )</w:t>
            </w:r>
          </w:p>
        </w:tc>
        <w:tc>
          <w:tcPr>
            <w:tcW w:w="0" w:type="dxa"/>
            <w:vAlign w:val="bottom"/>
          </w:tcPr>
          <w:p>
            <w:pPr>
              <w:spacing w:after="0"/>
              <w:rPr>
                <w:sz w:val="1"/>
                <w:szCs w:val="1"/>
                <w:color w:val="auto"/>
              </w:rPr>
            </w:pPr>
          </w:p>
        </w:tc>
      </w:tr>
      <w:tr>
        <w:trPr>
          <w:trHeight w:val="176"/>
        </w:trPr>
        <w:tc>
          <w:tcPr>
            <w:tcW w:w="6600" w:type="dxa"/>
            <w:vAlign w:val="bottom"/>
            <w:gridSpan w:val="2"/>
            <w:shd w:val="clear" w:color="auto" w:fill="CCECFF"/>
          </w:tcPr>
          <w:p>
            <w:pPr>
              <w:ind w:left="380"/>
              <w:spacing w:after="0"/>
              <w:rPr>
                <w:sz w:val="20"/>
                <w:szCs w:val="20"/>
                <w:color w:val="auto"/>
              </w:rPr>
            </w:pPr>
            <w:r>
              <w:rPr>
                <w:rFonts w:ascii="Arial" w:cs="Arial" w:eastAsia="Arial" w:hAnsi="Arial"/>
                <w:sz w:val="14"/>
                <w:szCs w:val="14"/>
                <w:color w:val="auto"/>
              </w:rPr>
              <w:t>Net change in unrealized depreciation</w:t>
            </w:r>
          </w:p>
        </w:tc>
        <w:tc>
          <w:tcPr>
            <w:tcW w:w="24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8,161,152</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12,217,125</w:t>
            </w:r>
          </w:p>
        </w:tc>
        <w:tc>
          <w:tcPr>
            <w:tcW w:w="20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20,378,277</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gridSpan w:val="2"/>
          </w:tcPr>
          <w:p>
            <w:pPr>
              <w:ind w:left="38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64,022,024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4,550,204</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68,572,228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shd w:val="clear" w:color="auto" w:fill="CCECFF"/>
          </w:tcPr>
          <w:p>
            <w:pPr>
              <w:ind w:left="380"/>
              <w:spacing w:after="0"/>
              <w:rPr>
                <w:sz w:val="20"/>
                <w:szCs w:val="20"/>
                <w:color w:val="auto"/>
              </w:rPr>
            </w:pPr>
            <w:r>
              <w:rPr>
                <w:rFonts w:ascii="Arial" w:cs="Arial" w:eastAsia="Arial" w:hAnsi="Arial"/>
                <w:sz w:val="14"/>
                <w:szCs w:val="14"/>
                <w:color w:val="auto"/>
              </w:rPr>
              <w:t>Sales, repayments and non-cash exchanges</w:t>
            </w:r>
          </w:p>
        </w:tc>
        <w:tc>
          <w:tcPr>
            <w:tcW w:w="240" w:type="dxa"/>
            <w:vAlign w:val="bottom"/>
            <w:shd w:val="clear" w:color="auto" w:fill="CCECFF"/>
          </w:tcPr>
          <w:p>
            <w:pPr>
              <w:spacing w:after="0"/>
              <w:rPr>
                <w:sz w:val="15"/>
                <w:szCs w:val="15"/>
                <w:color w:val="auto"/>
              </w:rPr>
            </w:pPr>
          </w:p>
        </w:tc>
        <w:tc>
          <w:tcPr>
            <w:tcW w:w="13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(108,744,183 )</w:t>
            </w:r>
          </w:p>
        </w:tc>
        <w:tc>
          <w:tcPr>
            <w:tcW w:w="16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(859,808 )</w:t>
            </w:r>
          </w:p>
        </w:tc>
        <w:tc>
          <w:tcPr>
            <w:tcW w:w="40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(109,603,991 )</w:t>
            </w:r>
          </w:p>
        </w:tc>
        <w:tc>
          <w:tcPr>
            <w:tcW w:w="0" w:type="dxa"/>
            <w:vAlign w:val="bottom"/>
          </w:tcPr>
          <w:p>
            <w:pPr>
              <w:spacing w:after="0"/>
              <w:rPr>
                <w:sz w:val="1"/>
                <w:szCs w:val="1"/>
                <w:color w:val="auto"/>
              </w:rPr>
            </w:pPr>
          </w:p>
        </w:tc>
      </w:tr>
      <w:tr>
        <w:trPr>
          <w:trHeight w:val="176"/>
        </w:trPr>
        <w:tc>
          <w:tcPr>
            <w:tcW w:w="6600" w:type="dxa"/>
            <w:vAlign w:val="bottom"/>
            <w:gridSpan w:val="2"/>
          </w:tcPr>
          <w:p>
            <w:pPr>
              <w:ind w:left="380"/>
              <w:spacing w:after="0"/>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Ending Balance</w:t>
            </w: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931,243,888</w:t>
            </w:r>
          </w:p>
        </w:tc>
        <w:tc>
          <w:tcPr>
            <w:tcW w:w="24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93,206,689</w:t>
            </w:r>
          </w:p>
        </w:tc>
        <w:tc>
          <w:tcPr>
            <w:tcW w:w="20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top w:val="single" w:sz="8" w:color="auto"/>
              <w:bottom w:val="single" w:sz="8" w:color="auto"/>
            </w:tcBorders>
            <w:shd w:val="clear" w:color="auto" w:fill="CCEC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1,024,450,577</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6600" w:type="dxa"/>
            <w:vAlign w:val="bottom"/>
            <w:gridSpan w:val="2"/>
          </w:tcPr>
          <w:p>
            <w:pPr>
              <w:ind w:left="20"/>
              <w:spacing w:after="0" w:line="124" w:lineRule="exact"/>
              <w:rPr>
                <w:sz w:val="20"/>
                <w:szCs w:val="20"/>
                <w:color w:val="auto"/>
              </w:rPr>
            </w:pPr>
            <w:r>
              <w:rPr>
                <w:rFonts w:ascii="Arial" w:cs="Arial" w:eastAsia="Arial" w:hAnsi="Arial"/>
                <w:sz w:val="14"/>
                <w:szCs w:val="14"/>
                <w:color w:val="auto"/>
              </w:rPr>
              <w:t>Net change in unrealized depreciation reported within the net change in unrealized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7,397,488</w:t>
            </w:r>
          </w:p>
        </w:tc>
        <w:tc>
          <w:tcPr>
            <w:tcW w:w="2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12,347,478</w:t>
            </w:r>
          </w:p>
        </w:tc>
        <w:tc>
          <w:tcPr>
            <w:tcW w:w="200" w:type="dxa"/>
            <w:vAlign w:val="bottom"/>
          </w:tcPr>
          <w:p>
            <w:pPr>
              <w:spacing w:after="0"/>
              <w:rPr>
                <w:sz w:val="12"/>
                <w:szCs w:val="12"/>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19,744,966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0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attributable to our Level 3 assets still held at the reporting date.</w:t>
            </w:r>
          </w:p>
        </w:tc>
        <w:tc>
          <w:tcPr>
            <w:tcW w:w="24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-325120</wp:posOffset>
            </wp:positionV>
            <wp:extent cx="514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-307975</wp:posOffset>
            </wp:positionV>
            <wp:extent cx="5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-325120</wp:posOffset>
            </wp:positionV>
            <wp:extent cx="431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-307975</wp:posOffset>
            </wp:positionV>
            <wp:extent cx="431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-325120</wp:posOffset>
            </wp:positionV>
            <wp:extent cx="431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-307975</wp:posOffset>
            </wp:positionV>
            <wp:extent cx="431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table below shows a reconciliation of the beginning and ending balances for liabilities recognized at fair value and measured using significant unobservable inputs (Level 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6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Long-Term Credit Facility</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gridSpan w:val="4"/>
            <w:shd w:val="clear" w:color="auto" w:fill="CCECFF"/>
          </w:tcPr>
          <w:p>
            <w:pPr>
              <w:ind w:left="20"/>
              <w:spacing w:after="0"/>
              <w:rPr>
                <w:sz w:val="20"/>
                <w:szCs w:val="20"/>
                <w:color w:val="auto"/>
              </w:rPr>
            </w:pPr>
            <w:r>
              <w:rPr>
                <w:rFonts w:ascii="Arial" w:cs="Arial" w:eastAsia="Arial" w:hAnsi="Arial"/>
                <w:sz w:val="14"/>
                <w:szCs w:val="14"/>
                <w:color w:val="auto"/>
              </w:rPr>
              <w:t>Beginning Balance (cost – $219,400,000 and $308,598,500, respectively)</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28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218,851,500</w:t>
            </w: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299,047,275</w:t>
            </w:r>
          </w:p>
        </w:tc>
        <w:tc>
          <w:tcPr>
            <w:tcW w:w="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80" w:type="dxa"/>
            <w:vAlign w:val="bottom"/>
            <w:gridSpan w:val="4"/>
          </w:tcPr>
          <w:p>
            <w:pPr>
              <w:ind w:left="38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548,500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5,954,625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CECFF"/>
          </w:tcPr>
          <w:p>
            <w:pPr>
              <w:ind w:left="380"/>
              <w:spacing w:after="0"/>
              <w:rPr>
                <w:sz w:val="20"/>
                <w:szCs w:val="20"/>
                <w:color w:val="auto"/>
              </w:rPr>
            </w:pPr>
            <w:r>
              <w:rPr>
                <w:rFonts w:ascii="Arial" w:cs="Arial" w:eastAsia="Arial" w:hAnsi="Arial"/>
                <w:sz w:val="14"/>
                <w:szCs w:val="14"/>
                <w:color w:val="auto"/>
              </w:rPr>
              <w:t>Borrowings</w:t>
            </w:r>
          </w:p>
        </w:tc>
        <w:tc>
          <w:tcPr>
            <w:tcW w:w="1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1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137,253,500</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2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380"/>
              <w:spacing w:after="0"/>
              <w:rPr>
                <w:sz w:val="20"/>
                <w:szCs w:val="20"/>
                <w:color w:val="auto"/>
              </w:rPr>
            </w:pPr>
            <w:r>
              <w:rPr>
                <w:rFonts w:ascii="Arial" w:cs="Arial" w:eastAsia="Arial" w:hAnsi="Arial"/>
                <w:sz w:val="14"/>
                <w:szCs w:val="14"/>
                <w:color w:val="auto"/>
              </w:rPr>
              <w:t>Repayments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4"/>
                <w:szCs w:val="14"/>
                <w:color w:val="auto"/>
              </w:rPr>
              <w:t>(100,000,000 )</w:t>
            </w:r>
          </w:p>
        </w:tc>
        <w:tc>
          <w:tcPr>
            <w:tcW w:w="14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color w:val="auto"/>
              </w:rPr>
              <w:t>(79,198,500 )</w:t>
            </w:r>
          </w:p>
        </w:tc>
        <w:tc>
          <w:tcPr>
            <w:tcW w:w="0" w:type="dxa"/>
            <w:vAlign w:val="bottom"/>
          </w:tcPr>
          <w:p>
            <w:pPr>
              <w:spacing w:after="0"/>
              <w:rPr>
                <w:sz w:val="1"/>
                <w:szCs w:val="1"/>
                <w:color w:val="auto"/>
              </w:rPr>
            </w:pPr>
          </w:p>
        </w:tc>
      </w:tr>
      <w:tr>
        <w:trPr>
          <w:trHeight w:val="176"/>
        </w:trPr>
        <w:tc>
          <w:tcPr>
            <w:tcW w:w="370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4"/>
                <w:szCs w:val="14"/>
                <w:color w:val="auto"/>
              </w:rPr>
              <w:t>Transfers in and/or out of Level 3</w:t>
            </w:r>
          </w:p>
        </w:tc>
        <w:tc>
          <w:tcPr>
            <w:tcW w:w="1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10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118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440" w:type="dxa"/>
            <w:vAlign w:val="bottom"/>
            <w:tcBorders>
              <w:bottom w:val="single" w:sz="8" w:color="auto"/>
            </w:tcBorders>
            <w:shd w:val="clear" w:color="auto" w:fill="CCECFF"/>
          </w:tcPr>
          <w:p>
            <w:pPr>
              <w:spacing w:after="0"/>
              <w:rPr>
                <w:sz w:val="15"/>
                <w:szCs w:val="15"/>
                <w:color w:val="auto"/>
              </w:rPr>
            </w:pPr>
          </w:p>
        </w:tc>
        <w:tc>
          <w:tcPr>
            <w:tcW w:w="20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CFF"/>
            </w:tcBorders>
            <w:gridSpan w:val="2"/>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ind w:left="20"/>
              <w:spacing w:after="0"/>
              <w:rPr>
                <w:sz w:val="20"/>
                <w:szCs w:val="20"/>
                <w:color w:val="auto"/>
              </w:rPr>
            </w:pPr>
            <w:r>
              <w:rPr>
                <w:rFonts w:ascii="Arial" w:cs="Arial" w:eastAsia="Arial" w:hAnsi="Arial"/>
                <w:sz w:val="14"/>
                <w:szCs w:val="14"/>
                <w:color w:val="auto"/>
                <w:w w:val="93"/>
              </w:rPr>
              <w:t>Ending Balance (cost – $256,653,500 and $256,900,000, respectively)</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gridSpan w:val="3"/>
          </w:tcPr>
          <w:p>
            <w:pPr>
              <w:spacing w:after="0"/>
              <w:rPr>
                <w:sz w:val="14"/>
                <w:szCs w:val="14"/>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256,653,500</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253,303,400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1240" w:type="dxa"/>
            <w:vAlign w:val="bottom"/>
            <w:gridSpan w:val="19"/>
          </w:tcPr>
          <w:p>
            <w:pPr>
              <w:ind w:left="460"/>
              <w:spacing w:after="0"/>
              <w:rPr>
                <w:sz w:val="20"/>
                <w:szCs w:val="20"/>
                <w:color w:val="auto"/>
              </w:rPr>
            </w:pPr>
            <w:r>
              <w:rPr>
                <w:rFonts w:ascii="Arial" w:cs="Arial" w:eastAsia="Arial" w:hAnsi="Arial"/>
                <w:sz w:val="14"/>
                <w:szCs w:val="14"/>
                <w:color w:val="auto"/>
                <w:w w:val="95"/>
              </w:rPr>
              <w:t>As of December 31, 2021, we had outstanding non-U.S. dollar borrowings on our Credit Facility. Net change in fair value from currency translation on outstanding borrowings is listed</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20"/>
                <w:szCs w:val="20"/>
                <w:color w:val="auto"/>
              </w:rPr>
            </w:pPr>
            <w:r>
              <w:rPr>
                <w:rFonts w:ascii="Arial" w:cs="Arial" w:eastAsia="Arial" w:hAnsi="Arial"/>
                <w:sz w:val="14"/>
                <w:szCs w:val="14"/>
                <w:color w:val="auto"/>
              </w:rPr>
              <w:t>below:</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38"/>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Borrowing Cost</w:t>
            </w:r>
          </w:p>
        </w:tc>
        <w:tc>
          <w:tcPr>
            <w:tcW w:w="200" w:type="dxa"/>
            <w:vAlign w:val="bottom"/>
          </w:tcPr>
          <w:p>
            <w:pPr>
              <w:spacing w:after="0"/>
              <w:rPr>
                <w:sz w:val="11"/>
                <w:szCs w:val="11"/>
                <w:color w:val="auto"/>
              </w:rPr>
            </w:pPr>
          </w:p>
        </w:tc>
        <w:tc>
          <w:tcPr>
            <w:tcW w:w="132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Current Value</w:t>
            </w:r>
          </w:p>
        </w:tc>
        <w:tc>
          <w:tcPr>
            <w:tcW w:w="200" w:type="dxa"/>
            <w:vAlign w:val="bottom"/>
          </w:tcPr>
          <w:p>
            <w:pPr>
              <w:spacing w:after="0"/>
              <w:rPr>
                <w:sz w:val="11"/>
                <w:szCs w:val="11"/>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Reset Date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b w:val="1"/>
                <w:bCs w:val="1"/>
                <w:color w:val="auto"/>
                <w:w w:val="91"/>
              </w:rPr>
              <w:t>Borrowed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37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Australian Dollar</w:t>
            </w:r>
          </w:p>
        </w:tc>
        <w:tc>
          <w:tcPr>
            <w:tcW w:w="16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10,000,000</w:t>
            </w:r>
          </w:p>
        </w:tc>
        <w:tc>
          <w:tcPr>
            <w:tcW w:w="20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7,236,501</w:t>
            </w:r>
          </w:p>
        </w:tc>
        <w:tc>
          <w:tcPr>
            <w:tcW w:w="200" w:type="dxa"/>
            <w:vAlign w:val="bottom"/>
            <w:shd w:val="clear" w:color="auto" w:fill="CCECFF"/>
          </w:tcPr>
          <w:p>
            <w:pPr>
              <w:spacing w:after="0"/>
              <w:rPr>
                <w:sz w:val="14"/>
                <w:szCs w:val="14"/>
                <w:color w:val="auto"/>
              </w:rPr>
            </w:pPr>
          </w:p>
        </w:tc>
        <w:tc>
          <w:tcPr>
            <w:tcW w:w="1320" w:type="dxa"/>
            <w:vAlign w:val="bottom"/>
            <w:tcBorders>
              <w:top w:val="single" w:sz="8" w:color="auto"/>
            </w:tcBorders>
            <w:gridSpan w:val="3"/>
            <w:shd w:val="clear" w:color="auto" w:fill="CCECFF"/>
          </w:tcPr>
          <w:p>
            <w:pPr>
              <w:jc w:val="right"/>
              <w:spacing w:after="0"/>
              <w:rPr>
                <w:sz w:val="20"/>
                <w:szCs w:val="20"/>
                <w:color w:val="auto"/>
              </w:rPr>
            </w:pPr>
            <w:r>
              <w:rPr>
                <w:rFonts w:ascii="Arial" w:cs="Arial" w:eastAsia="Arial" w:hAnsi="Arial"/>
                <w:sz w:val="14"/>
                <w:szCs w:val="14"/>
                <w:color w:val="auto"/>
              </w:rPr>
              <w:t>7,253,501</w:t>
            </w:r>
          </w:p>
        </w:tc>
        <w:tc>
          <w:tcPr>
            <w:tcW w:w="200" w:type="dxa"/>
            <w:vAlign w:val="bottom"/>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rPr>
              <w:t>1/1/22</w:t>
            </w:r>
          </w:p>
        </w:tc>
        <w:tc>
          <w:tcPr>
            <w:tcW w:w="240" w:type="dxa"/>
            <w:vAlign w:val="bottom"/>
            <w:tcBorders>
              <w:top w:val="single" w:sz="8" w:color="auto"/>
            </w:tcBorders>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300" w:type="dxa"/>
            <w:vAlign w:val="bottom"/>
            <w:tcBorders>
              <w:top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17,000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-776605</wp:posOffset>
            </wp:positionV>
            <wp:extent cx="4318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-776605</wp:posOffset>
            </wp:positionV>
            <wp:extent cx="4318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September 30, 2021 we did not have any outstanding non-U.S. dollar borrowings on the Credit Facility.</w:t>
      </w:r>
    </w:p>
    <w:p>
      <w:pPr>
        <w:spacing w:after="0" w:line="163" w:lineRule="exact"/>
        <w:rPr>
          <w:sz w:val="20"/>
          <w:szCs w:val="20"/>
          <w:color w:val="auto"/>
        </w:rPr>
      </w:pPr>
    </w:p>
    <w:p>
      <w:pPr>
        <w:ind w:right="20" w:firstLine="449"/>
        <w:spacing w:after="0" w:line="245"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months ended December 31,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and the 2031 Asset-Backed Debt.</w:t>
      </w:r>
    </w:p>
    <w:p>
      <w:pPr>
        <w:spacing w:after="0" w:line="14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3"/>
          <w:szCs w:val="13"/>
          <w:color w:val="auto"/>
        </w:rPr>
        <w:t>For the three months ended December 31, 2021 and 2020, the Credit Facility and the 2023 Notes had a net change in unrealized depreciation (appreciation) of $3.6 million and $(4.0) million, respectively. As of December 31, 2021 and September 30, 2021, the net unrealized depreciation on the Credit Facility and the 2023 Notes totaled $10.8 million and $7.2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67" w:lineRule="exact"/>
        <w:rPr>
          <w:sz w:val="20"/>
          <w:szCs w:val="20"/>
          <w:color w:val="auto"/>
        </w:rPr>
      </w:pPr>
    </w:p>
    <w:p>
      <w:pPr>
        <w:jc w:val="both"/>
        <w:ind w:right="360" w:firstLine="449"/>
        <w:spacing w:after="0" w:line="257"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generally when we own more than 25% of its voting securities. Transactions related to our funded investments with both controlled and non-controlled affiliates for the three months ended December 31, 2021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 of/</w:t>
            </w: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Net Change in</w:t>
            </w:r>
          </w:p>
        </w:tc>
        <w:tc>
          <w:tcPr>
            <w:tcW w:w="6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Fair Value at</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Dividend/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8"/>
        </w:trPr>
        <w:tc>
          <w:tcPr>
            <w:tcW w:w="2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Investment</w:t>
            </w: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Interest Income</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00" w:type="dxa"/>
            <w:vAlign w:val="bottom"/>
            <w:vMerge w:val="continue"/>
          </w:tcPr>
          <w:p>
            <w:pPr>
              <w:spacing w:after="0"/>
              <w:rPr>
                <w:sz w:val="16"/>
                <w:szCs w:val="16"/>
                <w:color w:val="auto"/>
              </w:rPr>
            </w:pPr>
          </w:p>
        </w:tc>
        <w:tc>
          <w:tcPr>
            <w:tcW w:w="11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Additions</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from Affiliates</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11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w w:val="95"/>
              </w:rPr>
              <w:t>Gains (Losses)</w:t>
            </w:r>
          </w:p>
        </w:tc>
        <w:tc>
          <w:tcPr>
            <w:tcW w:w="0" w:type="dxa"/>
            <w:vAlign w:val="bottom"/>
          </w:tcPr>
          <w:p>
            <w:pPr>
              <w:spacing w:after="0"/>
              <w:rPr>
                <w:sz w:val="1"/>
                <w:szCs w:val="1"/>
                <w:color w:val="auto"/>
              </w:rPr>
            </w:pPr>
          </w:p>
        </w:tc>
      </w:tr>
      <w:tr>
        <w:trPr>
          <w:trHeight w:val="169"/>
        </w:trPr>
        <w:tc>
          <w:tcPr>
            <w:tcW w:w="23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Non-Controlled Affiliates</w:t>
            </w:r>
          </w:p>
        </w:tc>
        <w:tc>
          <w:tcPr>
            <w:tcW w:w="80" w:type="dxa"/>
            <w:vAlign w:val="bottom"/>
            <w:shd w:val="clear" w:color="auto" w:fill="CCECFF"/>
          </w:tcPr>
          <w:p>
            <w:pPr>
              <w:spacing w:after="0"/>
              <w:rPr>
                <w:sz w:val="14"/>
                <w:szCs w:val="14"/>
                <w:color w:val="auto"/>
              </w:rPr>
            </w:pPr>
          </w:p>
        </w:tc>
        <w:tc>
          <w:tcPr>
            <w:tcW w:w="108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8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tcBorders>
              <w:top w:val="single" w:sz="8" w:color="auto"/>
            </w:tcBorders>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12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40" w:type="dxa"/>
            <w:vAlign w:val="bottom"/>
            <w:tcBorders>
              <w:top w:val="single" w:sz="8" w:color="auto"/>
            </w:tcBorders>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rPr>
                <w:sz w:val="20"/>
                <w:szCs w:val="20"/>
                <w:color w:val="auto"/>
              </w:rPr>
            </w:pPr>
            <w:r>
              <w:rPr>
                <w:rFonts w:ascii="Arial" w:cs="Arial" w:eastAsia="Arial" w:hAnsi="Arial"/>
                <w:sz w:val="14"/>
                <w:szCs w:val="14"/>
                <w:color w:val="auto"/>
              </w:rPr>
              <w:t>DBI Holding, LLC</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$7,432,896</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tcPr>
          <w:p>
            <w:pPr>
              <w:jc w:val="center"/>
              <w:ind w:left="7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$(6,792,439)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$640,457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$112,082</w:t>
            </w: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30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Country Fresh Holding</w:t>
            </w:r>
          </w:p>
        </w:tc>
        <w:tc>
          <w:tcPr>
            <w:tcW w:w="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00" w:type="dxa"/>
            <w:vAlign w:val="bottom"/>
            <w:tcBorders>
              <w:bottom w:val="single" w:sz="8" w:color="CCECFF"/>
            </w:tcBorders>
            <w:shd w:val="clear" w:color="auto" w:fill="CCECFF"/>
          </w:tcPr>
          <w:p>
            <w:pPr>
              <w:ind w:left="280"/>
              <w:spacing w:after="0"/>
              <w:rPr>
                <w:sz w:val="20"/>
                <w:szCs w:val="20"/>
                <w:color w:val="auto"/>
              </w:rPr>
            </w:pPr>
            <w:r>
              <w:rPr>
                <w:rFonts w:ascii="Arial" w:cs="Arial" w:eastAsia="Arial" w:hAnsi="Arial"/>
                <w:sz w:val="14"/>
                <w:szCs w:val="14"/>
                <w:color w:val="auto"/>
              </w:rPr>
              <w:t>Company Inc.</w:t>
            </w:r>
          </w:p>
        </w:tc>
        <w:tc>
          <w:tcPr>
            <w:tcW w:w="8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CFF"/>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center"/>
              <w:ind w:left="788"/>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CFF"/>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65,244</w:t>
            </w:r>
          </w:p>
        </w:tc>
        <w:tc>
          <w:tcPr>
            <w:tcW w:w="0" w:type="dxa"/>
            <w:vAlign w:val="bottom"/>
          </w:tcPr>
          <w:p>
            <w:pPr>
              <w:spacing w:after="0"/>
              <w:rPr>
                <w:sz w:val="1"/>
                <w:szCs w:val="1"/>
                <w:color w:val="auto"/>
              </w:rPr>
            </w:pPr>
          </w:p>
        </w:tc>
      </w:tr>
      <w:tr>
        <w:trPr>
          <w:trHeight w:val="137"/>
        </w:trPr>
        <w:tc>
          <w:tcPr>
            <w:tcW w:w="2300" w:type="dxa"/>
            <w:vAlign w:val="bottom"/>
          </w:tcPr>
          <w:p>
            <w:pPr>
              <w:ind w:left="60"/>
              <w:spacing w:after="0" w:line="137" w:lineRule="exact"/>
              <w:rPr>
                <w:sz w:val="20"/>
                <w:szCs w:val="20"/>
                <w:color w:val="auto"/>
              </w:rPr>
            </w:pPr>
            <w:r>
              <w:rPr>
                <w:rFonts w:ascii="Arial" w:cs="Arial" w:eastAsia="Arial" w:hAnsi="Arial"/>
                <w:sz w:val="14"/>
                <w:szCs w:val="14"/>
                <w:color w:val="auto"/>
              </w:rPr>
              <w:t>Total Non-Controlled</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$7,432,896</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80" w:type="dxa"/>
            <w:vAlign w:val="bottom"/>
            <w:vMerge w:val="restart"/>
          </w:tcPr>
          <w:p>
            <w:pPr>
              <w:jc w:val="center"/>
              <w:ind w:left="788"/>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$(6,792,439)</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$640,457</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$112,082</w:t>
            </w: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$65,244</w:t>
            </w:r>
          </w:p>
        </w:tc>
        <w:tc>
          <w:tcPr>
            <w:tcW w:w="0" w:type="dxa"/>
            <w:vAlign w:val="bottom"/>
          </w:tcPr>
          <w:p>
            <w:pPr>
              <w:spacing w:after="0"/>
              <w:rPr>
                <w:sz w:val="1"/>
                <w:szCs w:val="1"/>
                <w:color w:val="auto"/>
              </w:rPr>
            </w:pPr>
          </w:p>
        </w:tc>
      </w:tr>
      <w:tr>
        <w:trPr>
          <w:trHeight w:val="140"/>
        </w:trPr>
        <w:tc>
          <w:tcPr>
            <w:tcW w:w="2300" w:type="dxa"/>
            <w:vAlign w:val="bottom"/>
          </w:tcPr>
          <w:p>
            <w:pPr>
              <w:ind w:left="120"/>
              <w:spacing w:after="0" w:line="121" w:lineRule="exact"/>
              <w:rPr>
                <w:sz w:val="20"/>
                <w:szCs w:val="20"/>
                <w:color w:val="auto"/>
              </w:rPr>
            </w:pPr>
            <w:r>
              <w:rPr>
                <w:rFonts w:ascii="Arial" w:cs="Arial" w:eastAsia="Arial" w:hAnsi="Arial"/>
                <w:sz w:val="13"/>
                <w:szCs w:val="13"/>
                <w:color w:val="auto"/>
              </w:rPr>
              <w:t>Affiliates</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00" w:type="dxa"/>
            <w:vAlign w:val="bottom"/>
            <w:shd w:val="clear" w:color="auto" w:fill="CCECFF"/>
          </w:tcPr>
          <w:p>
            <w:pPr>
              <w:ind w:left="20"/>
              <w:spacing w:after="0" w:line="156" w:lineRule="exact"/>
              <w:rPr>
                <w:sz w:val="20"/>
                <w:szCs w:val="20"/>
                <w:color w:val="auto"/>
              </w:rPr>
            </w:pPr>
            <w:r>
              <w:rPr>
                <w:rFonts w:ascii="Arial" w:cs="Arial" w:eastAsia="Arial" w:hAnsi="Arial"/>
                <w:sz w:val="14"/>
                <w:szCs w:val="14"/>
                <w:b w:val="1"/>
                <w:bCs w:val="1"/>
                <w:color w:val="auto"/>
              </w:rPr>
              <w:t>Controlled Affiliates</w:t>
            </w:r>
          </w:p>
        </w:tc>
        <w:tc>
          <w:tcPr>
            <w:tcW w:w="8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rPr>
                <w:sz w:val="20"/>
                <w:szCs w:val="20"/>
                <w:color w:val="auto"/>
              </w:rPr>
            </w:pPr>
            <w:r>
              <w:rPr>
                <w:rFonts w:ascii="Arial" w:cs="Arial" w:eastAsia="Arial" w:hAnsi="Arial"/>
                <w:sz w:val="14"/>
                <w:szCs w:val="14"/>
                <w:color w:val="auto"/>
              </w:rPr>
              <w:t>Marketplace Events, LLC</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$31,648,964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$54,585</w:t>
            </w:r>
          </w:p>
        </w:tc>
        <w:tc>
          <w:tcPr>
            <w:tcW w:w="80" w:type="dxa"/>
            <w:vAlign w:val="bottom"/>
          </w:tcPr>
          <w:p>
            <w:pPr>
              <w:spacing w:after="0"/>
              <w:rPr>
                <w:sz w:val="15"/>
                <w:szCs w:val="15"/>
                <w:color w:val="auto"/>
              </w:rPr>
            </w:pPr>
          </w:p>
        </w:tc>
        <w:tc>
          <w:tcPr>
            <w:tcW w:w="1080" w:type="dxa"/>
            <w:vAlign w:val="bottom"/>
          </w:tcPr>
          <w:p>
            <w:pPr>
              <w:jc w:val="center"/>
              <w:ind w:left="7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$874,277</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$32,577,826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$55,011</w:t>
            </w: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300" w:type="dxa"/>
            <w:vAlign w:val="bottom"/>
            <w:shd w:val="clear" w:color="auto" w:fill="CCECFF"/>
          </w:tcPr>
          <w:p>
            <w:pPr>
              <w:ind w:left="20"/>
              <w:spacing w:after="0"/>
              <w:rPr>
                <w:sz w:val="20"/>
                <w:szCs w:val="20"/>
                <w:color w:val="auto"/>
              </w:rPr>
            </w:pPr>
            <w:r>
              <w:rPr>
                <w:rFonts w:ascii="Arial" w:cs="Arial" w:eastAsia="Arial" w:hAnsi="Arial"/>
                <w:sz w:val="14"/>
                <w:szCs w:val="14"/>
                <w:color w:val="auto"/>
              </w:rPr>
              <w:t>PennantPark Senior Secured</w:t>
            </w:r>
          </w:p>
        </w:tc>
        <w:tc>
          <w:tcPr>
            <w:tcW w:w="8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00" w:type="dxa"/>
            <w:vAlign w:val="bottom"/>
            <w:shd w:val="clear" w:color="auto" w:fill="CCECFF"/>
          </w:tcPr>
          <w:p>
            <w:pPr>
              <w:ind w:left="120"/>
              <w:spacing w:after="0" w:line="143" w:lineRule="exact"/>
              <w:rPr>
                <w:sz w:val="20"/>
                <w:szCs w:val="20"/>
                <w:color w:val="auto"/>
              </w:rPr>
            </w:pPr>
            <w:r>
              <w:rPr>
                <w:rFonts w:ascii="Arial" w:cs="Arial" w:eastAsia="Arial" w:hAnsi="Arial"/>
                <w:sz w:val="14"/>
                <w:szCs w:val="14"/>
                <w:color w:val="auto"/>
              </w:rPr>
              <w:t>Loan Fund I LLC *</w:t>
            </w:r>
          </w:p>
        </w:tc>
        <w:tc>
          <w:tcPr>
            <w:tcW w:w="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spacing w:after="0" w:line="143" w:lineRule="exact"/>
              <w:rPr>
                <w:sz w:val="20"/>
                <w:szCs w:val="20"/>
                <w:color w:val="auto"/>
              </w:rPr>
            </w:pPr>
            <w:r>
              <w:rPr>
                <w:rFonts w:ascii="Arial" w:cs="Arial" w:eastAsia="Arial" w:hAnsi="Arial"/>
                <w:sz w:val="14"/>
                <w:szCs w:val="14"/>
                <w:color w:val="auto"/>
              </w:rPr>
              <w:t>(1,966,036</w:t>
            </w:r>
          </w:p>
        </w:tc>
        <w:tc>
          <w:tcPr>
            <w:tcW w:w="6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0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185,731,115</w:t>
            </w:r>
          </w:p>
        </w:tc>
        <w:tc>
          <w:tcPr>
            <w:tcW w:w="80" w:type="dxa"/>
            <w:vAlign w:val="bottom"/>
            <w:tcBorders>
              <w:bottom w:val="single" w:sz="8" w:color="CCECFF"/>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17,500,000</w:t>
            </w:r>
          </w:p>
        </w:tc>
        <w:tc>
          <w:tcPr>
            <w:tcW w:w="8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center"/>
              <w:ind w:left="788"/>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CFF"/>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201,265,079</w:t>
            </w:r>
          </w:p>
        </w:tc>
        <w:tc>
          <w:tcPr>
            <w:tcW w:w="8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3,110,278</w:t>
            </w:r>
          </w:p>
        </w:tc>
        <w:tc>
          <w:tcPr>
            <w:tcW w:w="6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2,800,000</w:t>
            </w:r>
          </w:p>
        </w:tc>
        <w:tc>
          <w:tcPr>
            <w:tcW w:w="8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Total Controlled Affiliates</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$217,380,079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$17,554,585</w:t>
            </w:r>
          </w:p>
        </w:tc>
        <w:tc>
          <w:tcPr>
            <w:tcW w:w="80" w:type="dxa"/>
            <w:vAlign w:val="bottom"/>
          </w:tcPr>
          <w:p>
            <w:pPr>
              <w:spacing w:after="0"/>
              <w:rPr>
                <w:sz w:val="14"/>
                <w:szCs w:val="14"/>
                <w:color w:val="auto"/>
              </w:rPr>
            </w:pPr>
          </w:p>
        </w:tc>
        <w:tc>
          <w:tcPr>
            <w:tcW w:w="1080" w:type="dxa"/>
            <w:vAlign w:val="bottom"/>
          </w:tcPr>
          <w:p>
            <w:pPr>
              <w:jc w:val="center"/>
              <w:ind w:left="7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$(1,091,759)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$233,842,905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$3,165,289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$2,800,000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20"/>
              <w:spacing w:after="0" w:line="160" w:lineRule="exact"/>
              <w:rPr>
                <w:sz w:val="20"/>
                <w:szCs w:val="20"/>
                <w:color w:val="auto"/>
              </w:rPr>
            </w:pPr>
            <w:r>
              <w:rPr>
                <w:rFonts w:ascii="Arial" w:cs="Arial" w:eastAsia="Arial" w:hAnsi="Arial"/>
                <w:sz w:val="14"/>
                <w:szCs w:val="14"/>
                <w:b w:val="1"/>
                <w:bCs w:val="1"/>
                <w:color w:val="auto"/>
              </w:rPr>
              <w:t>Total Controlled and</w:t>
            </w: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$224,812,975</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$17,554,585</w:t>
            </w:r>
          </w:p>
        </w:tc>
        <w:tc>
          <w:tcPr>
            <w:tcW w:w="80" w:type="dxa"/>
            <w:vAlign w:val="bottom"/>
          </w:tcPr>
          <w:p>
            <w:pPr>
              <w:spacing w:after="0"/>
              <w:rPr>
                <w:sz w:val="10"/>
                <w:szCs w:val="10"/>
                <w:color w:val="auto"/>
              </w:rPr>
            </w:pPr>
          </w:p>
        </w:tc>
        <w:tc>
          <w:tcPr>
            <w:tcW w:w="1080" w:type="dxa"/>
            <w:vAlign w:val="bottom"/>
            <w:vMerge w:val="restart"/>
          </w:tcPr>
          <w:p>
            <w:pPr>
              <w:jc w:val="center"/>
              <w:ind w:left="788"/>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$(7,884,198)</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$234,483,362</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$3,277,371</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$2,800,000</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$65,244</w:t>
            </w:r>
          </w:p>
        </w:tc>
        <w:tc>
          <w:tcPr>
            <w:tcW w:w="0" w:type="dxa"/>
            <w:vAlign w:val="bottom"/>
          </w:tcPr>
          <w:p>
            <w:pPr>
              <w:spacing w:after="0"/>
              <w:rPr>
                <w:sz w:val="1"/>
                <w:szCs w:val="1"/>
                <w:color w:val="auto"/>
              </w:rPr>
            </w:pPr>
          </w:p>
        </w:tc>
      </w:tr>
      <w:tr>
        <w:trPr>
          <w:trHeight w:val="144"/>
        </w:trPr>
        <w:tc>
          <w:tcPr>
            <w:tcW w:w="2300" w:type="dxa"/>
            <w:vAlign w:val="bottom"/>
          </w:tcPr>
          <w:p>
            <w:pPr>
              <w:ind w:left="120"/>
              <w:spacing w:after="0" w:line="125" w:lineRule="exact"/>
              <w:rPr>
                <w:sz w:val="20"/>
                <w:szCs w:val="20"/>
                <w:color w:val="auto"/>
              </w:rPr>
            </w:pPr>
            <w:r>
              <w:rPr>
                <w:rFonts w:ascii="Arial" w:cs="Arial" w:eastAsia="Arial" w:hAnsi="Arial"/>
                <w:sz w:val="14"/>
                <w:szCs w:val="14"/>
                <w:b w:val="1"/>
                <w:bCs w:val="1"/>
                <w:color w:val="auto"/>
              </w:rPr>
              <w:t>Non-Controlled Affiliates</w:t>
            </w:r>
          </w:p>
        </w:tc>
        <w:tc>
          <w:tcPr>
            <w:tcW w:w="11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-1102360</wp:posOffset>
            </wp:positionV>
            <wp:extent cx="51435"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-1102360</wp:posOffset>
            </wp:positionV>
            <wp:extent cx="4318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-1102360</wp:posOffset>
            </wp:positionV>
            <wp:extent cx="4318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-1102360</wp:posOffset>
            </wp:positionV>
            <wp:extent cx="4318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-1102360</wp:posOffset>
            </wp:positionV>
            <wp:extent cx="4318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-1102360</wp:posOffset>
            </wp:positionV>
            <wp:extent cx="4318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-1102360</wp:posOffset>
            </wp:positionV>
            <wp:extent cx="4318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-347980</wp:posOffset>
            </wp:positionV>
            <wp:extent cx="51435"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-347980</wp:posOffset>
            </wp:positionV>
            <wp:extent cx="4318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-347980</wp:posOffset>
            </wp:positionV>
            <wp:extent cx="4318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-347980</wp:posOffset>
            </wp:positionV>
            <wp:extent cx="4318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-347980</wp:posOffset>
            </wp:positionV>
            <wp:extent cx="4318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-347980</wp:posOffset>
            </wp:positionV>
            <wp:extent cx="4318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-347980</wp:posOffset>
            </wp:positionV>
            <wp:extent cx="43180"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 w:lineRule="exact"/>
        <w:rPr>
          <w:sz w:val="20"/>
          <w:szCs w:val="20"/>
          <w:color w:val="auto"/>
        </w:rPr>
      </w:pPr>
    </w:p>
    <w:p>
      <w:pPr>
        <w:ind w:right="120" w:firstLine="8"/>
        <w:spacing w:after="0" w:line="251" w:lineRule="auto"/>
        <w:tabs>
          <w:tab w:leader="none" w:pos="81" w:val="left"/>
        </w:tabs>
        <w:numPr>
          <w:ilvl w:val="0"/>
          <w:numId w:val="15"/>
        </w:numPr>
        <w:rPr>
          <w:rFonts w:ascii="Arial" w:cs="Arial" w:eastAsia="Arial" w:hAnsi="Arial"/>
          <w:sz w:val="10"/>
          <w:szCs w:val="10"/>
          <w:b w:val="1"/>
          <w:bCs w:val="1"/>
          <w:color w:val="auto"/>
        </w:rPr>
      </w:pPr>
      <w:r>
        <w:rPr>
          <w:rFonts w:ascii="Arial" w:cs="Arial" w:eastAsia="Arial" w:hAnsi="Arial"/>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(decrease) in net assets resulting from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December 31,</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4"/>
                <w:szCs w:val="14"/>
                <w:color w:val="auto"/>
              </w:rPr>
            </w:pPr>
          </w:p>
        </w:tc>
        <w:tc>
          <w:tcPr>
            <w:tcW w:w="15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98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Numerator for net increase in net assets resulting from operations</w:t>
            </w:r>
          </w:p>
        </w:tc>
        <w:tc>
          <w:tcPr>
            <w:tcW w:w="1220" w:type="dxa"/>
            <w:vAlign w:val="bottom"/>
            <w:tcBorders>
              <w:top w:val="single" w:sz="8" w:color="auto"/>
            </w:tcBorders>
            <w:shd w:val="clear" w:color="auto" w:fill="CCECFF"/>
          </w:tcPr>
          <w:p>
            <w:pPr>
              <w:jc w:val="right"/>
              <w:ind w:right="10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14,433,107</w:t>
            </w:r>
          </w:p>
        </w:tc>
        <w:tc>
          <w:tcPr>
            <w:tcW w:w="280" w:type="dxa"/>
            <w:vAlign w:val="bottom"/>
            <w:shd w:val="clear" w:color="auto" w:fill="CCECFF"/>
          </w:tcPr>
          <w:p>
            <w:pPr>
              <w:spacing w:after="0"/>
              <w:rPr>
                <w:sz w:val="14"/>
                <w:szCs w:val="14"/>
                <w:color w:val="auto"/>
              </w:rPr>
            </w:pPr>
          </w:p>
        </w:tc>
        <w:tc>
          <w:tcPr>
            <w:tcW w:w="1220" w:type="dxa"/>
            <w:vAlign w:val="bottom"/>
            <w:tcBorders>
              <w:top w:val="single" w:sz="8" w:color="auto"/>
            </w:tcBorders>
            <w:shd w:val="clear" w:color="auto" w:fill="CCECFF"/>
          </w:tcPr>
          <w:p>
            <w:pPr>
              <w:jc w:val="right"/>
              <w:ind w:right="10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26,130,588</w:t>
            </w:r>
          </w:p>
        </w:tc>
        <w:tc>
          <w:tcPr>
            <w:tcW w:w="60" w:type="dxa"/>
            <w:vAlign w:val="bottom"/>
            <w:shd w:val="clear" w:color="auto" w:fill="CCECFF"/>
          </w:tcPr>
          <w:p>
            <w:pPr>
              <w:spacing w:after="0"/>
              <w:rPr>
                <w:sz w:val="14"/>
                <w:szCs w:val="14"/>
                <w:color w:val="auto"/>
              </w:rPr>
            </w:pPr>
          </w:p>
        </w:tc>
      </w:tr>
      <w:tr>
        <w:trPr>
          <w:trHeight w:val="175"/>
        </w:trPr>
        <w:tc>
          <w:tcPr>
            <w:tcW w:w="6980" w:type="dxa"/>
            <w:vAlign w:val="bottom"/>
          </w:tcPr>
          <w:p>
            <w:pPr>
              <w:ind w:left="20"/>
              <w:spacing w:after="0"/>
              <w:rPr>
                <w:sz w:val="20"/>
                <w:szCs w:val="20"/>
                <w:color w:val="auto"/>
              </w:rPr>
            </w:pPr>
            <w:r>
              <w:rPr>
                <w:rFonts w:ascii="Arial" w:cs="Arial" w:eastAsia="Arial" w:hAnsi="Arial"/>
                <w:sz w:val="14"/>
                <w:szCs w:val="14"/>
                <w:color w:val="auto"/>
              </w:rPr>
              <w:t>Denominator for basic and diluted weighted average shares</w:t>
            </w:r>
          </w:p>
        </w:tc>
        <w:tc>
          <w:tcPr>
            <w:tcW w:w="1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38,961,201</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38,772,074</w:t>
            </w:r>
          </w:p>
        </w:tc>
        <w:tc>
          <w:tcPr>
            <w:tcW w:w="60" w:type="dxa"/>
            <w:vAlign w:val="bottom"/>
          </w:tcPr>
          <w:p>
            <w:pPr>
              <w:spacing w:after="0"/>
              <w:rPr>
                <w:sz w:val="15"/>
                <w:szCs w:val="15"/>
                <w:color w:val="auto"/>
              </w:rPr>
            </w:pPr>
          </w:p>
        </w:tc>
      </w:tr>
      <w:tr>
        <w:trPr>
          <w:trHeight w:val="175"/>
        </w:trPr>
        <w:tc>
          <w:tcPr>
            <w:tcW w:w="6980" w:type="dxa"/>
            <w:vAlign w:val="bottom"/>
            <w:shd w:val="clear" w:color="auto" w:fill="CCECFF"/>
          </w:tcPr>
          <w:p>
            <w:pPr>
              <w:ind w:left="20"/>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1220" w:type="dxa"/>
            <w:vAlign w:val="bottom"/>
            <w:shd w:val="clear" w:color="auto" w:fill="CCECFF"/>
          </w:tcPr>
          <w:p>
            <w:pPr>
              <w:jc w:val="right"/>
              <w:ind w:right="10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0.37</w:t>
            </w:r>
          </w:p>
        </w:tc>
        <w:tc>
          <w:tcPr>
            <w:tcW w:w="1500" w:type="dxa"/>
            <w:vAlign w:val="bottom"/>
            <w:gridSpan w:val="2"/>
            <w:shd w:val="clear" w:color="auto" w:fill="CCECFF"/>
          </w:tcPr>
          <w:p>
            <w:pPr>
              <w:jc w:val="right"/>
              <w:ind w:right="10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0.67</w:t>
            </w:r>
          </w:p>
        </w:tc>
        <w:tc>
          <w:tcPr>
            <w:tcW w:w="60" w:type="dxa"/>
            <w:vAlign w:val="bottom"/>
            <w:shd w:val="clear" w:color="auto" w:fill="CCECFF"/>
          </w:tcPr>
          <w:p>
            <w:pPr>
              <w:spacing w:after="0"/>
              <w:rPr>
                <w:sz w:val="15"/>
                <w:szCs w:val="15"/>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67" w:lineRule="exact"/>
        <w:rPr>
          <w:sz w:val="20"/>
          <w:szCs w:val="20"/>
          <w:color w:val="auto"/>
        </w:rPr>
      </w:pPr>
    </w:p>
    <w:p>
      <w:pPr>
        <w:ind w:right="100" w:firstLine="449"/>
        <w:spacing w:after="0" w:line="267"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2021 and September 30, 2021, cash and cash equivalents consisted of money market funds in the amounts of $61.3 million and $49.8 million at fair value, respectively.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24"/>
        </w:trPr>
        <w:tc>
          <w:tcPr>
            <w:tcW w:w="6780" w:type="dxa"/>
            <w:vAlign w:val="bottom"/>
          </w:tcPr>
          <w:p>
            <w:pPr>
              <w:ind w:left="460"/>
              <w:spacing w:after="0"/>
              <w:rPr>
                <w:sz w:val="20"/>
                <w:szCs w:val="20"/>
                <w:color w:val="auto"/>
              </w:rPr>
            </w:pPr>
            <w:r>
              <w:rPr>
                <w:rFonts w:ascii="Arial" w:cs="Arial" w:eastAsia="Arial" w:hAnsi="Arial"/>
                <w:sz w:val="14"/>
                <w:szCs w:val="14"/>
                <w:color w:val="auto"/>
              </w:rPr>
              <w:t>Below are the financial highlights:</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7"/>
        </w:trPr>
        <w:tc>
          <w:tcPr>
            <w:tcW w:w="6780" w:type="dxa"/>
            <w:vAlign w:val="bottom"/>
          </w:tcPr>
          <w:p>
            <w:pPr>
              <w:spacing w:after="0"/>
              <w:rPr>
                <w:sz w:val="24"/>
                <w:szCs w:val="24"/>
                <w:color w:val="auto"/>
              </w:rPr>
            </w:pPr>
          </w:p>
        </w:tc>
        <w:tc>
          <w:tcPr>
            <w:tcW w:w="35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 December 31,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5"/>
        </w:trPr>
        <w:tc>
          <w:tcPr>
            <w:tcW w:w="678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67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Per Share Data:</w:t>
            </w:r>
          </w:p>
        </w:tc>
        <w:tc>
          <w:tcPr>
            <w:tcW w:w="116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r>
      <w:tr>
        <w:trPr>
          <w:trHeight w:val="175"/>
        </w:trPr>
        <w:tc>
          <w:tcPr>
            <w:tcW w:w="6780" w:type="dxa"/>
            <w:vAlign w:val="bottom"/>
          </w:tcPr>
          <w:p>
            <w:pPr>
              <w:ind w:left="20"/>
              <w:spacing w:after="0"/>
              <w:rPr>
                <w:sz w:val="20"/>
                <w:szCs w:val="20"/>
                <w:color w:val="auto"/>
              </w:rPr>
            </w:pPr>
            <w:r>
              <w:rPr>
                <w:rFonts w:ascii="Arial" w:cs="Arial" w:eastAsia="Arial" w:hAnsi="Arial"/>
                <w:sz w:val="14"/>
                <w:szCs w:val="14"/>
                <w:color w:val="auto"/>
              </w:rPr>
              <w:t>Net asset value, beginning of period</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12.62</w:t>
            </w:r>
          </w:p>
        </w:tc>
        <w:tc>
          <w:tcPr>
            <w:tcW w:w="420" w:type="dxa"/>
            <w:vAlign w:val="bottom"/>
          </w:tcPr>
          <w:p>
            <w:pPr>
              <w:spacing w:after="0"/>
              <w:rPr>
                <w:sz w:val="15"/>
                <w:szCs w:val="15"/>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12.31</w:t>
            </w:r>
          </w:p>
        </w:tc>
        <w:tc>
          <w:tcPr>
            <w:tcW w:w="180" w:type="dxa"/>
            <w:vAlign w:val="bottom"/>
          </w:tcPr>
          <w:p>
            <w:pPr>
              <w:spacing w:after="0"/>
              <w:rPr>
                <w:sz w:val="15"/>
                <w:szCs w:val="15"/>
                <w:color w:val="auto"/>
              </w:rPr>
            </w:pPr>
          </w:p>
        </w:tc>
      </w:tr>
      <w:tr>
        <w:trPr>
          <w:trHeight w:val="176"/>
        </w:trPr>
        <w:tc>
          <w:tcPr>
            <w:tcW w:w="678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9"/>
                <w:szCs w:val="19"/>
                <w:color w:val="auto"/>
                <w:vertAlign w:val="superscript"/>
              </w:rPr>
              <w:t>(1)</w:t>
            </w:r>
          </w:p>
        </w:tc>
        <w:tc>
          <w:tcPr>
            <w:tcW w:w="116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0.33</w:t>
            </w:r>
          </w:p>
        </w:tc>
        <w:tc>
          <w:tcPr>
            <w:tcW w:w="42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180" w:type="dxa"/>
            <w:vAlign w:val="bottom"/>
            <w:shd w:val="clear" w:color="auto" w:fill="CCECFF"/>
          </w:tcPr>
          <w:p>
            <w:pPr>
              <w:spacing w:after="0"/>
              <w:rPr>
                <w:sz w:val="15"/>
                <w:szCs w:val="15"/>
                <w:color w:val="auto"/>
              </w:rPr>
            </w:pPr>
          </w:p>
        </w:tc>
      </w:tr>
      <w:tr>
        <w:trPr>
          <w:trHeight w:val="175"/>
        </w:trPr>
        <w:tc>
          <w:tcPr>
            <w:tcW w:w="678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9"/>
                <w:szCs w:val="19"/>
                <w:color w:val="auto"/>
                <w:vertAlign w:val="superscript"/>
              </w:rPr>
              <w:t>(1)</w:t>
            </w:r>
          </w:p>
        </w:tc>
        <w:tc>
          <w:tcPr>
            <w:tcW w:w="1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4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180" w:type="dxa"/>
            <w:vAlign w:val="bottom"/>
          </w:tcPr>
          <w:p>
            <w:pPr>
              <w:spacing w:after="0"/>
              <w:rPr>
                <w:sz w:val="15"/>
                <w:szCs w:val="15"/>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9"/>
                <w:szCs w:val="19"/>
                <w:color w:val="auto"/>
                <w:vertAlign w:val="superscript"/>
              </w:rPr>
              <w:t>(1)</w:t>
            </w:r>
          </w:p>
        </w:tc>
        <w:tc>
          <w:tcPr>
            <w:tcW w:w="1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0.37</w:t>
            </w:r>
          </w:p>
        </w:tc>
        <w:tc>
          <w:tcPr>
            <w:tcW w:w="4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0.67</w:t>
            </w:r>
          </w:p>
        </w:tc>
        <w:tc>
          <w:tcPr>
            <w:tcW w:w="180" w:type="dxa"/>
            <w:vAlign w:val="bottom"/>
            <w:shd w:val="clear" w:color="auto" w:fill="CCECFF"/>
          </w:tcPr>
          <w:p>
            <w:pPr>
              <w:spacing w:after="0"/>
              <w:rPr>
                <w:sz w:val="14"/>
                <w:szCs w:val="14"/>
                <w:color w:val="auto"/>
              </w:rPr>
            </w:pPr>
          </w:p>
        </w:tc>
      </w:tr>
      <w:tr>
        <w:trPr>
          <w:trHeight w:val="176"/>
        </w:trPr>
        <w:tc>
          <w:tcPr>
            <w:tcW w:w="678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9"/>
                <w:szCs w:val="19"/>
                <w:color w:val="auto"/>
                <w:vertAlign w:val="superscript"/>
              </w:rPr>
              <w:t>(1), (2)</w:t>
            </w:r>
          </w:p>
        </w:tc>
        <w:tc>
          <w:tcPr>
            <w:tcW w:w="1160" w:type="dxa"/>
            <w:vAlign w:val="bottom"/>
          </w:tcPr>
          <w:p>
            <w:pPr>
              <w:spacing w:after="0"/>
              <w:rPr>
                <w:sz w:val="15"/>
                <w:szCs w:val="15"/>
                <w:color w:val="auto"/>
              </w:rPr>
            </w:pPr>
          </w:p>
        </w:tc>
        <w:tc>
          <w:tcPr>
            <w:tcW w:w="1200" w:type="dxa"/>
            <w:vAlign w:val="bottom"/>
            <w:gridSpan w:val="2"/>
          </w:tcPr>
          <w:p>
            <w:pPr>
              <w:jc w:val="right"/>
              <w:ind w:right="268"/>
              <w:spacing w:after="0"/>
              <w:rPr>
                <w:sz w:val="20"/>
                <w:szCs w:val="20"/>
                <w:color w:val="auto"/>
              </w:rPr>
            </w:pPr>
            <w:r>
              <w:rPr>
                <w:rFonts w:ascii="Arial" w:cs="Arial" w:eastAsia="Arial" w:hAnsi="Arial"/>
                <w:sz w:val="14"/>
                <w:szCs w:val="14"/>
                <w:color w:val="auto"/>
              </w:rPr>
              <w:t>(0.29 )</w:t>
            </w:r>
          </w:p>
        </w:tc>
        <w:tc>
          <w:tcPr>
            <w:tcW w:w="116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(0.29 )</w:t>
            </w:r>
          </w:p>
        </w:tc>
      </w:tr>
      <w:tr>
        <w:trPr>
          <w:trHeight w:val="209"/>
        </w:trPr>
        <w:tc>
          <w:tcPr>
            <w:tcW w:w="6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Net asset value, end of period</w:t>
            </w:r>
          </w:p>
        </w:tc>
        <w:tc>
          <w:tcPr>
            <w:tcW w:w="1160" w:type="dxa"/>
            <w:vAlign w:val="bottom"/>
            <w:tcBorders>
              <w:top w:val="single" w:sz="8" w:color="auto"/>
              <w:bottom w:val="single" w:sz="8" w:color="auto"/>
            </w:tcBorders>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12.70</w:t>
            </w:r>
          </w:p>
        </w:tc>
        <w:tc>
          <w:tcPr>
            <w:tcW w:w="420" w:type="dxa"/>
            <w:vAlign w:val="bottom"/>
            <w:tcBorders>
              <w:bottom w:val="single" w:sz="8" w:color="CCECFF"/>
            </w:tcBorders>
            <w:shd w:val="clear" w:color="auto" w:fill="CCECFF"/>
          </w:tcPr>
          <w:p>
            <w:pPr>
              <w:spacing w:after="0"/>
              <w:rPr>
                <w:sz w:val="18"/>
                <w:szCs w:val="18"/>
                <w:color w:val="auto"/>
              </w:rPr>
            </w:pPr>
          </w:p>
        </w:tc>
        <w:tc>
          <w:tcPr>
            <w:tcW w:w="1160" w:type="dxa"/>
            <w:vAlign w:val="bottom"/>
            <w:tcBorders>
              <w:top w:val="single" w:sz="8" w:color="auto"/>
              <w:bottom w:val="single" w:sz="8" w:color="auto"/>
            </w:tcBorders>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12.70</w:t>
            </w:r>
          </w:p>
        </w:tc>
        <w:tc>
          <w:tcPr>
            <w:tcW w:w="180" w:type="dxa"/>
            <w:vAlign w:val="bottom"/>
            <w:tcBorders>
              <w:bottom w:val="single" w:sz="8" w:color="CCECFF"/>
            </w:tcBorders>
            <w:shd w:val="clear" w:color="auto" w:fill="CCECFF"/>
          </w:tcPr>
          <w:p>
            <w:pPr>
              <w:spacing w:after="0"/>
              <w:rPr>
                <w:sz w:val="18"/>
                <w:szCs w:val="18"/>
                <w:color w:val="auto"/>
              </w:rPr>
            </w:pPr>
          </w:p>
        </w:tc>
      </w:tr>
      <w:tr>
        <w:trPr>
          <w:trHeight w:val="156"/>
        </w:trPr>
        <w:tc>
          <w:tcPr>
            <w:tcW w:w="6780" w:type="dxa"/>
            <w:vAlign w:val="bottom"/>
          </w:tcPr>
          <w:p>
            <w:pPr>
              <w:ind w:left="20"/>
              <w:spacing w:after="0" w:line="156" w:lineRule="exact"/>
              <w:rPr>
                <w:sz w:val="20"/>
                <w:szCs w:val="20"/>
                <w:color w:val="auto"/>
              </w:rPr>
            </w:pPr>
            <w:r>
              <w:rPr>
                <w:rFonts w:ascii="Arial" w:cs="Arial" w:eastAsia="Arial" w:hAnsi="Arial"/>
                <w:sz w:val="14"/>
                <w:szCs w:val="14"/>
                <w:color w:val="auto"/>
              </w:rPr>
              <w:t>Per share market value, end of period</w:t>
            </w:r>
          </w:p>
        </w:tc>
        <w:tc>
          <w:tcPr>
            <w:tcW w:w="1160" w:type="dxa"/>
            <w:vAlign w:val="bottom"/>
            <w:tcBorders>
              <w:bottom w:val="single" w:sz="8" w:color="auto"/>
            </w:tcBorders>
          </w:tcPr>
          <w:p>
            <w:pPr>
              <w:jc w:val="right"/>
              <w:ind w:right="988"/>
              <w:spacing w:after="0" w:line="156"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12.77</w:t>
            </w:r>
          </w:p>
        </w:tc>
        <w:tc>
          <w:tcPr>
            <w:tcW w:w="420" w:type="dxa"/>
            <w:vAlign w:val="bottom"/>
          </w:tcPr>
          <w:p>
            <w:pPr>
              <w:spacing w:after="0"/>
              <w:rPr>
                <w:sz w:val="13"/>
                <w:szCs w:val="13"/>
                <w:color w:val="auto"/>
              </w:rPr>
            </w:pPr>
          </w:p>
        </w:tc>
        <w:tc>
          <w:tcPr>
            <w:tcW w:w="1160" w:type="dxa"/>
            <w:vAlign w:val="bottom"/>
            <w:tcBorders>
              <w:bottom w:val="single" w:sz="8" w:color="auto"/>
            </w:tcBorders>
          </w:tcPr>
          <w:p>
            <w:pPr>
              <w:jc w:val="right"/>
              <w:ind w:right="988"/>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10.53</w:t>
            </w:r>
          </w:p>
        </w:tc>
        <w:tc>
          <w:tcPr>
            <w:tcW w:w="180" w:type="dxa"/>
            <w:vAlign w:val="bottom"/>
          </w:tcPr>
          <w:p>
            <w:pPr>
              <w:spacing w:after="0"/>
              <w:rPr>
                <w:sz w:val="13"/>
                <w:szCs w:val="13"/>
                <w:color w:val="auto"/>
              </w:rPr>
            </w:pPr>
          </w:p>
        </w:tc>
      </w:tr>
      <w:tr>
        <w:trPr>
          <w:trHeight w:val="20"/>
        </w:trPr>
        <w:tc>
          <w:tcPr>
            <w:tcW w:w="6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56"/>
        </w:trPr>
        <w:tc>
          <w:tcPr>
            <w:tcW w:w="6780" w:type="dxa"/>
            <w:vAlign w:val="bottom"/>
            <w:shd w:val="clear" w:color="auto" w:fill="CCECFF"/>
          </w:tcPr>
          <w:p>
            <w:pPr>
              <w:ind w:left="20"/>
              <w:spacing w:after="0" w:line="156"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8"/>
                <w:szCs w:val="18"/>
                <w:color w:val="auto"/>
                <w:vertAlign w:val="superscript"/>
              </w:rPr>
              <w:t>*(3)</w:t>
            </w:r>
          </w:p>
        </w:tc>
        <w:tc>
          <w:tcPr>
            <w:tcW w:w="116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2.03</w:t>
            </w:r>
          </w:p>
        </w:tc>
        <w:tc>
          <w:tcPr>
            <w:tcW w:w="420" w:type="dxa"/>
            <w:vAlign w:val="bottom"/>
            <w:shd w:val="clear" w:color="auto" w:fill="CCECFF"/>
          </w:tcPr>
          <w:p>
            <w:pPr>
              <w:jc w:val="right"/>
              <w:ind w:right="208"/>
              <w:spacing w:after="0" w:line="156" w:lineRule="exact"/>
              <w:rPr>
                <w:sz w:val="20"/>
                <w:szCs w:val="20"/>
                <w:color w:val="auto"/>
              </w:rPr>
            </w:pPr>
            <w:r>
              <w:rPr>
                <w:rFonts w:ascii="Arial" w:cs="Arial" w:eastAsia="Arial" w:hAnsi="Arial"/>
                <w:sz w:val="14"/>
                <w:szCs w:val="14"/>
                <w:color w:val="auto"/>
                <w:w w:val="96"/>
              </w:rPr>
              <w:t>%</w:t>
            </w:r>
          </w:p>
        </w:tc>
        <w:tc>
          <w:tcPr>
            <w:tcW w:w="116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28.51</w:t>
            </w:r>
          </w:p>
        </w:tc>
        <w:tc>
          <w:tcPr>
            <w:tcW w:w="180" w:type="dxa"/>
            <w:vAlign w:val="bottom"/>
            <w:shd w:val="clear" w:color="auto" w:fill="CCECFF"/>
          </w:tcPr>
          <w:p>
            <w:pPr>
              <w:jc w:val="right"/>
              <w:spacing w:after="0" w:line="156" w:lineRule="exact"/>
              <w:rPr>
                <w:sz w:val="20"/>
                <w:szCs w:val="20"/>
                <w:color w:val="auto"/>
              </w:rPr>
            </w:pPr>
            <w:r>
              <w:rPr>
                <w:rFonts w:ascii="Arial" w:cs="Arial" w:eastAsia="Arial" w:hAnsi="Arial"/>
                <w:sz w:val="14"/>
                <w:szCs w:val="14"/>
                <w:color w:val="auto"/>
                <w:w w:val="96"/>
              </w:rPr>
              <w:t>%</w:t>
            </w:r>
          </w:p>
        </w:tc>
      </w:tr>
      <w:tr>
        <w:trPr>
          <w:trHeight w:val="175"/>
        </w:trPr>
        <w:tc>
          <w:tcPr>
            <w:tcW w:w="6780" w:type="dxa"/>
            <w:vAlign w:val="bottom"/>
          </w:tcPr>
          <w:p>
            <w:pPr>
              <w:ind w:left="20"/>
              <w:spacing w:after="0"/>
              <w:rPr>
                <w:sz w:val="20"/>
                <w:szCs w:val="20"/>
                <w:color w:val="auto"/>
              </w:rPr>
            </w:pPr>
            <w:r>
              <w:rPr>
                <w:rFonts w:ascii="Arial" w:cs="Arial" w:eastAsia="Arial" w:hAnsi="Arial"/>
                <w:sz w:val="14"/>
                <w:szCs w:val="14"/>
                <w:color w:val="auto"/>
              </w:rPr>
              <w:t>Shares outstanding at end of period</w:t>
            </w:r>
          </w:p>
        </w:tc>
        <w:tc>
          <w:tcPr>
            <w:tcW w:w="1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39,150,794</w:t>
            </w:r>
          </w:p>
        </w:tc>
        <w:tc>
          <w:tcPr>
            <w:tcW w:w="4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180" w:type="dxa"/>
            <w:vAlign w:val="bottom"/>
          </w:tcPr>
          <w:p>
            <w:pPr>
              <w:spacing w:after="0"/>
              <w:rPr>
                <w:sz w:val="15"/>
                <w:szCs w:val="15"/>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b w:val="1"/>
                <w:bCs w:val="1"/>
                <w:color w:val="auto"/>
              </w:rPr>
              <w:t>Ratios</w:t>
            </w:r>
            <w:r>
              <w:rPr>
                <w:rFonts w:ascii="Arial" w:cs="Arial" w:eastAsia="Arial" w:hAnsi="Arial"/>
                <w:sz w:val="19"/>
                <w:szCs w:val="19"/>
                <w:b w:val="1"/>
                <w:bCs w:val="1"/>
                <w:color w:val="auto"/>
                <w:vertAlign w:val="superscript"/>
              </w:rPr>
              <w:t>**</w:t>
            </w:r>
            <w:r>
              <w:rPr>
                <w:rFonts w:ascii="Arial" w:cs="Arial" w:eastAsia="Arial" w:hAnsi="Arial"/>
                <w:sz w:val="14"/>
                <w:szCs w:val="14"/>
                <w:b w:val="1"/>
                <w:bCs w:val="1"/>
                <w:color w:val="auto"/>
              </w:rPr>
              <w:t xml:space="preserve"> / Supplemental Data:</w:t>
            </w:r>
          </w:p>
        </w:tc>
        <w:tc>
          <w:tcPr>
            <w:tcW w:w="116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r>
      <w:tr>
        <w:trPr>
          <w:trHeight w:val="176"/>
        </w:trPr>
        <w:tc>
          <w:tcPr>
            <w:tcW w:w="678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9"/>
                <w:szCs w:val="19"/>
                <w:color w:val="auto"/>
                <w:vertAlign w:val="superscript"/>
              </w:rPr>
              <w:t>(4)</w:t>
            </w:r>
          </w:p>
        </w:tc>
        <w:tc>
          <w:tcPr>
            <w:tcW w:w="116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Arial" w:cs="Arial" w:eastAsia="Arial" w:hAnsi="Arial"/>
                <w:sz w:val="14"/>
                <w:szCs w:val="14"/>
                <w:color w:val="auto"/>
              </w:rPr>
              <w:t>5.63 %</w:t>
            </w:r>
          </w:p>
        </w:tc>
        <w:tc>
          <w:tcPr>
            <w:tcW w:w="11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4.38 %</w:t>
            </w:r>
          </w:p>
        </w:tc>
      </w:tr>
      <w:tr>
        <w:trPr>
          <w:trHeight w:val="175"/>
        </w:trPr>
        <w:tc>
          <w:tcPr>
            <w:tcW w:w="678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9"/>
                <w:szCs w:val="19"/>
                <w:color w:val="auto"/>
                <w:vertAlign w:val="superscript"/>
              </w:rPr>
              <w:t>(5)</w:t>
            </w:r>
          </w:p>
        </w:tc>
        <w:tc>
          <w:tcPr>
            <w:tcW w:w="116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5.36 %</w:t>
            </w:r>
          </w:p>
        </w:tc>
        <w:tc>
          <w:tcPr>
            <w:tcW w:w="1160" w:type="dxa"/>
            <w:vAlign w:val="bottom"/>
            <w:shd w:val="clear" w:color="auto" w:fill="CCECFF"/>
          </w:tcPr>
          <w:p>
            <w:pPr>
              <w:spacing w:after="0"/>
              <w:rPr>
                <w:sz w:val="15"/>
                <w:szCs w:val="15"/>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4.43 %</w:t>
            </w:r>
          </w:p>
        </w:tc>
      </w:tr>
      <w:tr>
        <w:trPr>
          <w:trHeight w:val="20"/>
        </w:trPr>
        <w:tc>
          <w:tcPr>
            <w:tcW w:w="678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r>
      <w:tr>
        <w:trPr>
          <w:trHeight w:val="169"/>
        </w:trPr>
        <w:tc>
          <w:tcPr>
            <w:tcW w:w="6780" w:type="dxa"/>
            <w:vAlign w:val="bottom"/>
          </w:tcPr>
          <w:p>
            <w:pPr>
              <w:ind w:left="20"/>
              <w:spacing w:after="0" w:line="16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9"/>
                <w:szCs w:val="19"/>
                <w:color w:val="auto"/>
                <w:vertAlign w:val="superscript"/>
              </w:rPr>
              <w:t>(5)</w:t>
            </w:r>
          </w:p>
        </w:tc>
        <w:tc>
          <w:tcPr>
            <w:tcW w:w="1160" w:type="dxa"/>
            <w:vAlign w:val="bottom"/>
          </w:tcPr>
          <w:p>
            <w:pPr>
              <w:spacing w:after="0"/>
              <w:rPr>
                <w:sz w:val="14"/>
                <w:szCs w:val="14"/>
                <w:color w:val="auto"/>
              </w:rPr>
            </w:pPr>
          </w:p>
        </w:tc>
        <w:tc>
          <w:tcPr>
            <w:tcW w:w="1200" w:type="dxa"/>
            <w:vAlign w:val="bottom"/>
            <w:gridSpan w:val="2"/>
          </w:tcPr>
          <w:p>
            <w:pPr>
              <w:jc w:val="right"/>
              <w:ind w:right="208"/>
              <w:spacing w:after="0"/>
              <w:rPr>
                <w:sz w:val="20"/>
                <w:szCs w:val="20"/>
                <w:color w:val="auto"/>
              </w:rPr>
            </w:pPr>
            <w:r>
              <w:rPr>
                <w:rFonts w:ascii="Arial" w:cs="Arial" w:eastAsia="Arial" w:hAnsi="Arial"/>
                <w:sz w:val="14"/>
                <w:szCs w:val="14"/>
                <w:color w:val="auto"/>
              </w:rPr>
              <w:t>10.99 %</w:t>
            </w:r>
          </w:p>
        </w:tc>
        <w:tc>
          <w:tcPr>
            <w:tcW w:w="1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8.81 %</w:t>
            </w:r>
          </w:p>
        </w:tc>
      </w:tr>
      <w:tr>
        <w:trPr>
          <w:trHeight w:val="176"/>
        </w:trPr>
        <w:tc>
          <w:tcPr>
            <w:tcW w:w="678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9"/>
                <w:szCs w:val="19"/>
                <w:color w:val="auto"/>
                <w:vertAlign w:val="superscript"/>
              </w:rPr>
              <w:t>(5)</w:t>
            </w:r>
          </w:p>
        </w:tc>
        <w:tc>
          <w:tcPr>
            <w:tcW w:w="116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10.27 %</w:t>
            </w:r>
          </w:p>
        </w:tc>
        <w:tc>
          <w:tcPr>
            <w:tcW w:w="1160" w:type="dxa"/>
            <w:vAlign w:val="bottom"/>
            <w:shd w:val="clear" w:color="auto" w:fill="CCECFF"/>
          </w:tcPr>
          <w:p>
            <w:pPr>
              <w:spacing w:after="0"/>
              <w:rPr>
                <w:sz w:val="15"/>
                <w:szCs w:val="15"/>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8.39 %</w:t>
            </w:r>
          </w:p>
        </w:tc>
      </w:tr>
      <w:tr>
        <w:trPr>
          <w:trHeight w:val="175"/>
        </w:trPr>
        <w:tc>
          <w:tcPr>
            <w:tcW w:w="6780" w:type="dxa"/>
            <w:vAlign w:val="bottom"/>
          </w:tcPr>
          <w:p>
            <w:pPr>
              <w:ind w:left="20"/>
              <w:spacing w:after="0"/>
              <w:rPr>
                <w:sz w:val="20"/>
                <w:szCs w:val="20"/>
                <w:color w:val="auto"/>
              </w:rPr>
            </w:pPr>
            <w:r>
              <w:rPr>
                <w:rFonts w:ascii="Arial" w:cs="Arial" w:eastAsia="Arial" w:hAnsi="Arial"/>
                <w:sz w:val="14"/>
                <w:szCs w:val="14"/>
                <w:color w:val="auto"/>
              </w:rPr>
              <w:t>Net assets at end of period</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497,405,488</w:t>
            </w:r>
          </w:p>
        </w:tc>
        <w:tc>
          <w:tcPr>
            <w:tcW w:w="420" w:type="dxa"/>
            <w:vAlign w:val="bottom"/>
          </w:tcPr>
          <w:p>
            <w:pPr>
              <w:spacing w:after="0"/>
              <w:rPr>
                <w:sz w:val="15"/>
                <w:szCs w:val="15"/>
                <w:color w:val="auto"/>
              </w:rPr>
            </w:pP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492,350,939</w:t>
            </w:r>
          </w:p>
        </w:tc>
        <w:tc>
          <w:tcPr>
            <w:tcW w:w="180" w:type="dxa"/>
            <w:vAlign w:val="bottom"/>
          </w:tcPr>
          <w:p>
            <w:pPr>
              <w:spacing w:after="0"/>
              <w:rPr>
                <w:sz w:val="15"/>
                <w:szCs w:val="15"/>
                <w:color w:val="auto"/>
              </w:rPr>
            </w:pPr>
          </w:p>
        </w:tc>
      </w:tr>
      <w:tr>
        <w:trPr>
          <w:trHeight w:val="169"/>
        </w:trPr>
        <w:tc>
          <w:tcPr>
            <w:tcW w:w="6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Weighted average debt outstanding</w:t>
            </w:r>
          </w:p>
        </w:tc>
        <w:tc>
          <w:tcPr>
            <w:tcW w:w="1160" w:type="dxa"/>
            <w:vAlign w:val="bottom"/>
            <w:tcBorders>
              <w:bottom w:val="single" w:sz="8" w:color="auto"/>
            </w:tcBorders>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7"/>
              </w:rPr>
              <w:t>739,240,796</w:t>
            </w:r>
          </w:p>
        </w:tc>
        <w:tc>
          <w:tcPr>
            <w:tcW w:w="420" w:type="dxa"/>
            <w:vAlign w:val="bottom"/>
            <w:tcBorders>
              <w:bottom w:val="single" w:sz="8" w:color="CCECFF"/>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5"/>
              </w:rPr>
              <w:t>649,905,940</w:t>
            </w:r>
          </w:p>
        </w:tc>
        <w:tc>
          <w:tcPr>
            <w:tcW w:w="180" w:type="dxa"/>
            <w:vAlign w:val="bottom"/>
            <w:tcBorders>
              <w:bottom w:val="single" w:sz="8" w:color="CCECFF"/>
            </w:tcBorders>
            <w:shd w:val="clear" w:color="auto" w:fill="CCECFF"/>
          </w:tcPr>
          <w:p>
            <w:pPr>
              <w:spacing w:after="0"/>
              <w:rPr>
                <w:sz w:val="14"/>
                <w:szCs w:val="14"/>
                <w:color w:val="auto"/>
              </w:rPr>
            </w:pPr>
          </w:p>
        </w:tc>
      </w:tr>
      <w:tr>
        <w:trPr>
          <w:trHeight w:val="169"/>
        </w:trPr>
        <w:tc>
          <w:tcPr>
            <w:tcW w:w="6780" w:type="dxa"/>
            <w:vAlign w:val="bottom"/>
          </w:tcPr>
          <w:p>
            <w:pPr>
              <w:ind w:left="20"/>
              <w:spacing w:after="0" w:line="16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9"/>
                <w:szCs w:val="19"/>
                <w:color w:val="auto"/>
                <w:vertAlign w:val="superscript"/>
              </w:rPr>
              <w:t>(1)</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18.97</w:t>
            </w:r>
          </w:p>
        </w:tc>
        <w:tc>
          <w:tcPr>
            <w:tcW w:w="420" w:type="dxa"/>
            <w:vAlign w:val="bottom"/>
          </w:tcPr>
          <w:p>
            <w:pPr>
              <w:spacing w:after="0"/>
              <w:rPr>
                <w:sz w:val="14"/>
                <w:szCs w:val="14"/>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16.76</w:t>
            </w:r>
          </w:p>
        </w:tc>
        <w:tc>
          <w:tcPr>
            <w:tcW w:w="180" w:type="dxa"/>
            <w:vAlign w:val="bottom"/>
          </w:tcPr>
          <w:p>
            <w:pPr>
              <w:spacing w:after="0"/>
              <w:rPr>
                <w:sz w:val="14"/>
                <w:szCs w:val="14"/>
                <w:color w:val="auto"/>
              </w:rPr>
            </w:pPr>
          </w:p>
        </w:tc>
      </w:tr>
      <w:tr>
        <w:trPr>
          <w:trHeight w:val="175"/>
        </w:trPr>
        <w:tc>
          <w:tcPr>
            <w:tcW w:w="678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9"/>
                <w:szCs w:val="19"/>
                <w:color w:val="auto"/>
                <w:vertAlign w:val="superscript"/>
              </w:rPr>
              <w:t>(6)</w:t>
            </w:r>
          </w:p>
        </w:tc>
        <w:tc>
          <w:tcPr>
            <w:tcW w:w="1160" w:type="dxa"/>
            <w:vAlign w:val="bottom"/>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1,649</w:t>
            </w:r>
          </w:p>
        </w:tc>
        <w:tc>
          <w:tcPr>
            <w:tcW w:w="420" w:type="dxa"/>
            <w:vAlign w:val="bottom"/>
            <w:shd w:val="clear" w:color="auto" w:fill="CCECFF"/>
          </w:tcPr>
          <w:p>
            <w:pPr>
              <w:spacing w:after="0"/>
              <w:rPr>
                <w:sz w:val="15"/>
                <w:szCs w:val="15"/>
                <w:color w:val="auto"/>
              </w:rPr>
            </w:pPr>
          </w:p>
        </w:tc>
        <w:tc>
          <w:tcPr>
            <w:tcW w:w="1160" w:type="dxa"/>
            <w:vAlign w:val="bottom"/>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1,792</w:t>
            </w:r>
          </w:p>
        </w:tc>
        <w:tc>
          <w:tcPr>
            <w:tcW w:w="180" w:type="dxa"/>
            <w:vAlign w:val="bottom"/>
            <w:shd w:val="clear" w:color="auto" w:fill="CCECFF"/>
          </w:tcPr>
          <w:p>
            <w:pPr>
              <w:spacing w:after="0"/>
              <w:rPr>
                <w:sz w:val="15"/>
                <w:szCs w:val="15"/>
                <w:color w:val="auto"/>
              </w:rPr>
            </w:pPr>
          </w:p>
        </w:tc>
      </w:tr>
      <w:tr>
        <w:trPr>
          <w:trHeight w:val="174"/>
        </w:trPr>
        <w:tc>
          <w:tcPr>
            <w:tcW w:w="6780" w:type="dxa"/>
            <w:vAlign w:val="bottom"/>
          </w:tcPr>
          <w:p>
            <w:pPr>
              <w:ind w:left="20"/>
              <w:spacing w:after="0"/>
              <w:rPr>
                <w:sz w:val="20"/>
                <w:szCs w:val="20"/>
                <w:color w:val="auto"/>
              </w:rPr>
            </w:pPr>
            <w:r>
              <w:rPr>
                <w:rFonts w:ascii="Arial" w:cs="Arial" w:eastAsia="Arial" w:hAnsi="Arial"/>
                <w:sz w:val="14"/>
                <w:szCs w:val="14"/>
                <w:color w:val="auto"/>
              </w:rPr>
              <w:t>Portfolio turnover ratio</w:t>
            </w:r>
          </w:p>
        </w:tc>
        <w:tc>
          <w:tcPr>
            <w:tcW w:w="116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Arial" w:cs="Arial" w:eastAsia="Arial" w:hAnsi="Arial"/>
                <w:sz w:val="14"/>
                <w:szCs w:val="14"/>
                <w:color w:val="auto"/>
              </w:rPr>
              <w:t>19.94 %</w:t>
            </w:r>
          </w:p>
        </w:tc>
        <w:tc>
          <w:tcPr>
            <w:tcW w:w="11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-1532890</wp:posOffset>
            </wp:positionV>
            <wp:extent cx="12001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-1515745</wp:posOffset>
            </wp:positionV>
            <wp:extent cx="12001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-1532890</wp:posOffset>
            </wp:positionV>
            <wp:extent cx="1117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-1515745</wp:posOffset>
            </wp:positionV>
            <wp:extent cx="1117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-801370</wp:posOffset>
            </wp:positionV>
            <wp:extent cx="120015"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-801370</wp:posOffset>
            </wp:positionV>
            <wp:extent cx="111760"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-338455</wp:posOffset>
            </wp:positionV>
            <wp:extent cx="120015"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-338455</wp:posOffset>
            </wp:positionV>
            <wp:extent cx="111760"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ind w:right="9180" w:firstLine="8"/>
        <w:spacing w:after="0" w:line="281" w:lineRule="auto"/>
        <w:tabs>
          <w:tab w:leader="none" w:pos="81" w:val="left"/>
        </w:tabs>
        <w:numPr>
          <w:ilvl w:val="0"/>
          <w:numId w:val="16"/>
        </w:numPr>
        <w:rPr>
          <w:rFonts w:ascii="Arial" w:cs="Arial" w:eastAsia="Arial" w:hAnsi="Arial"/>
          <w:sz w:val="9"/>
          <w:szCs w:val="9"/>
          <w:b w:val="1"/>
          <w:bCs w:val="1"/>
          <w:color w:val="auto"/>
        </w:rPr>
      </w:pPr>
      <w:r>
        <w:rPr>
          <w:rFonts w:ascii="Arial" w:cs="Arial" w:eastAsia="Arial" w:hAnsi="Arial"/>
          <w:sz w:val="9"/>
          <w:szCs w:val="9"/>
          <w:color w:val="auto"/>
        </w:rPr>
        <w:t xml:space="preserve">Not annualized for periods less than one year. </w:t>
      </w:r>
      <w:r>
        <w:rPr>
          <w:rFonts w:ascii="Arial" w:cs="Arial" w:eastAsia="Arial" w:hAnsi="Arial"/>
          <w:sz w:val="9"/>
          <w:szCs w:val="9"/>
          <w:b w:val="1"/>
          <w:bCs w:val="1"/>
          <w:color w:val="auto"/>
        </w:rPr>
        <w:t xml:space="preserve">** </w:t>
      </w:r>
      <w:r>
        <w:rPr>
          <w:rFonts w:ascii="Arial" w:cs="Arial" w:eastAsia="Arial" w:hAnsi="Arial"/>
          <w:sz w:val="9"/>
          <w:szCs w:val="9"/>
          <w:color w:val="auto"/>
        </w:rPr>
        <w:t>Annualized for periods less than one year.</w:t>
      </w:r>
    </w:p>
    <w:p>
      <w:pPr>
        <w:ind w:left="380" w:hanging="372"/>
        <w:spacing w:after="0" w:line="182"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Excludes debt-related costs.</w:t>
      </w:r>
    </w:p>
    <w:p>
      <w:pPr>
        <w:ind w:left="380" w:hanging="372"/>
        <w:spacing w:after="0" w:line="181"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Includes interest and expenses on debt (annualized) as well as Credit Facility amendment and debt issuance costs, if any, (not annualized).</w:t>
      </w:r>
    </w:p>
    <w:p>
      <w:pPr>
        <w:ind w:left="380" w:right="360" w:hanging="372"/>
        <w:spacing w:after="0" w:line="208"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67" w:lineRule="exact"/>
        <w:rPr>
          <w:sz w:val="20"/>
          <w:szCs w:val="20"/>
          <w:color w:val="auto"/>
        </w:rPr>
      </w:pPr>
    </w:p>
    <w:p>
      <w:pPr>
        <w:ind w:right="20" w:firstLine="449"/>
        <w:spacing w:after="0" w:line="257" w:lineRule="auto"/>
        <w:rPr>
          <w:sz w:val="20"/>
          <w:szCs w:val="20"/>
          <w:color w:val="auto"/>
        </w:rPr>
      </w:pPr>
      <w:r>
        <w:rPr>
          <w:rFonts w:ascii="Arial" w:cs="Arial" w:eastAsia="Arial" w:hAnsi="Arial"/>
          <w:sz w:val="14"/>
          <w:szCs w:val="14"/>
          <w:color w:val="auto"/>
        </w:rPr>
        <w:t>The annualized weighted average cost of debt for the three months ended December 31, 2021 and 2020, inclusive of the fee on the undrawn commitment on the Credit Facility or the Prior Credit Facility, as applicable, amendment costs and debt issuance costs, was 3.6% and 3.3%, respectively. As of December 31, 2021, in accordance with the 1940 Act, with certain limited exceptions, we are only allowed to borrow amounts such that we are in compliance with a 150% asset coverage ratio requirement after such borrowing.</w:t>
      </w:r>
    </w:p>
    <w:p>
      <w:pPr>
        <w:spacing w:after="0" w:line="131" w:lineRule="exact"/>
        <w:rPr>
          <w:sz w:val="20"/>
          <w:szCs w:val="20"/>
          <w:color w:val="auto"/>
        </w:rPr>
      </w:pPr>
    </w:p>
    <w:p>
      <w:pPr>
        <w:ind w:firstLine="449"/>
        <w:spacing w:after="0" w:line="277"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2021 and September 30, 2021, our asset coverage ratio, as computed in accordance with the 1940 Act, was 165% and 175%,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63" w:lineRule="exact"/>
        <w:rPr>
          <w:sz w:val="20"/>
          <w:szCs w:val="20"/>
          <w:color w:val="auto"/>
        </w:rPr>
      </w:pPr>
    </w:p>
    <w:p>
      <w:pPr>
        <w:ind w:firstLine="449"/>
        <w:spacing w:after="0" w:line="247" w:lineRule="auto"/>
        <w:rPr>
          <w:sz w:val="20"/>
          <w:szCs w:val="20"/>
          <w:color w:val="auto"/>
        </w:rPr>
      </w:pPr>
      <w:r>
        <w:rPr>
          <w:rFonts w:ascii="Arial" w:cs="Arial" w:eastAsia="Arial" w:hAnsi="Arial"/>
          <w:sz w:val="14"/>
          <w:szCs w:val="14"/>
          <w:color w:val="auto"/>
        </w:rPr>
        <w:t>Funding I’s multi-currency Credit Facility with affiliates of Truist Bank (formerly SunTrust Bank), or the Lenders, was $300 million as of December 31, 2021, subject to satisfaction of certain conditions and regulatory restrictions that the 1940 Act imposes on us as a BDC, has an interest rate spread above LIBOR (or an alternative risk-free floating interest rate index) of 225 basis points, a maturity date of August 2026 and a revolving period that ends in August 2024. As of December 31, 2021 and September 30, 2021, Funding I had $256.7 million and $219.4 million of outstanding borrowings under the Credit Facility, respectively. The Credit Facility had a weighted average interest rate of 2.4% and 2.3%, exclusive of the fee on undrawn commitments as of December 31, 2021 and September 30, 2021, respectively. As of December 31, 2021 and September 30, 2021, we had $43.3 million and $80.6 million of unused borrowing capacity under the Credit Facility, respectively, subject to leverage and borrowing base restrictions.</w:t>
      </w:r>
    </w:p>
    <w:p>
      <w:pPr>
        <w:spacing w:after="0" w:line="126"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134"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2021, we were in compliance with the covenants relating to the Credit Facility.</w:t>
      </w:r>
    </w:p>
    <w:p>
      <w:pPr>
        <w:spacing w:after="0" w:line="134" w:lineRule="exact"/>
        <w:rPr>
          <w:sz w:val="20"/>
          <w:szCs w:val="20"/>
          <w:color w:val="auto"/>
        </w:rPr>
      </w:pPr>
    </w:p>
    <w:p>
      <w:pPr>
        <w:ind w:right="340" w:firstLine="449"/>
        <w:spacing w:after="0" w:line="250"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63" w:lineRule="exact"/>
        <w:rPr>
          <w:sz w:val="20"/>
          <w:szCs w:val="20"/>
          <w:color w:val="auto"/>
        </w:rPr>
      </w:pPr>
    </w:p>
    <w:p>
      <w:pPr>
        <w:ind w:right="640" w:firstLine="449"/>
        <w:spacing w:after="0" w:line="273" w:lineRule="auto"/>
        <w:rPr>
          <w:sz w:val="20"/>
          <w:szCs w:val="20"/>
          <w:color w:val="auto"/>
        </w:rPr>
      </w:pPr>
      <w:r>
        <w:rPr>
          <w:rFonts w:ascii="Arial" w:cs="Arial" w:eastAsia="Arial" w:hAnsi="Arial"/>
          <w:sz w:val="14"/>
          <w:szCs w:val="14"/>
          <w:color w:val="auto"/>
        </w:rPr>
        <w:t>In November 2017, we issued $138.6 million of our 2023 Notes of which $97.0 million and $117.8 million were outstanding as at December 31, 2021 and September 30, 2021, respectively. The 2023 Notes were issued pursuant to a deed of trust between the Company and Mishmeret Trust Company, Ltd., as trustee.</w:t>
      </w:r>
    </w:p>
    <w:p>
      <w:pPr>
        <w:spacing w:after="0" w:line="120" w:lineRule="exact"/>
        <w:rPr>
          <w:sz w:val="20"/>
          <w:szCs w:val="20"/>
          <w:color w:val="auto"/>
        </w:rPr>
      </w:pPr>
    </w:p>
    <w:p>
      <w:pPr>
        <w:ind w:right="180" w:firstLine="449"/>
        <w:spacing w:after="0" w:line="252" w:lineRule="auto"/>
        <w:rPr>
          <w:sz w:val="20"/>
          <w:szCs w:val="20"/>
          <w:color w:val="auto"/>
        </w:rPr>
      </w:pPr>
      <w:r>
        <w:rPr>
          <w:rFonts w:ascii="Arial" w:cs="Arial" w:eastAsia="Arial" w:hAnsi="Arial"/>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34" w:lineRule="exact"/>
        <w:rPr>
          <w:sz w:val="20"/>
          <w:szCs w:val="20"/>
          <w:color w:val="auto"/>
        </w:rPr>
      </w:pPr>
    </w:p>
    <w:p>
      <w:pPr>
        <w:ind w:right="120" w:firstLine="449"/>
        <w:spacing w:after="0" w:line="252" w:lineRule="auto"/>
        <w:rPr>
          <w:sz w:val="20"/>
          <w:szCs w:val="20"/>
          <w:color w:val="auto"/>
        </w:rPr>
      </w:pPr>
      <w:r>
        <w:rPr>
          <w:rFonts w:ascii="Arial" w:cs="Arial" w:eastAsia="Arial" w:hAnsi="Arial"/>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34" w:lineRule="exact"/>
        <w:rPr>
          <w:sz w:val="20"/>
          <w:szCs w:val="20"/>
          <w:color w:val="auto"/>
        </w:rPr>
      </w:pPr>
    </w:p>
    <w:p>
      <w:pPr>
        <w:ind w:right="300" w:firstLine="449"/>
        <w:spacing w:after="0" w:line="27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163" w:lineRule="exact"/>
        <w:rPr>
          <w:sz w:val="20"/>
          <w:szCs w:val="20"/>
          <w:color w:val="auto"/>
        </w:rPr>
      </w:pPr>
    </w:p>
    <w:p>
      <w:pPr>
        <w:ind w:firstLine="449"/>
        <w:spacing w:after="0" w:line="270" w:lineRule="auto"/>
        <w:rPr>
          <w:sz w:val="20"/>
          <w:szCs w:val="20"/>
          <w:color w:val="auto"/>
        </w:rPr>
      </w:pPr>
      <w:r>
        <w:rPr>
          <w:rFonts w:ascii="Arial" w:cs="Arial" w:eastAsia="Arial" w:hAnsi="Arial"/>
          <w:sz w:val="13"/>
          <w:szCs w:val="13"/>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2031 Asset-Backed Debt</w:t>
      </w:r>
    </w:p>
    <w:p>
      <w:pPr>
        <w:spacing w:after="0" w:line="163" w:lineRule="exact"/>
        <w:rPr>
          <w:sz w:val="20"/>
          <w:szCs w:val="20"/>
          <w:color w:val="auto"/>
        </w:rPr>
      </w:pPr>
    </w:p>
    <w:p>
      <w:pPr>
        <w:ind w:right="40" w:firstLine="485"/>
        <w:spacing w:after="0" w:line="164" w:lineRule="exact"/>
        <w:rPr>
          <w:sz w:val="20"/>
          <w:szCs w:val="20"/>
          <w:color w:val="auto"/>
        </w:rPr>
      </w:pPr>
      <w:r>
        <w:rPr>
          <w:rFonts w:ascii="Arial" w:cs="Arial" w:eastAsia="Arial" w:hAnsi="Arial"/>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42" w:lineRule="exact"/>
        <w:rPr>
          <w:sz w:val="20"/>
          <w:szCs w:val="20"/>
          <w:color w:val="auto"/>
        </w:rPr>
      </w:pPr>
    </w:p>
    <w:p>
      <w:pPr>
        <w:ind w:firstLine="449"/>
        <w:spacing w:after="0" w:line="252"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34" w:lineRule="exact"/>
        <w:rPr>
          <w:sz w:val="20"/>
          <w:szCs w:val="20"/>
          <w:color w:val="auto"/>
        </w:rPr>
      </w:pPr>
    </w:p>
    <w:p>
      <w:pPr>
        <w:ind w:right="60" w:firstLine="449"/>
        <w:spacing w:after="0" w:line="252" w:lineRule="auto"/>
        <w:rPr>
          <w:sz w:val="20"/>
          <w:szCs w:val="20"/>
          <w:color w:val="auto"/>
        </w:rPr>
      </w:pPr>
      <w:r>
        <w:rPr>
          <w:rFonts w:ascii="Arial" w:cs="Arial" w:eastAsia="Arial" w:hAnsi="Arial"/>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December 31, 2021 and September 30, 2021, the Company had $228.0 million of 2031 Asset-Backed Debt outstanding with a weighted average interest rate of 2.6% and 2.6%, respectively. As of December 31, 2021 and September 30, 2021, the unamortized fees on the 2031 Asset-Backed Debt were $2.3 million and $2.5 million, respectively.</w:t>
      </w:r>
    </w:p>
    <w:p>
      <w:pPr>
        <w:spacing w:after="0" w:line="134" w:lineRule="exact"/>
        <w:rPr>
          <w:sz w:val="20"/>
          <w:szCs w:val="20"/>
          <w:color w:val="auto"/>
        </w:rPr>
      </w:pPr>
    </w:p>
    <w:p>
      <w:pPr>
        <w:ind w:right="360" w:firstLine="449"/>
        <w:spacing w:after="0" w:line="273" w:lineRule="auto"/>
        <w:rPr>
          <w:sz w:val="20"/>
          <w:szCs w:val="20"/>
          <w:color w:val="auto"/>
        </w:rPr>
      </w:pPr>
      <w:r>
        <w:rPr>
          <w:rFonts w:ascii="Arial" w:cs="Arial" w:eastAsia="Arial" w:hAnsi="Arial"/>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67" w:lineRule="exact"/>
        <w:rPr>
          <w:sz w:val="20"/>
          <w:szCs w:val="20"/>
          <w:color w:val="auto"/>
        </w:rPr>
      </w:pPr>
    </w:p>
    <w:p>
      <w:pPr>
        <w:ind w:right="180" w:firstLine="449"/>
        <w:spacing w:after="0" w:line="250"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proceedings will have a material effect upon our financial condition or results of operations. Unfunded debt and equity investments, if any, are disclosed in the Consolidated Schedules of Investments. As of December 31, 2021 and September 30, 2021, we had $172.7 million and $166.9 million, respectively, in commitments to fund investments. Additionally, as described in Note 4, the Company had unfunded commitments of $24.6 and $42.0 million to PSSL as of December 31, 2021 and September 30, 2021,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67" w:lineRule="exact"/>
        <w:rPr>
          <w:sz w:val="20"/>
          <w:szCs w:val="20"/>
          <w:color w:val="auto"/>
        </w:rPr>
      </w:pPr>
    </w:p>
    <w:p>
      <w:pPr>
        <w:ind w:right="200"/>
        <w:spacing w:after="0" w:line="273" w:lineRule="auto"/>
        <w:rPr>
          <w:sz w:val="20"/>
          <w:szCs w:val="20"/>
          <w:color w:val="auto"/>
        </w:rPr>
      </w:pPr>
      <w:r>
        <w:rPr>
          <w:rFonts w:ascii="Arial" w:cs="Arial" w:eastAsia="Arial" w:hAnsi="Arial"/>
          <w:sz w:val="13"/>
          <w:szCs w:val="13"/>
          <w:color w:val="auto"/>
        </w:rPr>
        <w:t>We have reviewed the accompanying consolidated statement of assets and liabilities of PennantPark Floating Rate Capital Ltd. and its Subsidiaries (collectively referred to as the Company), including the consolidated schedule of investments, as of December 31, 2021, and the related consolidated statements of operations and changes in net assets for the three-month periods ended December 31, 2021 and 2020, and cash flows for the three-month periods ended December 31, 2021 and 2020, and the related notes to the consolidated financial statements (collectively, the interim financial information or financial statements). Based on our reviews, we are not aware of any material modifications that should be made to the accompanying interim financial information referred to above for them to be in conformity with accounting principles generally accepted in the United States of America.</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2021, and the related consolidated statements of operations, changes in net assets, and cash flows for the year then ended (not presented herein); and in our report dated November 17, 2021, we expressed an unqualified opinion on those consolidated financial statements. In our opinion, the information set forth in the accompanying consolidated statement of assets and liabilities as of September 30, 2021, is fairly stated, in all material respects, in relation to the consolidated statement of assets and liabilities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67"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67" w:lineRule="exact"/>
        <w:rPr>
          <w:sz w:val="20"/>
          <w:szCs w:val="20"/>
          <w:color w:val="auto"/>
        </w:rPr>
      </w:pPr>
    </w:p>
    <w:p>
      <w:pPr>
        <w:jc w:val="both"/>
        <w:ind w:right="80" w:firstLine="449"/>
        <w:spacing w:after="0" w:line="252"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34" w:lineRule="exact"/>
        <w:rPr>
          <w:sz w:val="20"/>
          <w:szCs w:val="20"/>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 including as a result of the current pandemic caused by COVID-19;</w:t>
      </w:r>
    </w:p>
    <w:p>
      <w:pPr>
        <w:spacing w:after="0" w:line="163" w:lineRule="exact"/>
        <w:rPr>
          <w:rFonts w:ascii="Arial" w:cs="Arial" w:eastAsia="Arial" w:hAnsi="Arial"/>
          <w:sz w:val="14"/>
          <w:szCs w:val="14"/>
          <w:color w:val="auto"/>
        </w:rPr>
      </w:pPr>
    </w:p>
    <w:p>
      <w:pPr>
        <w:ind w:left="840" w:right="40" w:hanging="383"/>
        <w:spacing w:after="0" w:line="273" w:lineRule="auto"/>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19"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(commonly known as “Brexit”) and other world economic and political issues.</w:t>
      </w:r>
    </w:p>
    <w:p>
      <w:pPr>
        <w:spacing w:after="0" w:line="163" w:lineRule="exact"/>
        <w:rPr>
          <w:sz w:val="20"/>
          <w:szCs w:val="20"/>
          <w:color w:val="auto"/>
        </w:rPr>
      </w:pPr>
    </w:p>
    <w:p>
      <w:pPr>
        <w:ind w:right="120" w:firstLine="449"/>
        <w:spacing w:after="0" w:line="257"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31" w:lineRule="exact"/>
        <w:rPr>
          <w:sz w:val="20"/>
          <w:szCs w:val="20"/>
          <w:color w:val="auto"/>
        </w:rPr>
      </w:pPr>
    </w:p>
    <w:p>
      <w:pPr>
        <w:jc w:val="both"/>
        <w:ind w:right="20" w:firstLine="449"/>
        <w:spacing w:after="0" w:line="252"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4" w:lineRule="exact"/>
        <w:rPr>
          <w:sz w:val="20"/>
          <w:szCs w:val="20"/>
          <w:color w:val="auto"/>
        </w:rPr>
      </w:pPr>
    </w:p>
    <w:p>
      <w:pPr>
        <w:ind w:right="60" w:firstLine="449"/>
        <w:spacing w:after="0" w:line="252"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34" w:lineRule="exact"/>
        <w:rPr>
          <w:sz w:val="20"/>
          <w:szCs w:val="20"/>
          <w:color w:val="auto"/>
        </w:rPr>
      </w:pPr>
    </w:p>
    <w:p>
      <w:pPr>
        <w:ind w:right="500" w:firstLine="449"/>
        <w:spacing w:after="0" w:line="27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20" w:lineRule="exact"/>
        <w:rPr>
          <w:sz w:val="20"/>
          <w:szCs w:val="20"/>
          <w:color w:val="auto"/>
        </w:rPr>
      </w:pPr>
    </w:p>
    <w:p>
      <w:pPr>
        <w:ind w:right="520" w:firstLine="449"/>
        <w:spacing w:after="0" w:line="27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63" w:lineRule="exact"/>
        <w:rPr>
          <w:sz w:val="20"/>
          <w:szCs w:val="20"/>
          <w:color w:val="auto"/>
        </w:rPr>
      </w:pPr>
    </w:p>
    <w:p>
      <w:pPr>
        <w:ind w:right="20" w:firstLine="449"/>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49"/>
        <w:spacing w:after="0" w:line="225"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8" w:name="page39"/>
    <w:bookmarkEnd w:id="38"/>
    <w:p>
      <w:pPr>
        <w:ind w:right="60"/>
        <w:spacing w:after="0" w:line="264" w:lineRule="auto"/>
        <w:rPr>
          <w:sz w:val="20"/>
          <w:szCs w:val="20"/>
          <w:color w:val="auto"/>
        </w:rPr>
      </w:pPr>
      <w:r>
        <w:rPr>
          <w:rFonts w:ascii="Arial" w:cs="Arial" w:eastAsia="Arial" w:hAnsi="Arial"/>
          <w:sz w:val="13"/>
          <w:szCs w:val="13"/>
          <w:color w:val="auto"/>
        </w:rPr>
        <w:t>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4" w:lineRule="exact"/>
        <w:rPr>
          <w:sz w:val="20"/>
          <w:szCs w:val="20"/>
          <w:color w:val="auto"/>
        </w:rPr>
      </w:pPr>
    </w:p>
    <w:p>
      <w:pPr>
        <w:ind w:right="180" w:firstLine="449"/>
        <w:spacing w:after="0" w:line="277"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20" w:lineRule="exact"/>
        <w:rPr>
          <w:sz w:val="20"/>
          <w:szCs w:val="20"/>
          <w:color w:val="auto"/>
        </w:rPr>
      </w:pPr>
    </w:p>
    <w:p>
      <w:pPr>
        <w:ind w:right="180" w:firstLine="449"/>
        <w:spacing w:after="0" w:line="257"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63" w:lineRule="exact"/>
        <w:rPr>
          <w:sz w:val="20"/>
          <w:szCs w:val="20"/>
          <w:color w:val="auto"/>
        </w:rPr>
      </w:pPr>
    </w:p>
    <w:p>
      <w:pPr>
        <w:ind w:right="140" w:firstLine="449"/>
        <w:spacing w:after="0" w:line="312"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97" w:lineRule="exact"/>
        <w:rPr>
          <w:sz w:val="20"/>
          <w:szCs w:val="20"/>
          <w:color w:val="auto"/>
        </w:rPr>
      </w:pPr>
    </w:p>
    <w:p>
      <w:pPr>
        <w:ind w:right="220" w:firstLine="449"/>
        <w:spacing w:after="0" w:line="24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163" w:lineRule="exact"/>
        <w:rPr>
          <w:sz w:val="20"/>
          <w:szCs w:val="20"/>
          <w:color w:val="auto"/>
        </w:rPr>
      </w:pPr>
    </w:p>
    <w:p>
      <w:pPr>
        <w:ind w:firstLine="449"/>
        <w:spacing w:after="0" w:line="281" w:lineRule="auto"/>
        <w:rPr>
          <w:sz w:val="20"/>
          <w:szCs w:val="20"/>
          <w:color w:val="auto"/>
        </w:rPr>
      </w:pPr>
      <w:r>
        <w:rPr>
          <w:rFonts w:ascii="Arial" w:cs="Arial" w:eastAsia="Arial" w:hAnsi="Arial"/>
          <w:sz w:val="13"/>
          <w:szCs w:val="13"/>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COVID_19 variants, may create stress on the market and may affect some of our portfolio</w:t>
      </w:r>
    </w:p>
    <w:p>
      <w:pPr>
        <w:spacing w:after="0" w:line="1" w:lineRule="exact"/>
        <w:rPr>
          <w:sz w:val="20"/>
          <w:szCs w:val="20"/>
          <w:color w:val="auto"/>
        </w:rPr>
      </w:pPr>
    </w:p>
    <w:p>
      <w:pPr>
        <w:ind w:right="460"/>
        <w:spacing w:after="0" w:line="333" w:lineRule="auto"/>
        <w:rPr>
          <w:sz w:val="20"/>
          <w:szCs w:val="20"/>
          <w:color w:val="auto"/>
        </w:rPr>
      </w:pPr>
      <w:r>
        <w:rPr>
          <w:rFonts w:ascii="Arial" w:cs="Arial" w:eastAsia="Arial" w:hAnsi="Arial"/>
          <w:sz w:val="14"/>
          <w:szCs w:val="14"/>
          <w:color w:val="auto"/>
        </w:rPr>
        <w:t>companies. We cannot predict the full impact of the COVID-19 pandemic, including any worsening thereof or its duration in the United States and globally and any impact to our business operations or the business operations of our portfolio companies</w:t>
      </w:r>
    </w:p>
    <w:p>
      <w:pPr>
        <w:spacing w:after="0" w:line="66" w:lineRule="exact"/>
        <w:rPr>
          <w:sz w:val="20"/>
          <w:szCs w:val="20"/>
          <w:color w:val="auto"/>
        </w:rPr>
      </w:pPr>
    </w:p>
    <w:p>
      <w:pPr>
        <w:ind w:right="60" w:firstLine="449"/>
        <w:spacing w:after="0" w:line="229" w:lineRule="auto"/>
        <w:rPr>
          <w:sz w:val="20"/>
          <w:szCs w:val="20"/>
          <w:color w:val="auto"/>
        </w:rPr>
      </w:pPr>
      <w:r>
        <w:rPr>
          <w:rFonts w:ascii="Arial" w:cs="Arial" w:eastAsia="Arial" w:hAnsi="Arial"/>
          <w:sz w:val="14"/>
          <w:szCs w:val="14"/>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118" w:lineRule="exact"/>
        <w:rPr>
          <w:sz w:val="20"/>
          <w:szCs w:val="20"/>
          <w:color w:val="auto"/>
        </w:rPr>
      </w:pPr>
    </w:p>
    <w:p>
      <w:pPr>
        <w:ind w:right="120" w:firstLine="449"/>
        <w:spacing w:after="0" w:line="249" w:lineRule="auto"/>
        <w:rPr>
          <w:sz w:val="20"/>
          <w:szCs w:val="20"/>
          <w:color w:val="auto"/>
        </w:rPr>
      </w:pPr>
      <w:r>
        <w:rPr>
          <w:rFonts w:ascii="Arial" w:cs="Arial" w:eastAsia="Arial" w:hAnsi="Arial"/>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reactions to the vaccine, politicization of the vaccination process or general public skepticism of the safety and efficacy of the vaccine. While we are unable to predict the ultimate adverse effect of COVID-19, or any worsening thereof, on our results of operation, we have identified certain factors that are likely to affect market, economic and geopolitical conditions, and thereby may adversely affect our business, including:</w:t>
      </w:r>
    </w:p>
    <w:p>
      <w:pPr>
        <w:spacing w:after="0" w:line="137" w:lineRule="exact"/>
        <w:rPr>
          <w:sz w:val="20"/>
          <w:szCs w:val="20"/>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U.S. and global economic recovery;</w:t>
      </w:r>
    </w:p>
    <w:p>
      <w:pPr>
        <w:spacing w:after="0" w:line="149"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136"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149"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149"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136"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163" w:lineRule="exact"/>
        <w:rPr>
          <w:sz w:val="20"/>
          <w:szCs w:val="20"/>
          <w:color w:val="auto"/>
        </w:rPr>
      </w:pPr>
    </w:p>
    <w:p>
      <w:pPr>
        <w:ind w:right="60" w:firstLine="449"/>
        <w:spacing w:after="0" w:line="246" w:lineRule="auto"/>
        <w:rPr>
          <w:sz w:val="20"/>
          <w:szCs w:val="20"/>
          <w:color w:val="auto"/>
        </w:rPr>
      </w:pPr>
      <w:r>
        <w:rPr>
          <w:rFonts w:ascii="Arial" w:cs="Arial" w:eastAsia="Arial" w:hAnsi="Arial"/>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December 31, 2021, we had three portfolio companies on non-accrual status, and the continuing impact of the COVID-19 pandemic, or any worsening thereof, may result in additional portfolio investments being placed on non-accrual status in the future.</w:t>
      </w:r>
    </w:p>
    <w:p>
      <w:pPr>
        <w:spacing w:after="0" w:line="141" w:lineRule="exact"/>
        <w:rPr>
          <w:sz w:val="20"/>
          <w:szCs w:val="20"/>
          <w:color w:val="auto"/>
        </w:rPr>
      </w:pPr>
    </w:p>
    <w:p>
      <w:pPr>
        <w:ind w:firstLine="449"/>
        <w:spacing w:after="0" w:line="249" w:lineRule="auto"/>
        <w:rPr>
          <w:sz w:val="20"/>
          <w:szCs w:val="20"/>
          <w:color w:val="auto"/>
        </w:rPr>
      </w:pPr>
      <w:r>
        <w:rPr>
          <w:rFonts w:ascii="Arial" w:cs="Arial" w:eastAsia="Arial" w:hAnsi="Arial"/>
          <w:sz w:val="14"/>
          <w:szCs w:val="14"/>
          <w:color w:val="auto"/>
        </w:rPr>
        <w:t>Additionally, as of December 31, 2021 and September 30, 2021, our asset coverage ratio, as computed in accordance with the 1940 Act, was 165% and 175%, respectively. Our Credit Facility includes standard covenants and events of default provisions. If we fail to make the required payments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p>
      <w:pPr>
        <w:ind w:right="60" w:firstLine="449"/>
        <w:spacing w:after="0" w:line="245" w:lineRule="auto"/>
        <w:rPr>
          <w:sz w:val="20"/>
          <w:szCs w:val="20"/>
          <w:color w:val="auto"/>
        </w:rPr>
      </w:pPr>
      <w:r>
        <w:rPr>
          <w:rFonts w:ascii="Arial" w:cs="Arial" w:eastAsia="Arial" w:hAnsi="Arial"/>
          <w:sz w:val="13"/>
          <w:szCs w:val="13"/>
          <w:color w:val="auto"/>
        </w:rPr>
        <w:t>We are also subject to financial risks, including changes in market interest rates. As of December 31, 2021, our debt portfolio consisted of 99.9%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225 basis points and, after the revolving period ends in August 2024, the rate will reset to Base Rate (or an alternative risk-free floating interest rate index) plus 250 basis points. In connection with the COVID-19 pandemic, the U.S. Federal Reserve and other central banks have reduced interest rates, which has caused LIBOR to decrease. Due to such rates, our gross investment 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29" w:lineRule="exact"/>
        <w:rPr>
          <w:sz w:val="20"/>
          <w:szCs w:val="20"/>
          <w:color w:val="auto"/>
        </w:rPr>
      </w:pPr>
    </w:p>
    <w:p>
      <w:pPr>
        <w:ind w:right="240" w:firstLine="509"/>
        <w:spacing w:after="0" w:line="238"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LIBOR Developments</w:t>
      </w:r>
    </w:p>
    <w:p>
      <w:pPr>
        <w:spacing w:after="0" w:line="2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3"/>
          <w:szCs w:val="13"/>
          <w:color w:val="auto"/>
        </w:rPr>
        <w:t>In July 2017, the head of the United Kingdom Financial Conduct Authority announced the desire to phase out the use of LIBOR by the end of 2021. As of December 31, 2021, all non-U.S. dollar LIBOR publications have been phased out. The phase out of a majority of the U.S. dollar publications is currently delayed until June 30, 2023. The Alternative Reference Rates Committee, a steering committee comprised of large U.S. financial institutions, has identified the Secured Overnight Financing Rate (“SOFR”) as its preferred alternative rate for LIBOR. SOFR is a measure of the cost of borrowing cash overnight, collateralized by the U.S. Treasury securities, and is based on directly observable U.S. Treasury-backed repurchase transactions. Although SOFR appears to be the preferred replacement rate for U.S. dollar LIBOR, it is not possible at this time to predict the effect of any such changes, any establishment of alternative reference rates, whether the COVID-19 pandemic will have further effect on LIBOR transition timelines, or other reforms to LIBOR that may be enacted.</w:t>
      </w:r>
    </w:p>
    <w:p>
      <w:pPr>
        <w:spacing w:after="0" w:line="153" w:lineRule="exact"/>
        <w:rPr>
          <w:sz w:val="20"/>
          <w:szCs w:val="20"/>
          <w:color w:val="auto"/>
        </w:rPr>
      </w:pPr>
    </w:p>
    <w:p>
      <w:pPr>
        <w:ind w:right="80" w:firstLine="509"/>
        <w:spacing w:after="0" w:line="231" w:lineRule="auto"/>
        <w:rPr>
          <w:sz w:val="20"/>
          <w:szCs w:val="20"/>
          <w:color w:val="auto"/>
        </w:rPr>
      </w:pPr>
      <w:r>
        <w:rPr>
          <w:rFonts w:ascii="Arial" w:cs="Arial" w:eastAsia="Arial" w:hAnsi="Arial"/>
          <w:sz w:val="14"/>
          <w:szCs w:val="14"/>
          <w:color w:val="auto"/>
        </w:rPr>
        <w:t>The effect of the establishment of alternative reference rates or other reforms to LIBOR or other reference rates is complex and could have a material adverse effect on our business, financial condition and results of operations. Given the inherent differences between LIBOR and SOFR, or any other alternative benchmark rate that may be established, there are continuing uncertainties regarding the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70"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At-the-Market Offering</w:t>
      </w:r>
    </w:p>
    <w:p>
      <w:pPr>
        <w:spacing w:after="0" w:line="136" w:lineRule="exact"/>
        <w:rPr>
          <w:sz w:val="20"/>
          <w:szCs w:val="20"/>
          <w:color w:val="auto"/>
        </w:rPr>
      </w:pPr>
    </w:p>
    <w:p>
      <w:pPr>
        <w:ind w:firstLine="524"/>
        <w:spacing w:after="0" w:line="231" w:lineRule="auto"/>
        <w:rPr>
          <w:sz w:val="20"/>
          <w:szCs w:val="20"/>
          <w:color w:val="auto"/>
        </w:rPr>
      </w:pPr>
      <w:r>
        <w:rPr>
          <w:rFonts w:ascii="Arial" w:cs="Arial" w:eastAsia="Arial" w:hAnsi="Arial"/>
          <w:sz w:val="14"/>
          <w:szCs w:val="14"/>
          <w:color w:val="auto"/>
        </w:rPr>
        <w:t>On August 20, 2021, the Company entered into Equity Distribution Agreements with each of JMP Securities LLC and Raymond James &amp; Associates, Inc., as the sales agents (each, a “Sales Agent,” and together, the “Sales Agents”), in connection with the sale of shares of the Company’s Common Stock, par value $0.001 per share, with an aggregate offering price of up to $75 million. The Equity Distribution Agreements provide that the Company may offer and sell shares of the Common Stock from time to time through a Sales Agent in amounts and at times to be determined by the Company. Actual sales will depend on a variety of factors to be determined by the Company from time to time, including, market conditions and the trading price of the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63" w:lineRule="exact"/>
        <w:rPr>
          <w:sz w:val="20"/>
          <w:szCs w:val="20"/>
          <w:color w:val="auto"/>
        </w:rPr>
      </w:pPr>
    </w:p>
    <w:p>
      <w:pPr>
        <w:ind w:right="20" w:firstLine="449"/>
        <w:spacing w:after="0" w:line="266"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63" w:lineRule="exact"/>
        <w:rPr>
          <w:sz w:val="20"/>
          <w:szCs w:val="20"/>
          <w:color w:val="auto"/>
        </w:rPr>
      </w:pPr>
    </w:p>
    <w:p>
      <w:pPr>
        <w:ind w:right="20" w:firstLine="449"/>
        <w:spacing w:after="0" w:line="252"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34" w:lineRule="exact"/>
        <w:rPr>
          <w:sz w:val="20"/>
          <w:szCs w:val="20"/>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calculating our NAV, including the cost of any third-party valuation services;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63" w:lineRule="exact"/>
        <w:rPr>
          <w:rFonts w:ascii="Arial" w:cs="Arial" w:eastAsia="Arial" w:hAnsi="Arial"/>
          <w:sz w:val="14"/>
          <w:szCs w:val="14"/>
          <w:color w:val="auto"/>
        </w:rPr>
      </w:pPr>
    </w:p>
    <w:p>
      <w:pPr>
        <w:ind w:left="840" w:right="160" w:hanging="383"/>
        <w:spacing w:after="0" w:line="273" w:lineRule="auto"/>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19"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0" w:name="page41"/>
    <w:bookmarkEnd w:id="40"/>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63" w:lineRule="exact"/>
        <w:rPr>
          <w:rFonts w:ascii="Arial" w:cs="Arial" w:eastAsia="Arial" w:hAnsi="Arial"/>
          <w:sz w:val="14"/>
          <w:szCs w:val="14"/>
          <w:color w:val="auto"/>
        </w:rPr>
      </w:pPr>
    </w:p>
    <w:p>
      <w:pPr>
        <w:jc w:val="both"/>
        <w:ind w:left="840" w:right="160" w:hanging="383"/>
        <w:spacing w:after="0" w:line="286" w:lineRule="auto"/>
        <w:tabs>
          <w:tab w:leader="none" w:pos="8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4" w:lineRule="exact"/>
        <w:rPr>
          <w:sz w:val="20"/>
          <w:szCs w:val="20"/>
          <w:color w:val="auto"/>
        </w:rPr>
      </w:pPr>
    </w:p>
    <w:p>
      <w:pPr>
        <w:ind w:right="20" w:firstLine="449"/>
        <w:spacing w:after="0" w:line="27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4" w:lineRule="exact"/>
        <w:rPr>
          <w:sz w:val="20"/>
          <w:szCs w:val="20"/>
          <w:color w:val="auto"/>
        </w:rPr>
      </w:pPr>
    </w:p>
    <w:p>
      <w:pPr>
        <w:ind w:right="20" w:firstLine="449"/>
        <w:spacing w:after="0" w:line="247" w:lineRule="auto"/>
        <w:rPr>
          <w:sz w:val="20"/>
          <w:szCs w:val="20"/>
          <w:color w:val="auto"/>
        </w:rPr>
      </w:pPr>
      <w:r>
        <w:rPr>
          <w:rFonts w:ascii="Arial" w:cs="Arial" w:eastAsia="Arial" w:hAnsi="Arial"/>
          <w:sz w:val="14"/>
          <w:szCs w:val="14"/>
          <w:color w:val="auto"/>
        </w:rPr>
        <w:t>As of December 31, 2021, our portfolio totaled $1,179.8 million, and consisted of $1,024.8 million of first lien secured debt (including $153.1 million in PSSL), $4.4 million of second lien secured debt and $150.5 million of preferred and common equity (including $48.1 million in PSSL). Our debt portfolio consisted of 99.9% variable-rate investments. As of December 31, 2021, we had three portfolio companies on non-accrual, representing 2.9% and 2.5% of our overall portfolio on a cost and fair value basis, respectively. Overall, the portfolio had net unrealized appreciation of $7.9 million. Our overall portfolio consisted of 115 companies with an average investment size of $10.3 million, had a weighted average yield on debt investments of 7.5%, and was invested 87% in first lien secured debt (including 13% in PSSL), less than 1% in second lien secured debt and 13% in preferred and common equity (including 4% in PSSL). As of December 31, 2021, 99.5% of the investments held by PSSL were first lien secured debt.</w:t>
      </w:r>
    </w:p>
    <w:p>
      <w:pPr>
        <w:spacing w:after="0" w:line="113" w:lineRule="exact"/>
        <w:rPr>
          <w:sz w:val="20"/>
          <w:szCs w:val="20"/>
          <w:color w:val="auto"/>
        </w:rPr>
      </w:pPr>
    </w:p>
    <w:p>
      <w:pPr>
        <w:ind w:right="40" w:firstLine="449"/>
        <w:spacing w:after="0" w:line="247" w:lineRule="auto"/>
        <w:rPr>
          <w:sz w:val="20"/>
          <w:szCs w:val="20"/>
          <w:color w:val="auto"/>
        </w:rPr>
      </w:pPr>
      <w:r>
        <w:rPr>
          <w:rFonts w:ascii="Arial" w:cs="Arial" w:eastAsia="Arial" w:hAnsi="Arial"/>
          <w:sz w:val="14"/>
          <w:szCs w:val="14"/>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depreciation of $11.0 million. Our overall portfolio consisted of 110 companies with an average investment size of $9.8 million, had a weighted average yield on debt investments of 7.4%, and was invested 86% in first lien secured debt (including 13% in PSSL), 1% in second lien secured debt and 13% in preferred and common equity (including 4% in PSSL). As of September 30, 2021, 99% of the investments held by PSSL were first lien secured debt.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For the three months ended December 31, 2021, we invested $335.1 million in 16 new and 36 existing portfolio companies with a weighted average yield on debt investments of 7.8%.</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2021 totaled $238.4 million.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For the three months ended December 31, 2020, we invested $67.0 million in five new and 17 existing portfolio companies with a weighted average yield on debt investments of 7.6%.</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2020 totaled $109.6 million.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6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4"/>
          <w:szCs w:val="14"/>
          <w:color w:val="auto"/>
        </w:rPr>
        <w:t>As of December 31, 2021, PSSL’s portfolio totaled $641.7 million and consisted of 80 companies with an average investment size of $8.0 million and had a weighted average yield on debt investments of 7.3 %. As of September 30, 2021, PSSL’s portfolio totaled $564.8 million and consisted of 74 companies with an average investment size of $7.6 million and had a weighted average yield on debt investments of 7.1%.</w:t>
      </w:r>
    </w:p>
    <w:p>
      <w:pPr>
        <w:spacing w:after="0" w:line="131" w:lineRule="exact"/>
        <w:rPr>
          <w:sz w:val="20"/>
          <w:szCs w:val="20"/>
          <w:color w:val="auto"/>
        </w:rPr>
      </w:pPr>
    </w:p>
    <w:p>
      <w:pPr>
        <w:ind w:right="140" w:firstLine="449"/>
        <w:spacing w:after="0" w:line="312" w:lineRule="auto"/>
        <w:rPr>
          <w:sz w:val="20"/>
          <w:szCs w:val="20"/>
          <w:color w:val="auto"/>
        </w:rPr>
      </w:pPr>
      <w:r>
        <w:rPr>
          <w:rFonts w:ascii="Arial" w:cs="Arial" w:eastAsia="Arial" w:hAnsi="Arial"/>
          <w:sz w:val="13"/>
          <w:szCs w:val="13"/>
          <w:color w:val="auto"/>
        </w:rPr>
        <w:t>For the three months ended December 31, 2021, PSSL invested $129.6 million (including $122.7 million purchased from the Company) in 12 new and six existing portfolio companies with a weighted average yield on debt investments of 8.0 %. Sales and repayments of investments for the three months ended December 31, 2021 totaled $50.4 million.</w:t>
      </w:r>
    </w:p>
    <w:p>
      <w:pPr>
        <w:spacing w:after="0" w:line="97" w:lineRule="exact"/>
        <w:rPr>
          <w:sz w:val="20"/>
          <w:szCs w:val="20"/>
          <w:color w:val="auto"/>
        </w:rPr>
      </w:pPr>
    </w:p>
    <w:p>
      <w:pPr>
        <w:ind w:right="80" w:firstLine="449"/>
        <w:spacing w:after="0" w:line="312" w:lineRule="auto"/>
        <w:rPr>
          <w:sz w:val="20"/>
          <w:szCs w:val="20"/>
          <w:color w:val="auto"/>
        </w:rPr>
      </w:pPr>
      <w:r>
        <w:rPr>
          <w:rFonts w:ascii="Arial" w:cs="Arial" w:eastAsia="Arial" w:hAnsi="Arial"/>
          <w:sz w:val="13"/>
          <w:szCs w:val="13"/>
          <w:color w:val="auto"/>
        </w:rPr>
        <w:t>For the three months ended December 31, 2020, PSSL invested $15.4 million (none of which was purchased from the Company) in zero new and five existing portfolio companies with a weighted average yield on debt investments of 7.8%. PSSL’s sales and repayments of investments for the three months ended December 31, 2020 totaled $30.6 million.</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67" w:lineRule="exact"/>
        <w:rPr>
          <w:sz w:val="20"/>
          <w:szCs w:val="20"/>
          <w:color w:val="auto"/>
        </w:rPr>
      </w:pPr>
    </w:p>
    <w:p>
      <w:pPr>
        <w:ind w:firstLine="449"/>
        <w:spacing w:after="0" w:line="243"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2021 Annual Report on Form 10-K. There have been no significant changes in our critical accounting estimates during the three months from those disclosed in our 2021 Annual Report on Form 10-K.</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63" w:lineRule="exact"/>
        <w:rPr>
          <w:sz w:val="20"/>
          <w:szCs w:val="20"/>
          <w:color w:val="auto"/>
        </w:rPr>
      </w:pPr>
    </w:p>
    <w:p>
      <w:pPr>
        <w:ind w:firstLine="449"/>
        <w:spacing w:after="0" w:line="268"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27" w:lineRule="exact"/>
        <w:rPr>
          <w:sz w:val="20"/>
          <w:szCs w:val="20"/>
          <w:color w:val="auto"/>
        </w:rPr>
      </w:pPr>
    </w:p>
    <w:p>
      <w:pPr>
        <w:ind w:right="360" w:firstLine="449"/>
        <w:spacing w:after="0" w:line="312"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7" w:lineRule="exact"/>
        <w:rPr>
          <w:sz w:val="20"/>
          <w:szCs w:val="20"/>
          <w:color w:val="auto"/>
        </w:rPr>
      </w:pPr>
    </w:p>
    <w:p>
      <w:pPr>
        <w:ind w:left="840" w:right="100" w:hanging="383"/>
        <w:spacing w:after="0" w:line="273" w:lineRule="auto"/>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19" w:lineRule="exact"/>
        <w:rPr>
          <w:rFonts w:ascii="Arial" w:cs="Arial" w:eastAsia="Arial" w:hAnsi="Arial"/>
          <w:sz w:val="14"/>
          <w:szCs w:val="14"/>
          <w:color w:val="auto"/>
        </w:rPr>
      </w:pPr>
    </w:p>
    <w:p>
      <w:pPr>
        <w:ind w:left="840" w:hanging="383"/>
        <w:spacing w:after="0"/>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63" w:lineRule="exact"/>
        <w:rPr>
          <w:rFonts w:ascii="Arial" w:cs="Arial" w:eastAsia="Arial" w:hAnsi="Arial"/>
          <w:sz w:val="14"/>
          <w:szCs w:val="14"/>
          <w:color w:val="auto"/>
        </w:rPr>
      </w:pPr>
    </w:p>
    <w:p>
      <w:pPr>
        <w:jc w:val="both"/>
        <w:ind w:left="840" w:right="160" w:hanging="383"/>
        <w:spacing w:after="0" w:line="286" w:lineRule="auto"/>
        <w:tabs>
          <w:tab w:leader="none" w:pos="8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3" w:lineRule="exact"/>
        <w:rPr>
          <w:rFonts w:ascii="Arial" w:cs="Arial" w:eastAsia="Arial" w:hAnsi="Arial"/>
          <w:sz w:val="13"/>
          <w:szCs w:val="13"/>
          <w:color w:val="auto"/>
        </w:rPr>
      </w:pPr>
    </w:p>
    <w:p>
      <w:pPr>
        <w:ind w:left="840" w:right="40" w:hanging="383"/>
        <w:spacing w:after="0" w:line="257" w:lineRule="auto"/>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30" w:lineRule="exact"/>
        <w:rPr>
          <w:rFonts w:ascii="Arial" w:cs="Arial" w:eastAsia="Arial" w:hAnsi="Arial"/>
          <w:sz w:val="14"/>
          <w:szCs w:val="14"/>
          <w:color w:val="auto"/>
        </w:rPr>
      </w:pPr>
    </w:p>
    <w:p>
      <w:pPr>
        <w:ind w:left="840" w:right="160" w:hanging="383"/>
        <w:spacing w:after="0" w:line="273" w:lineRule="auto"/>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0" w:lineRule="exact"/>
        <w:rPr>
          <w:sz w:val="20"/>
          <w:szCs w:val="20"/>
          <w:color w:val="auto"/>
        </w:rPr>
      </w:pPr>
    </w:p>
    <w:p>
      <w:pPr>
        <w:ind w:right="40" w:firstLine="449"/>
        <w:spacing w:after="0" w:line="27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0" w:lineRule="exact"/>
        <w:rPr>
          <w:sz w:val="20"/>
          <w:szCs w:val="20"/>
          <w:color w:val="auto"/>
        </w:rPr>
      </w:pPr>
    </w:p>
    <w:p>
      <w:pPr>
        <w:ind w:firstLine="449"/>
        <w:spacing w:after="0" w:line="273"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163" w:lineRule="exact"/>
        <w:rPr>
          <w:sz w:val="20"/>
          <w:szCs w:val="20"/>
          <w:color w:val="auto"/>
        </w:rPr>
      </w:pPr>
    </w:p>
    <w:p>
      <w:pPr>
        <w:ind w:left="800" w:right="60" w:hanging="344"/>
        <w:spacing w:after="0" w:line="273"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ind w:right="200" w:firstLine="449"/>
        <w:spacing w:after="0" w:line="277"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0" w:lineRule="exact"/>
        <w:rPr>
          <w:sz w:val="20"/>
          <w:szCs w:val="20"/>
          <w:color w:val="auto"/>
        </w:rPr>
      </w:pPr>
    </w:p>
    <w:p>
      <w:pPr>
        <w:ind w:right="220" w:firstLine="449"/>
        <w:spacing w:after="0" w:line="273" w:lineRule="auto"/>
        <w:rPr>
          <w:sz w:val="20"/>
          <w:szCs w:val="20"/>
          <w:color w:val="auto"/>
        </w:rPr>
      </w:pPr>
      <w:r>
        <w:rPr>
          <w:rFonts w:ascii="Arial" w:cs="Arial" w:eastAsia="Arial" w:hAnsi="Arial"/>
          <w:sz w:val="14"/>
          <w:szCs w:val="14"/>
          <w:color w:val="auto"/>
        </w:rPr>
        <w:t>The SEC recently adopted Rule 2a-5 under the 1940 Act which establishes requirements for determining fair value in good faith for purposes of the 1940 Act. We will comply with the requirements of the rule before the requirement date in 2022.</w:t>
      </w:r>
    </w:p>
    <w:p>
      <w:pPr>
        <w:spacing w:after="0" w:line="12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31" w:lineRule="exact"/>
        <w:rPr>
          <w:sz w:val="20"/>
          <w:szCs w:val="20"/>
          <w:color w:val="auto"/>
        </w:rPr>
      </w:pPr>
    </w:p>
    <w:p>
      <w:pPr>
        <w:ind w:right="20" w:firstLine="449"/>
        <w:spacing w:after="0" w:line="244"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and debt issuance costs on the 2023 Notes during the three months ended December 31, 2021 and 2020, respectively. ASC 825-10 establishes presentation and disclosure requirements designed to facilitate comparisons between companies that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jc w:val="both"/>
        <w:ind w:right="160"/>
        <w:spacing w:after="0" w:line="252" w:lineRule="auto"/>
        <w:rPr>
          <w:sz w:val="20"/>
          <w:szCs w:val="20"/>
          <w:color w:val="auto"/>
        </w:rPr>
      </w:pPr>
      <w:r>
        <w:rPr>
          <w:rFonts w:ascii="Arial" w:cs="Arial" w:eastAsia="Arial" w:hAnsi="Arial"/>
          <w:sz w:val="14"/>
          <w:szCs w:val="14"/>
          <w:color w:val="auto"/>
        </w:rPr>
        <w:t>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3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3"/>
          <w:szCs w:val="13"/>
          <w:color w:val="auto"/>
        </w:rPr>
        <w:t>For the three months ended December 31, 2021 and 2020, the Credit Facility and the 2023 Notes had a net change in unrealized depreciation (appreciation) of $3.6 million and $(4.0) million, respectively. As of December 31, 2021 and September 30, 2021, the net unrealized depreciation on the Credit Facility or our Prior Credit Facility, as applicable, the 2023 Notes totaled $10.8 million and $7.2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63" w:lineRule="exact"/>
        <w:rPr>
          <w:sz w:val="20"/>
          <w:szCs w:val="20"/>
          <w:color w:val="auto"/>
        </w:rPr>
      </w:pPr>
    </w:p>
    <w:p>
      <w:pPr>
        <w:ind w:right="20" w:firstLine="449"/>
        <w:spacing w:after="0" w:line="26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63" w:lineRule="exact"/>
        <w:rPr>
          <w:sz w:val="20"/>
          <w:szCs w:val="20"/>
          <w:color w:val="auto"/>
        </w:rPr>
      </w:pPr>
    </w:p>
    <w:p>
      <w:pPr>
        <w:ind w:right="20" w:firstLine="449"/>
        <w:spacing w:after="0" w:line="252"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the 2023 Notes during the reporting period, including any reversal of previously recorded unrealized appreciation or depreciation, when gains or losses are realized.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840" w:hanging="383"/>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63" w:lineRule="exact"/>
        <w:rPr>
          <w:rFonts w:ascii="Arial" w:cs="Arial" w:eastAsia="Arial" w:hAnsi="Arial"/>
          <w:sz w:val="14"/>
          <w:szCs w:val="14"/>
          <w:color w:val="auto"/>
        </w:rPr>
      </w:pPr>
    </w:p>
    <w:p>
      <w:pPr>
        <w:ind w:left="840" w:hanging="383"/>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right="40" w:firstLine="449"/>
        <w:spacing w:after="0" w:line="257"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 -in-kind, or PIK Interest</w:t>
      </w:r>
    </w:p>
    <w:p>
      <w:pPr>
        <w:spacing w:after="0" w:line="163" w:lineRule="exact"/>
        <w:rPr>
          <w:sz w:val="20"/>
          <w:szCs w:val="20"/>
          <w:color w:val="auto"/>
        </w:rPr>
      </w:pPr>
    </w:p>
    <w:p>
      <w:pPr>
        <w:jc w:val="both"/>
        <w:ind w:right="80" w:firstLine="449"/>
        <w:spacing w:after="0" w:line="257"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63" w:lineRule="exact"/>
        <w:rPr>
          <w:sz w:val="20"/>
          <w:szCs w:val="20"/>
          <w:color w:val="auto"/>
        </w:rPr>
      </w:pPr>
    </w:p>
    <w:p>
      <w:pPr>
        <w:jc w:val="both"/>
        <w:ind w:right="60" w:firstLine="449"/>
        <w:spacing w:after="0" w:line="277"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6" w:lineRule="exact"/>
        <w:rPr>
          <w:sz w:val="20"/>
          <w:szCs w:val="20"/>
          <w:color w:val="auto"/>
        </w:rPr>
      </w:pPr>
    </w:p>
    <w:p>
      <w:pPr>
        <w:ind w:right="40" w:firstLine="449"/>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6" w:lineRule="exact"/>
        <w:rPr>
          <w:sz w:val="20"/>
          <w:szCs w:val="20"/>
          <w:color w:val="auto"/>
        </w:rPr>
      </w:pPr>
    </w:p>
    <w:p>
      <w:pPr>
        <w:ind w:right="60" w:firstLine="521"/>
        <w:spacing w:after="0" w:line="252" w:lineRule="auto"/>
        <w:rPr>
          <w:sz w:val="20"/>
          <w:szCs w:val="20"/>
          <w:color w:val="auto"/>
        </w:rPr>
      </w:pPr>
      <w:r>
        <w:rPr>
          <w:rFonts w:ascii="Arial" w:cs="Arial" w:eastAsia="Arial" w:hAnsi="Arial"/>
          <w:sz w:val="14"/>
          <w:szCs w:val="14"/>
          <w:color w:val="auto"/>
        </w:rPr>
        <w:t>PFLT Investment Holdings, LLC, a wholly-owned subsidiary of the Company (the “Taxable Subsidiary”), is subject to U.S. federal, state and local corporate income taxes. The income tax expense and related tax liabilities of the Taxable Subsidiary are reflected in the Company’s consolidated financial statements. The provision for taxes on unrealized appreciation of investments is the result of netting (i) an expected tax liability on the gain from the sale of an investment which is likely to be realized during fiscal year ending September 30, 2022 and (ii) the expected tax benefit resulting from the use of loss carryforwards in the current year.</w:t>
      </w:r>
    </w:p>
    <w:p>
      <w:pPr>
        <w:spacing w:after="0" w:line="134" w:lineRule="exact"/>
        <w:rPr>
          <w:sz w:val="20"/>
          <w:szCs w:val="20"/>
          <w:color w:val="auto"/>
        </w:rPr>
      </w:pPr>
    </w:p>
    <w:p>
      <w:pPr>
        <w:ind w:firstLine="396"/>
        <w:spacing w:after="0" w:line="252" w:lineRule="auto"/>
        <w:rPr>
          <w:sz w:val="20"/>
          <w:szCs w:val="20"/>
          <w:color w:val="auto"/>
        </w:rPr>
      </w:pPr>
      <w:r>
        <w:rPr>
          <w:rFonts w:ascii="Arial" w:cs="Arial" w:eastAsia="Arial" w:hAnsi="Arial"/>
          <w:sz w:val="14"/>
          <w:szCs w:val="14"/>
          <w:color w:val="auto"/>
        </w:rPr>
        <w:t>For the three months ended December 31, 2021, the Company recognized a provision for taxes of $(1.5) million on unrealized appreciation on investments related to the Taxable Subsidiary. For the three months ended December 31, 2020, the Company recognized a provision for taxes of zero on unrealized appreciation on investments related to the Taxable Subsidiary. As of December 31, 2021 and September 30, 2021, $1.5 million and zero, respectively, was included in deferred tax liabilities on the Consolidated Statements of Assets and Liabilities relating to unrealized gains on investments.</w:t>
      </w:r>
    </w:p>
    <w:p>
      <w:pPr>
        <w:spacing w:after="0" w:line="120" w:lineRule="exact"/>
        <w:rPr>
          <w:sz w:val="20"/>
          <w:szCs w:val="20"/>
          <w:color w:val="auto"/>
        </w:rPr>
      </w:pPr>
    </w:p>
    <w:p>
      <w:pPr>
        <w:ind w:right="80" w:firstLine="449"/>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3" w:name="page44"/>
    <w:bookmarkEnd w:id="43"/>
    <w:p>
      <w:pPr>
        <w:ind w:right="40" w:firstLine="449"/>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months ended December 31, 2021 and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220" w:firstLine="449"/>
        <w:spacing w:after="0" w:line="233" w:lineRule="auto"/>
        <w:rPr>
          <w:sz w:val="20"/>
          <w:szCs w:val="20"/>
          <w:color w:val="auto"/>
        </w:rPr>
      </w:pPr>
      <w:r>
        <w:rPr>
          <w:rFonts w:ascii="Arial" w:cs="Arial" w:eastAsia="Arial" w:hAnsi="Arial"/>
          <w:sz w:val="14"/>
          <w:szCs w:val="14"/>
          <w:color w:val="auto"/>
        </w:rPr>
        <w:t>Investment income for the three months ended December 31, 2021 was $26.3 million, which was attributable to $23.0 million from first lien secured debt and $3.3 million from other investments, respectively. This compares to investment income for the three months ended December 31, 2020 of $20.7 million, which was attributable to $18.7 million from first lien secured debt and $2.0 million from other investments, respectively. The increase in investment income compared to the same periods in the prior year was primarily due to a increase the size of our portfolio.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120" w:firstLine="449"/>
        <w:spacing w:after="0" w:line="231" w:lineRule="auto"/>
        <w:rPr>
          <w:sz w:val="20"/>
          <w:szCs w:val="20"/>
          <w:color w:val="auto"/>
        </w:rPr>
      </w:pPr>
      <w:r>
        <w:rPr>
          <w:rFonts w:ascii="Arial" w:cs="Arial" w:eastAsia="Arial" w:hAnsi="Arial"/>
          <w:sz w:val="14"/>
          <w:szCs w:val="14"/>
          <w:color w:val="auto"/>
        </w:rPr>
        <w:t>Expenses for the three months ended December 31, 2021 totaled $13.6 million. Base management fee for the same period totaled $2.9 million, incentive fee totaled $3.2 million, debt-related interest and expenses totaled $6.6 million and general and administrative expenses totaled $0.9 million. This compares to expenses for the three months ended December 31, 2020 which totaled $10.6 million. Base management fee for the same period totaled $2.7 million, incentive fee totaled $1.8 million, debt-related interest and expenses totaled $5.3 million and general and administrative expenses totaled $0.8 million. The increase in expenses for the three months ended December 31, 2021 compared to the same period in the prior year was primarily due to an increase in performance-based incentive fees and debt-related interest and expenses.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63" w:lineRule="exact"/>
        <w:rPr>
          <w:sz w:val="20"/>
          <w:szCs w:val="20"/>
          <w:color w:val="auto"/>
        </w:rPr>
      </w:pPr>
    </w:p>
    <w:p>
      <w:pPr>
        <w:ind w:right="160" w:firstLine="449"/>
        <w:spacing w:after="0" w:line="273" w:lineRule="auto"/>
        <w:rPr>
          <w:sz w:val="20"/>
          <w:szCs w:val="20"/>
          <w:color w:val="auto"/>
        </w:rPr>
      </w:pPr>
      <w:r>
        <w:rPr>
          <w:rFonts w:ascii="Arial" w:cs="Arial" w:eastAsia="Arial" w:hAnsi="Arial"/>
          <w:sz w:val="14"/>
          <w:szCs w:val="14"/>
          <w:color w:val="auto"/>
        </w:rPr>
        <w:t>Net investment income totaled $12.7 million or $0.33 per share, for the three months ended December 31, 2021. Net investment income totaled $10.1 million or $0.26 per share, for the three months ended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63" w:lineRule="exact"/>
        <w:rPr>
          <w:sz w:val="20"/>
          <w:szCs w:val="20"/>
          <w:color w:val="auto"/>
        </w:rPr>
      </w:pPr>
    </w:p>
    <w:p>
      <w:pPr>
        <w:ind w:firstLine="449"/>
        <w:spacing w:after="0" w:line="257" w:lineRule="auto"/>
        <w:rPr>
          <w:sz w:val="20"/>
          <w:szCs w:val="20"/>
          <w:color w:val="auto"/>
        </w:rPr>
      </w:pPr>
      <w:r>
        <w:rPr>
          <w:rFonts w:ascii="Arial" w:cs="Arial" w:eastAsia="Arial" w:hAnsi="Arial"/>
          <w:sz w:val="14"/>
          <w:szCs w:val="14"/>
          <w:color w:val="auto"/>
        </w:rPr>
        <w:t>Sales and repayments of investments for the three months ended December 31, 2021 totaled $238.4 million, and net realized gains totaled $3.1 million. Sales and repayments of investments for the three months ended December 31, 2020 totaled $109.6 million and net realized losses totaled $2.8 million. The change in realized gains/losses was primarily due to changes in the market conditions of our investments and the values at which they were realized.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63" w:lineRule="exact"/>
        <w:rPr>
          <w:sz w:val="20"/>
          <w:szCs w:val="20"/>
          <w:color w:val="auto"/>
        </w:rPr>
      </w:pPr>
    </w:p>
    <w:p>
      <w:pPr>
        <w:ind w:right="140" w:firstLine="449"/>
        <w:spacing w:after="0" w:line="252" w:lineRule="auto"/>
        <w:rPr>
          <w:sz w:val="20"/>
          <w:szCs w:val="20"/>
          <w:color w:val="auto"/>
        </w:rPr>
      </w:pPr>
      <w:r>
        <w:rPr>
          <w:rFonts w:ascii="Arial" w:cs="Arial" w:eastAsia="Arial" w:hAnsi="Arial"/>
          <w:sz w:val="14"/>
          <w:szCs w:val="14"/>
          <w:color w:val="auto"/>
        </w:rPr>
        <w:t>For the three months ended December 31, 2021, we reported net change in unrealized depreciation on investments of $3.5 million. For the three months ended December 31, 2020, we reported net change in unrealized appreciation on investments of $22.8 million. As of December 31, 2021and September 30, 2021, our net unrealized appreciation on investments totaled $7.9 million and $11.0 million, respectively. The net change in unrealized appreciation on our investments compared to the same period in the prior year was primarily due to unrealized gains in our equity co-investment program.</w:t>
      </w:r>
    </w:p>
    <w:p>
      <w:pPr>
        <w:spacing w:after="0" w:line="134"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For the December 31, 2021, the Credit Facility and the 2023 Notes had a net change in unrealized depreciation of $3.6 million. For the three months ended December 31, 2020, the Credit Facility and the 2023 Notes had a net change in unrealized (appreciation) of $(4.0) million. As of December 31, 2021 and September 30, 2021, the net unrealized depreciation on the Credit Facility and the 2023 Notes totaled $10.8 million and $7.2 million, respectively. The net change in net unrealized depreciation compared to the same period in the prior year was primarily due to changes in the capital markets.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63" w:lineRule="exact"/>
        <w:rPr>
          <w:sz w:val="20"/>
          <w:szCs w:val="20"/>
          <w:color w:val="auto"/>
        </w:rPr>
      </w:pPr>
    </w:p>
    <w:p>
      <w:pPr>
        <w:ind w:right="220" w:firstLine="449"/>
        <w:spacing w:after="0" w:line="286" w:lineRule="auto"/>
        <w:rPr>
          <w:sz w:val="20"/>
          <w:szCs w:val="20"/>
          <w:color w:val="auto"/>
        </w:rPr>
      </w:pPr>
      <w:r>
        <w:rPr>
          <w:rFonts w:ascii="Arial" w:cs="Arial" w:eastAsia="Arial" w:hAnsi="Arial"/>
          <w:sz w:val="13"/>
          <w:szCs w:val="13"/>
          <w:color w:val="auto"/>
        </w:rPr>
        <w:t>Net increase in net assets resulting from operations totaled $14.4 million or $0.37 per share for the three months ended December 31, 2021. This compares to a net change in net assets resulting from operations of $26.1 million or $0.67 for the three months ended December 31, 2020. The increase in the net change in net assets from operations for the three months ended December 31, 2021 compared to the same period in the prior year was due to our positive net investment income and net realized gains from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67" w:lineRule="exact"/>
        <w:rPr>
          <w:sz w:val="20"/>
          <w:szCs w:val="20"/>
          <w:color w:val="auto"/>
        </w:rPr>
      </w:pPr>
    </w:p>
    <w:p>
      <w:pPr>
        <w:ind w:right="20" w:firstLine="449"/>
        <w:spacing w:after="0" w:line="276"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2021, in accordance with the 1940 Act, with certain limited exceptions, we are only allowed to borrow amounts such that we are in compliance with a 150% asset coverage ratio requirement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after such borrowing. This “Liquidity and Capital Resources” section should be read in conjunction with the “COVID-19 Developments” section above.</w:t>
      </w:r>
    </w:p>
    <w:p>
      <w:pPr>
        <w:spacing w:after="0" w:line="150" w:lineRule="exact"/>
        <w:rPr>
          <w:sz w:val="20"/>
          <w:szCs w:val="20"/>
          <w:color w:val="auto"/>
        </w:rPr>
      </w:pPr>
    </w:p>
    <w:p>
      <w:pPr>
        <w:ind w:right="100" w:firstLine="449"/>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2021 and September 30, 2021, our asset coverage ratio, as computed in accordance with the 1940 Act, was 165% and 175%, respectively.</w:t>
      </w:r>
    </w:p>
    <w:p>
      <w:pPr>
        <w:spacing w:after="0" w:line="107" w:lineRule="exact"/>
        <w:rPr>
          <w:sz w:val="20"/>
          <w:szCs w:val="20"/>
          <w:color w:val="auto"/>
        </w:rPr>
      </w:pPr>
    </w:p>
    <w:p>
      <w:pPr>
        <w:ind w:right="300" w:firstLine="449"/>
        <w:spacing w:after="0" w:line="257" w:lineRule="auto"/>
        <w:rPr>
          <w:sz w:val="20"/>
          <w:szCs w:val="20"/>
          <w:color w:val="auto"/>
        </w:rPr>
      </w:pPr>
      <w:r>
        <w:rPr>
          <w:rFonts w:ascii="Arial" w:cs="Arial" w:eastAsia="Arial" w:hAnsi="Arial"/>
          <w:sz w:val="14"/>
          <w:szCs w:val="14"/>
          <w:color w:val="auto"/>
        </w:rPr>
        <w:t>The annualized weighted average cost of debt for the three months ended December 31, 2021 and 2020, inclusive of the fee on the undrawn commitment on the Credit Facility, amendment costs and debt issuance costs, was 3.6% and 3.3%, respectively. As of December 31, 2021 and September 30, 2021, we had $43.3 million and $80.6 million of unused borrowing capacity under the Credit Facility or our Prior Credit Facility, as applicable, respectively, subject to leverage and borrowing base restrictions.</w:t>
      </w:r>
    </w:p>
    <w:p>
      <w:pPr>
        <w:spacing w:after="0" w:line="117" w:lineRule="exact"/>
        <w:rPr>
          <w:sz w:val="20"/>
          <w:szCs w:val="20"/>
          <w:color w:val="auto"/>
        </w:rPr>
      </w:pPr>
    </w:p>
    <w:p>
      <w:pPr>
        <w:ind w:firstLine="449"/>
        <w:spacing w:after="0" w:line="227" w:lineRule="auto"/>
        <w:rPr>
          <w:sz w:val="20"/>
          <w:szCs w:val="20"/>
          <w:color w:val="auto"/>
        </w:rPr>
      </w:pPr>
      <w:r>
        <w:rPr>
          <w:rFonts w:ascii="Arial" w:cs="Arial" w:eastAsia="Arial" w:hAnsi="Arial"/>
          <w:sz w:val="14"/>
          <w:szCs w:val="14"/>
          <w:color w:val="auto"/>
        </w:rPr>
        <w:t>Funding I’s multi-currency Credit Facility with the Lenders was $300 million as of December 31, 2021 subject to satisfaction of certain conditions and regulatory restrictions that the 1940 Act imposes on us as a BDC, has an interest rate spread above LIBOR (or an alternative risk-free floating interest rate index) of 225 basis points, a maturity date of August 2026 and a revolving period that ends in August 2024. As of December 31, 2021 and September 30, 2021, Funding I borrowed $256.7 million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4" w:name="page45"/>
    <w:bookmarkEnd w:id="44"/>
    <w:p>
      <w:pPr>
        <w:ind w:right="160"/>
        <w:spacing w:after="0" w:line="253" w:lineRule="auto"/>
        <w:rPr>
          <w:sz w:val="20"/>
          <w:szCs w:val="20"/>
          <w:color w:val="auto"/>
        </w:rPr>
      </w:pPr>
      <w:r>
        <w:rPr>
          <w:rFonts w:ascii="Arial" w:cs="Arial" w:eastAsia="Arial" w:hAnsi="Arial"/>
          <w:sz w:val="14"/>
          <w:szCs w:val="14"/>
          <w:color w:val="auto"/>
        </w:rPr>
        <w:t>$219.4 million under the Credit Facility, respectively. The Credit Facility had a weighted average interest rate of 2.4% and 2.3%, exclusive of the fee on undrawn commitments as of December 31, 2021 and September 30, 2021, respectively.</w:t>
      </w:r>
    </w:p>
    <w:p>
      <w:pPr>
        <w:spacing w:after="0" w:line="106" w:lineRule="exact"/>
        <w:rPr>
          <w:sz w:val="20"/>
          <w:szCs w:val="20"/>
          <w:color w:val="auto"/>
        </w:rPr>
      </w:pPr>
    </w:p>
    <w:p>
      <w:pPr>
        <w:ind w:right="20" w:firstLine="449"/>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7" w:lineRule="exact"/>
        <w:rPr>
          <w:sz w:val="20"/>
          <w:szCs w:val="20"/>
          <w:color w:val="auto"/>
        </w:rPr>
      </w:pPr>
    </w:p>
    <w:p>
      <w:pPr>
        <w:ind w:firstLine="449"/>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2021, we were in compliance with the covenants relating to our Credit Facility.</w:t>
      </w:r>
    </w:p>
    <w:p>
      <w:pPr>
        <w:spacing w:after="0" w:line="117" w:lineRule="exact"/>
        <w:rPr>
          <w:sz w:val="20"/>
          <w:szCs w:val="20"/>
          <w:color w:val="auto"/>
        </w:rPr>
      </w:pPr>
    </w:p>
    <w:p>
      <w:pPr>
        <w:ind w:right="320" w:firstLine="449"/>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60" w:firstLine="449"/>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30" w:lineRule="exact"/>
        <w:rPr>
          <w:sz w:val="20"/>
          <w:szCs w:val="20"/>
          <w:color w:val="auto"/>
        </w:rPr>
      </w:pPr>
    </w:p>
    <w:p>
      <w:pPr>
        <w:ind w:right="160" w:firstLine="449"/>
        <w:spacing w:after="0" w:line="273" w:lineRule="auto"/>
        <w:rPr>
          <w:sz w:val="20"/>
          <w:szCs w:val="20"/>
          <w:color w:val="auto"/>
        </w:rPr>
      </w:pPr>
      <w:r>
        <w:rPr>
          <w:rFonts w:ascii="Arial" w:cs="Arial" w:eastAsia="Arial" w:hAnsi="Arial"/>
          <w:sz w:val="14"/>
          <w:szCs w:val="14"/>
          <w:color w:val="auto"/>
        </w:rPr>
        <w:t>In November 2017, we issued $138.6 million of our 2023 Notes. The 2023 Notes were issued pursuant to a deed of trust between the Company and Mishmeret Trust Company, Ltd., as trustee, of which $97.0 million and $117.8 million was outstanding as of December 31, 2021 and September 30, 2021, respectively.</w:t>
      </w:r>
    </w:p>
    <w:p>
      <w:pPr>
        <w:spacing w:after="0" w:line="120" w:lineRule="exact"/>
        <w:rPr>
          <w:sz w:val="20"/>
          <w:szCs w:val="20"/>
          <w:color w:val="auto"/>
        </w:rPr>
      </w:pPr>
    </w:p>
    <w:p>
      <w:pPr>
        <w:ind w:right="180" w:firstLine="449"/>
        <w:spacing w:after="0" w:line="252" w:lineRule="auto"/>
        <w:rPr>
          <w:sz w:val="20"/>
          <w:szCs w:val="20"/>
          <w:color w:val="auto"/>
        </w:rPr>
      </w:pPr>
      <w:r>
        <w:rPr>
          <w:rFonts w:ascii="Arial" w:cs="Arial" w:eastAsia="Arial" w:hAnsi="Arial"/>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34" w:lineRule="exact"/>
        <w:rPr>
          <w:sz w:val="20"/>
          <w:szCs w:val="20"/>
          <w:color w:val="auto"/>
        </w:rPr>
      </w:pPr>
    </w:p>
    <w:p>
      <w:pPr>
        <w:ind w:right="100" w:firstLine="449"/>
        <w:spacing w:after="0" w:line="252"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34" w:lineRule="exact"/>
        <w:rPr>
          <w:sz w:val="20"/>
          <w:szCs w:val="20"/>
          <w:color w:val="auto"/>
        </w:rPr>
      </w:pPr>
    </w:p>
    <w:p>
      <w:pPr>
        <w:ind w:right="300" w:firstLine="449"/>
        <w:spacing w:after="0" w:line="27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20" w:lineRule="exact"/>
        <w:rPr>
          <w:sz w:val="20"/>
          <w:szCs w:val="20"/>
          <w:color w:val="auto"/>
        </w:rPr>
      </w:pPr>
    </w:p>
    <w:p>
      <w:pPr>
        <w:ind w:firstLine="449"/>
        <w:spacing w:after="0" w:line="270" w:lineRule="auto"/>
        <w:rPr>
          <w:sz w:val="20"/>
          <w:szCs w:val="20"/>
          <w:color w:val="auto"/>
        </w:rPr>
      </w:pPr>
      <w:r>
        <w:rPr>
          <w:rFonts w:ascii="Arial" w:cs="Arial" w:eastAsia="Arial" w:hAnsi="Arial"/>
          <w:sz w:val="13"/>
          <w:szCs w:val="13"/>
          <w:color w:val="auto"/>
        </w:rPr>
        <w:t>In March 2021 and in October 2021, we issued $100.0 million and $85.0 million, respectively, in aggregate principal amount of $185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25" w:lineRule="exact"/>
        <w:rPr>
          <w:sz w:val="20"/>
          <w:szCs w:val="20"/>
          <w:color w:val="auto"/>
        </w:rPr>
      </w:pPr>
    </w:p>
    <w:p>
      <w:pPr>
        <w:ind w:right="20" w:firstLine="449"/>
        <w:spacing w:after="0" w:line="152" w:lineRule="exact"/>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4"/>
          <w:szCs w:val="14"/>
          <w:color w:val="auto"/>
        </w:rPr>
        <w:t>‑</w:t>
      </w:r>
      <w:r>
        <w:rPr>
          <w:rFonts w:ascii="Arial" w:cs="Arial" w:eastAsia="Arial" w:hAnsi="Arial"/>
          <w:sz w:val="14"/>
          <w:szCs w:val="14"/>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4"/>
          <w:szCs w:val="14"/>
          <w:color w:val="auto"/>
        </w:rPr>
        <w:t>‑</w:t>
      </w:r>
      <w:r>
        <w:rPr>
          <w:rFonts w:ascii="Arial" w:cs="Arial" w:eastAsia="Arial" w:hAnsi="Arial"/>
          <w:sz w:val="14"/>
          <w:szCs w:val="14"/>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 Asset-Backed Debt is scheduled to mature on October 15, 2031. As of both December 31, 2021and September 30, 2021, the Company had $228.0 million of 2031 Asset-Backed Debt outstanding with a weighted average interest rate of 2.6%.</w:t>
      </w:r>
    </w:p>
    <w:p>
      <w:pPr>
        <w:spacing w:after="0" w:line="117" w:lineRule="exact"/>
        <w:rPr>
          <w:sz w:val="20"/>
          <w:szCs w:val="20"/>
          <w:color w:val="auto"/>
        </w:rPr>
      </w:pPr>
    </w:p>
    <w:p>
      <w:pPr>
        <w:ind w:right="20" w:firstLine="449"/>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17" w:lineRule="exact"/>
        <w:rPr>
          <w:sz w:val="20"/>
          <w:szCs w:val="20"/>
          <w:color w:val="auto"/>
        </w:rPr>
      </w:pPr>
    </w:p>
    <w:p>
      <w:pPr>
        <w:jc w:val="both"/>
        <w:ind w:right="200" w:firstLine="449"/>
        <w:spacing w:after="0" w:line="238" w:lineRule="auto"/>
        <w:rPr>
          <w:sz w:val="20"/>
          <w:szCs w:val="20"/>
          <w:color w:val="auto"/>
        </w:rPr>
      </w:pPr>
      <w:r>
        <w:rPr>
          <w:rFonts w:ascii="Arial" w:cs="Arial" w:eastAsia="Arial" w:hAnsi="Arial"/>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15" w:lineRule="exact"/>
        <w:rPr>
          <w:sz w:val="20"/>
          <w:szCs w:val="20"/>
          <w:color w:val="auto"/>
        </w:rPr>
      </w:pPr>
    </w:p>
    <w:p>
      <w:pPr>
        <w:ind w:right="100" w:firstLine="449"/>
        <w:spacing w:after="0" w:line="238" w:lineRule="auto"/>
        <w:rPr>
          <w:sz w:val="20"/>
          <w:szCs w:val="20"/>
          <w:color w:val="auto"/>
        </w:rPr>
      </w:pPr>
      <w:r>
        <w:rPr>
          <w:rFonts w:ascii="Arial" w:cs="Arial" w:eastAsia="Arial" w:hAnsi="Arial"/>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15" w:lineRule="exact"/>
        <w:rPr>
          <w:sz w:val="20"/>
          <w:szCs w:val="20"/>
          <w:color w:val="auto"/>
        </w:rPr>
      </w:pPr>
    </w:p>
    <w:p>
      <w:pPr>
        <w:ind w:right="80" w:firstLine="449"/>
        <w:spacing w:after="0" w:line="225" w:lineRule="auto"/>
        <w:rPr>
          <w:sz w:val="20"/>
          <w:szCs w:val="20"/>
          <w:color w:val="auto"/>
        </w:rPr>
      </w:pPr>
      <w:r>
        <w:rPr>
          <w:rFonts w:ascii="Arial" w:cs="Arial" w:eastAsia="Arial" w:hAnsi="Arial"/>
          <w:sz w:val="14"/>
          <w:szCs w:val="14"/>
          <w:color w:val="auto"/>
        </w:rPr>
        <w:t>On August 20, 2021, we entered into Equity Distribution Agreements with each of JMP Securities LLC and Raymond James &amp; Associates, Inc., as the Sales Agents, in connection with the sale of shares of our Common Stock, par value $0.001 per share , with an aggregate offering price of up to $75 million under the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5" w:name="page46"/>
    <w:bookmarkEnd w:id="45"/>
    <w:p>
      <w:pPr>
        <w:ind w:right="140" w:firstLine="449"/>
        <w:spacing w:after="0" w:line="238" w:lineRule="auto"/>
        <w:rPr>
          <w:sz w:val="20"/>
          <w:szCs w:val="20"/>
          <w:color w:val="auto"/>
        </w:rPr>
      </w:pPr>
      <w:r>
        <w:rPr>
          <w:rFonts w:ascii="Arial" w:cs="Arial" w:eastAsia="Arial" w:hAnsi="Arial"/>
          <w:sz w:val="14"/>
          <w:szCs w:val="14"/>
          <w:color w:val="auto"/>
        </w:rPr>
        <w:t>During the three months ended December 31, 2021, we issued 270,066 shares of our Common Stock under the ATM Program at a weighted-average price of $13.03 per share, raising $3.5 million of gross proceeds. Net proceeds were $3.5 million after commissions to the Sales Agents on shares sold. As of December 31, 20211, we had $70.1 million available under the ATM Program.</w:t>
      </w:r>
    </w:p>
    <w:p>
      <w:pPr>
        <w:spacing w:after="0" w:line="142" w:lineRule="exact"/>
        <w:rPr>
          <w:sz w:val="20"/>
          <w:szCs w:val="20"/>
          <w:color w:val="auto"/>
        </w:rPr>
      </w:pPr>
    </w:p>
    <w:p>
      <w:pPr>
        <w:ind w:right="40" w:firstLine="449"/>
        <w:spacing w:after="0" w:line="257" w:lineRule="auto"/>
        <w:rPr>
          <w:sz w:val="20"/>
          <w:szCs w:val="20"/>
          <w:color w:val="auto"/>
        </w:rPr>
      </w:pPr>
      <w:r>
        <w:rPr>
          <w:rFonts w:ascii="Arial" w:cs="Arial" w:eastAsia="Arial" w:hAnsi="Arial"/>
          <w:sz w:val="14"/>
          <w:szCs w:val="14"/>
          <w:color w:val="auto"/>
        </w:rPr>
        <w:t>Since inception of the ATM Program to December 31, 2021, we issued 378,720 shares of our Common Stock under the ATM Program at a weighted-average price of $13.00 , raising $4.9 million of gross proceeds. Net proceeds were $4.8 million after commissions to the Sales Agents on shares sold. We incurred $0.4 million of legal and other offering costs associated with establishing the ATM Program.</w:t>
      </w:r>
    </w:p>
    <w:p>
      <w:pPr>
        <w:spacing w:after="0" w:line="131" w:lineRule="exact"/>
        <w:rPr>
          <w:sz w:val="20"/>
          <w:szCs w:val="20"/>
          <w:color w:val="auto"/>
        </w:rPr>
      </w:pPr>
    </w:p>
    <w:p>
      <w:pPr>
        <w:ind w:firstLine="449"/>
        <w:spacing w:after="0" w:line="252"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20" w:lineRule="exact"/>
        <w:rPr>
          <w:sz w:val="20"/>
          <w:szCs w:val="20"/>
          <w:color w:val="auto"/>
        </w:rPr>
      </w:pPr>
    </w:p>
    <w:p>
      <w:pPr>
        <w:ind w:right="180" w:firstLine="449"/>
        <w:spacing w:after="0" w:line="253" w:lineRule="auto"/>
        <w:rPr>
          <w:sz w:val="20"/>
          <w:szCs w:val="20"/>
          <w:color w:val="auto"/>
        </w:rPr>
      </w:pPr>
      <w:r>
        <w:rPr>
          <w:rFonts w:ascii="Arial" w:cs="Arial" w:eastAsia="Arial" w:hAnsi="Arial"/>
          <w:sz w:val="14"/>
          <w:szCs w:val="14"/>
          <w:color w:val="auto"/>
        </w:rPr>
        <w:t>As of December 31, 2021 and September 30, 2021, we had cash equivalents of $61.3 million and $49.8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200" w:firstLine="449"/>
        <w:spacing w:after="0" w:line="238" w:lineRule="auto"/>
        <w:rPr>
          <w:sz w:val="20"/>
          <w:szCs w:val="20"/>
          <w:color w:val="auto"/>
        </w:rPr>
      </w:pPr>
      <w:r>
        <w:rPr>
          <w:rFonts w:ascii="Arial" w:cs="Arial" w:eastAsia="Arial" w:hAnsi="Arial"/>
          <w:sz w:val="14"/>
          <w:szCs w:val="14"/>
          <w:color w:val="auto"/>
        </w:rPr>
        <w:t>Our operating activities used cash of $82.4 million for the three months ended December 31, 2021, and our financing activities provided cash of $93.2 million for the same period. Our operating activities used cash primarily for our investment activities and our financing activities provided cash primarily due to the issuance of $85 million of our 2026 Add-on Notes and borrowings under our Credit Facility.</w:t>
      </w:r>
    </w:p>
    <w:p>
      <w:pPr>
        <w:spacing w:after="0" w:line="156" w:lineRule="exact"/>
        <w:rPr>
          <w:sz w:val="20"/>
          <w:szCs w:val="20"/>
          <w:color w:val="auto"/>
        </w:rPr>
      </w:pPr>
    </w:p>
    <w:p>
      <w:pPr>
        <w:ind w:right="220" w:firstLine="449"/>
        <w:spacing w:after="0" w:line="290" w:lineRule="auto"/>
        <w:rPr>
          <w:sz w:val="20"/>
          <w:szCs w:val="20"/>
          <w:color w:val="auto"/>
        </w:rPr>
      </w:pPr>
      <w:r>
        <w:rPr>
          <w:rFonts w:ascii="Arial" w:cs="Arial" w:eastAsia="Arial" w:hAnsi="Arial"/>
          <w:sz w:val="13"/>
          <w:szCs w:val="13"/>
          <w:color w:val="auto"/>
        </w:rPr>
        <w:t>Our operating activities provided cash of $55.5 million for the three months ended December 31, 2020, and our financing activities used cash of $83.5 million for the same period. Our operating activities provided cash primarily from our investment activities and our financing activities used cash primarily to pay down our Credit Facility and the 2023 Notes.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00" w:lineRule="exact"/>
        <w:rPr>
          <w:sz w:val="20"/>
          <w:szCs w:val="20"/>
          <w:color w:val="auto"/>
        </w:rPr>
      </w:pPr>
    </w:p>
    <w:p>
      <w:pPr>
        <w:ind w:firstLine="449"/>
        <w:spacing w:after="0" w:line="233"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December 31, 2021 and September 30, 2021, PSSL had total assets of $683.0 million and $603.6 million, respectively. As of the same dates, we and Kemper had remaining commitments to fund first lien secured debt and equity interests in PSSL in an aggregate amount of $28.0 and $48.0 million, respectively. PSSL invests in portfolio companies in the same industries in which we may directly invest.</w:t>
      </w:r>
    </w:p>
    <w:p>
      <w:pPr>
        <w:spacing w:after="0" w:line="117" w:lineRule="exact"/>
        <w:rPr>
          <w:sz w:val="20"/>
          <w:szCs w:val="20"/>
          <w:color w:val="auto"/>
        </w:rPr>
      </w:pPr>
    </w:p>
    <w:p>
      <w:pPr>
        <w:ind w:right="140" w:firstLine="449"/>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December 31, 2021 and September 30, 2021, we and Kemper owned 87.5% and 12.5%, respectively, of each of the outstanding first lien secured debt and equity interests. As of the same dates, our investment in PSSL consisted of first lien secured debt of $153.1 million (additional $17.2 million unfunded) and $140.9 million (additional $29.4 million unfunded), respectively, and equity interests of $65.6 million (additional $7.4 million unfunded) and $60.4 million (additional $12.6 million unfunded), respectively.</w:t>
      </w:r>
    </w:p>
    <w:p>
      <w:pPr>
        <w:spacing w:after="0" w:line="117" w:lineRule="exact"/>
        <w:rPr>
          <w:sz w:val="20"/>
          <w:szCs w:val="20"/>
          <w:color w:val="auto"/>
        </w:rPr>
      </w:pPr>
    </w:p>
    <w:p>
      <w:pPr>
        <w:ind w:right="100" w:firstLine="449"/>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380" w:firstLine="449"/>
        <w:spacing w:after="0" w:line="238" w:lineRule="auto"/>
        <w:rPr>
          <w:sz w:val="20"/>
          <w:szCs w:val="20"/>
          <w:color w:val="auto"/>
        </w:rPr>
      </w:pPr>
      <w:r>
        <w:rPr>
          <w:rFonts w:ascii="Arial" w:cs="Arial" w:eastAsia="Arial" w:hAnsi="Arial"/>
          <w:sz w:val="14"/>
          <w:szCs w:val="14"/>
          <w:color w:val="auto"/>
        </w:rPr>
        <w:t>Additionally, PSSL has entered into a $225.0 million (increased from $155.0 million in October 2021) senior secured revolving credit facility which bears interest at LIBOR (or an alternative risk-free floating interest rate index) plus 250 basis points, or the PSSL Credit Facility 2, with Ally Bank through its wholly-owned subsidiary, PennantPark Senior Secured Loan Facility LLC II, or PSSL Subsidiary II, subject to leverage and borrowing base restrictions.</w:t>
      </w:r>
    </w:p>
    <w:p>
      <w:pPr>
        <w:spacing w:after="0" w:line="115" w:lineRule="exact"/>
        <w:rPr>
          <w:sz w:val="20"/>
          <w:szCs w:val="20"/>
          <w:color w:val="auto"/>
        </w:rPr>
      </w:pPr>
    </w:p>
    <w:p>
      <w:pPr>
        <w:ind w:right="40" w:firstLine="449"/>
        <w:spacing w:after="0" w:line="231"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ind w:left="460"/>
              <w:spacing w:after="0"/>
              <w:rPr>
                <w:sz w:val="20"/>
                <w:szCs w:val="20"/>
                <w:color w:val="auto"/>
              </w:rPr>
            </w:pPr>
            <w:r>
              <w:rPr>
                <w:rFonts w:ascii="Arial" w:cs="Arial" w:eastAsia="Arial" w:hAnsi="Arial"/>
                <w:sz w:val="14"/>
                <w:szCs w:val="14"/>
                <w:color w:val="auto"/>
              </w:rPr>
              <w:t>Below is a summary of PSSL’s portfolio at fair value:</w:t>
            </w: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1"/>
        </w:trPr>
        <w:tc>
          <w:tcPr>
            <w:tcW w:w="45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tcPr>
          <w:p>
            <w:pPr>
              <w:spacing w:after="0"/>
              <w:rPr>
                <w:sz w:val="17"/>
                <w:szCs w:val="17"/>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 2021</w:t>
            </w:r>
          </w:p>
        </w:tc>
      </w:tr>
      <w:tr>
        <w:trPr>
          <w:trHeight w:val="169"/>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310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641,673,287</w:t>
            </w:r>
          </w:p>
        </w:tc>
        <w:tc>
          <w:tcPr>
            <w:tcW w:w="3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564,783,128</w:t>
            </w:r>
          </w:p>
        </w:tc>
        <w:tc>
          <w:tcPr>
            <w:tcW w:w="180" w:type="dxa"/>
            <w:vAlign w:val="bottom"/>
            <w:shd w:val="clear" w:color="auto" w:fill="CCECFF"/>
          </w:tcPr>
          <w:p>
            <w:pPr>
              <w:spacing w:after="0"/>
              <w:rPr>
                <w:sz w:val="14"/>
                <w:szCs w:val="14"/>
                <w:color w:val="auto"/>
              </w:rPr>
            </w:pPr>
          </w:p>
        </w:tc>
      </w:tr>
      <w:tr>
        <w:trPr>
          <w:trHeight w:val="175"/>
        </w:trPr>
        <w:tc>
          <w:tcPr>
            <w:tcW w:w="4580" w:type="dxa"/>
            <w:vAlign w:val="bottom"/>
          </w:tcPr>
          <w:p>
            <w:pPr>
              <w:ind w:left="20"/>
              <w:spacing w:after="0"/>
              <w:rPr>
                <w:sz w:val="20"/>
                <w:szCs w:val="20"/>
                <w:color w:val="auto"/>
              </w:rPr>
            </w:pPr>
            <w:r>
              <w:rPr>
                <w:rFonts w:ascii="Arial" w:cs="Arial" w:eastAsia="Arial" w:hAnsi="Arial"/>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4"/>
                <w:szCs w:val="14"/>
                <w:color w:val="auto"/>
              </w:rPr>
              <w:t>7.1 %</w:t>
            </w:r>
          </w:p>
        </w:tc>
      </w:tr>
      <w:tr>
        <w:trPr>
          <w:trHeight w:val="175"/>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180" w:type="dxa"/>
            <w:vAlign w:val="bottom"/>
            <w:shd w:val="clear" w:color="auto" w:fill="CCECFF"/>
          </w:tcPr>
          <w:p>
            <w:pPr>
              <w:spacing w:after="0"/>
              <w:rPr>
                <w:sz w:val="15"/>
                <w:szCs w:val="15"/>
                <w:color w:val="auto"/>
              </w:rPr>
            </w:pPr>
          </w:p>
        </w:tc>
      </w:tr>
      <w:tr>
        <w:trPr>
          <w:trHeight w:val="175"/>
        </w:trPr>
        <w:tc>
          <w:tcPr>
            <w:tcW w:w="4580" w:type="dxa"/>
            <w:vAlign w:val="bottom"/>
          </w:tcPr>
          <w:p>
            <w:pPr>
              <w:ind w:left="20"/>
              <w:spacing w:after="0"/>
              <w:rPr>
                <w:sz w:val="20"/>
                <w:szCs w:val="20"/>
                <w:color w:val="auto"/>
              </w:rPr>
            </w:pPr>
            <w:r>
              <w:rPr>
                <w:rFonts w:ascii="Arial" w:cs="Arial" w:eastAsia="Arial" w:hAnsi="Arial"/>
                <w:sz w:val="14"/>
                <w:szCs w:val="14"/>
                <w:color w:val="auto"/>
              </w:rPr>
              <w:t>Largest portfolio company investment</w:t>
            </w:r>
          </w:p>
        </w:tc>
        <w:tc>
          <w:tcPr>
            <w:tcW w:w="3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19,012,000</w:t>
            </w:r>
          </w:p>
        </w:tc>
        <w:tc>
          <w:tcPr>
            <w:tcW w:w="3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18,932,630</w:t>
            </w:r>
          </w:p>
        </w:tc>
        <w:tc>
          <w:tcPr>
            <w:tcW w:w="180" w:type="dxa"/>
            <w:vAlign w:val="bottom"/>
          </w:tcPr>
          <w:p>
            <w:pPr>
              <w:spacing w:after="0"/>
              <w:rPr>
                <w:sz w:val="15"/>
                <w:szCs w:val="15"/>
                <w:color w:val="auto"/>
              </w:rPr>
            </w:pPr>
          </w:p>
        </w:tc>
      </w:tr>
      <w:tr>
        <w:trPr>
          <w:trHeight w:val="175"/>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of five largest portfolio company investments</w:t>
            </w:r>
          </w:p>
        </w:tc>
        <w:tc>
          <w:tcPr>
            <w:tcW w:w="3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86,261,851</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84,287,460</w:t>
            </w:r>
          </w:p>
        </w:tc>
        <w:tc>
          <w:tcPr>
            <w:tcW w:w="180" w:type="dxa"/>
            <w:vAlign w:val="bottom"/>
            <w:shd w:val="clear" w:color="auto" w:fill="CCECFF"/>
          </w:tcPr>
          <w:p>
            <w:pPr>
              <w:spacing w:after="0"/>
              <w:rPr>
                <w:sz w:val="15"/>
                <w:szCs w:val="15"/>
                <w:color w:val="auto"/>
              </w:rPr>
            </w:pPr>
          </w:p>
        </w:tc>
      </w:tr>
      <w:tr>
        <w:trPr>
          <w:trHeight w:val="447"/>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3"/>
        </w:trPr>
        <w:tc>
          <w:tcPr>
            <w:tcW w:w="45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46" w:name="page47"/>
    <w:bookmarkEnd w:id="46"/>
    <w:p>
      <w:pPr>
        <w:ind w:left="460"/>
        <w:spacing w:after="0"/>
        <w:rPr>
          <w:sz w:val="20"/>
          <w:szCs w:val="20"/>
          <w:color w:val="auto"/>
        </w:rPr>
      </w:pPr>
      <w:r>
        <w:rPr>
          <w:rFonts w:ascii="Arial" w:cs="Arial" w:eastAsia="Arial" w:hAnsi="Arial"/>
          <w:sz w:val="14"/>
          <w:szCs w:val="14"/>
          <w:color w:val="auto"/>
        </w:rPr>
        <w:t>Below is a listing of PSSL’s individual investments as of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8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140" w:type="dxa"/>
            <w:vAlign w:val="bottom"/>
          </w:tcPr>
          <w:p>
            <w:pPr>
              <w:spacing w:after="0"/>
              <w:rPr>
                <w:sz w:val="9"/>
                <w:szCs w:val="9"/>
                <w:color w:val="auto"/>
              </w:rPr>
            </w:pPr>
          </w:p>
        </w:tc>
        <w:tc>
          <w:tcPr>
            <w:tcW w:w="2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40" w:type="dxa"/>
            <w:vAlign w:val="bottom"/>
          </w:tcPr>
          <w:p>
            <w:pPr>
              <w:spacing w:after="0"/>
              <w:rPr>
                <w:sz w:val="9"/>
                <w:szCs w:val="9"/>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Par</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2"/>
                <w:szCs w:val="12"/>
                <w:color w:val="auto"/>
              </w:rPr>
            </w:pPr>
          </w:p>
        </w:tc>
        <w:tc>
          <w:tcPr>
            <w:tcW w:w="500" w:type="dxa"/>
            <w:vAlign w:val="bottom"/>
          </w:tcPr>
          <w:p>
            <w:pPr>
              <w:ind w:left="220"/>
              <w:spacing w:after="0"/>
              <w:rPr>
                <w:sz w:val="20"/>
                <w:szCs w:val="20"/>
                <w:color w:val="auto"/>
              </w:rPr>
            </w:pPr>
            <w:r>
              <w:rPr>
                <w:rFonts w:ascii="Arial" w:cs="Arial" w:eastAsia="Arial" w:hAnsi="Arial"/>
                <w:sz w:val="11"/>
                <w:szCs w:val="11"/>
                <w:b w:val="1"/>
                <w:bCs w:val="1"/>
                <w:color w:val="auto"/>
                <w:w w:val="90"/>
              </w:rPr>
              <w:t>Index</w:t>
            </w:r>
          </w:p>
        </w:tc>
        <w:tc>
          <w:tcPr>
            <w:tcW w:w="320" w:type="dxa"/>
            <w:vAlign w:val="bottom"/>
          </w:tcPr>
          <w:p>
            <w:pPr>
              <w:jc w:val="right"/>
              <w:ind w:right="166"/>
              <w:spacing w:after="0"/>
              <w:rPr>
                <w:sz w:val="20"/>
                <w:szCs w:val="20"/>
                <w:color w:val="auto"/>
              </w:rPr>
            </w:pPr>
            <w:r>
              <w:rPr>
                <w:rFonts w:ascii="Arial" w:cs="Arial" w:eastAsia="Arial" w:hAnsi="Arial"/>
                <w:sz w:val="7"/>
                <w:szCs w:val="7"/>
                <w:b w:val="1"/>
                <w:bCs w:val="1"/>
                <w:color w:val="auto"/>
                <w:w w:val="92"/>
              </w:rPr>
              <w:t>(1)</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- 1160.2%</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8"/>
              </w:rPr>
              <w:t>5/6/2026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8,955,000</w:t>
            </w:r>
          </w:p>
        </w:tc>
        <w:tc>
          <w:tcPr>
            <w:tcW w:w="3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8,836,837</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8,955,000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7/24/2025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9.00 %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L+700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5,450,124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5,309,857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5,109,491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American Insulated Glass,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12/21/2023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Building Products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4,927,427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4,875,528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4,927,427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1,018,039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1,018,039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1,005,313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7/31/2025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2,217,197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2,217,197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2,189,482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Apex Service Partners, LLC Term Loan 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4,163,478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4,097,520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4,111,435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Applied Technical Services,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4,411,562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4,443,750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5/16/2024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7.25 %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15,536,977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15,481,065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15,226,237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Cadence Aerospace,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9.50 %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12,314,270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12,269,216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12,228,070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Cano Health</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11/23/2027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Healthcare, Education &amp; Childcare</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5.25 %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L+450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2,646,667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2,640,086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2,642,697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CF512,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8/20/2026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4,889,449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4,937,625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CHA Holdings, Inc.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4/10/2025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5.50 %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L+450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5,600,129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5,510,103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5,572,128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Challenger Performance Optimization,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8/31/2023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8.00 %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9,394,789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9,353,387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9,112,945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Connatix Buyer, Inc.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7/13/2027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3,990,000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3,914,189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4,009,949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Crane 1 Services,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8/16/2027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2,126,250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2,095,933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2,104,988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88"/>
              </w:rPr>
              <w:t>8/5/2025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6.00 %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14,952,600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14,668,250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14,653,548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8,723,392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8,682,987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8,723,392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Douglas Sewer Intermediate,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L+475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7,304,171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7,268,830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7,304,171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 Squatch,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8/27/2026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9,784,645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DRS Holdings III, Inc.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11/3/2025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15,636,090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15,548,787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15,542,275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Duraco Specialty Tapes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6/30/2024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Containers and Packaging</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10,368,010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10,190,306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10,202,122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3/31/2028</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8.25 %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2,640,577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2,615,226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2,680,186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ECM Industries,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12/23/2025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5.75 %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4,994,355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4,994,355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4,869,496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Fairbanks More Defense</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6/17/2028</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5.50 %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9,975,000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9,931,373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9,950,063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FlexPrint,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8"/>
              </w:rPr>
              <w:t>1/2/2024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5.67 %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4,769,595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4,735,907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4,769,595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Gantech Acquisition Corp.</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5/14/2026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7.25 %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L+800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14,863,034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14,598,362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14,714,404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Global Holdings InterCo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3/16/2026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3,957,563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3,938,664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3,937,775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Graffiti Buyer, Inc.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8/10/2027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2,386,875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2,341,314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2,340,331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12/31/2026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L+750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2,475,000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2,421,099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2,475,000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L+450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3,075,000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3,014,618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3,013,500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Acquisitionco,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11/15/2027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Software</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5,404,356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5,298,045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5,296,269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Inception Fertility Ventures,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12/7/2023</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6.50 %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L+590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4,694,908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4,579,487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4,577,536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9/29/2023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5.50 %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11,529,369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11,495,522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11,529,369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19,400,000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19,169,616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19,012,000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Kinetic Purchaser,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11/10/2027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8,466,025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8,300,861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8,296,704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Lash OpCo,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2/18/2027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14,463,750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14,144,208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14,319,113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LAV Gear Holdings,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10/31/2024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Capital Equipment</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8.50 %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10,544,899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10,491,412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10,049,289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Lightspeed Buyer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88"/>
              </w:rPr>
              <w:t>2/3/2026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10,679,529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10,487,737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10,385,842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Lucky Bucks,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7/20/2027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Hotel, Gaming and Leisure</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6.25 %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4,414,415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4,415,625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60" w:type="dxa"/>
            <w:vAlign w:val="bottom"/>
          </w:tcPr>
          <w:p>
            <w:pPr>
              <w:ind w:left="20"/>
              <w:spacing w:after="0" w:line="105" w:lineRule="exact"/>
              <w:rPr>
                <w:sz w:val="20"/>
                <w:szCs w:val="20"/>
                <w:color w:val="auto"/>
              </w:rPr>
            </w:pPr>
            <w:r>
              <w:rPr>
                <w:rFonts w:ascii="Arial" w:cs="Arial" w:eastAsia="Arial" w:hAnsi="Arial"/>
                <w:sz w:val="11"/>
                <w:szCs w:val="11"/>
                <w:color w:val="auto"/>
              </w:rPr>
              <w:t>Management Consulting &amp; Research, LLC</w:t>
            </w:r>
          </w:p>
        </w:tc>
        <w:tc>
          <w:tcPr>
            <w:tcW w:w="80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89"/>
              </w:rPr>
              <w:t>8/16/2027</w:t>
            </w:r>
          </w:p>
        </w:tc>
        <w:tc>
          <w:tcPr>
            <w:tcW w:w="140" w:type="dxa"/>
            <w:vAlign w:val="bottom"/>
          </w:tcPr>
          <w:p>
            <w:pPr>
              <w:spacing w:after="0"/>
              <w:rPr>
                <w:sz w:val="9"/>
                <w:szCs w:val="9"/>
                <w:color w:val="auto"/>
              </w:rPr>
            </w:pPr>
          </w:p>
        </w:tc>
        <w:tc>
          <w:tcPr>
            <w:tcW w:w="2520" w:type="dxa"/>
            <w:vAlign w:val="bottom"/>
          </w:tcPr>
          <w:p>
            <w:pPr>
              <w:jc w:val="center"/>
              <w:spacing w:after="0" w:line="105" w:lineRule="exact"/>
              <w:rPr>
                <w:sz w:val="20"/>
                <w:szCs w:val="20"/>
                <w:color w:val="auto"/>
              </w:rPr>
            </w:pPr>
            <w:r>
              <w:rPr>
                <w:rFonts w:ascii="Arial" w:cs="Arial" w:eastAsia="Arial" w:hAnsi="Arial"/>
                <w:sz w:val="11"/>
                <w:szCs w:val="11"/>
                <w:color w:val="auto"/>
                <w:w w:val="86"/>
              </w:rPr>
              <w:t>Aerospace and Defense</w:t>
            </w:r>
          </w:p>
        </w:tc>
        <w:tc>
          <w:tcPr>
            <w:tcW w:w="980" w:type="dxa"/>
            <w:vAlign w:val="bottom"/>
            <w:gridSpan w:val="3"/>
          </w:tcPr>
          <w:p>
            <w:pPr>
              <w:jc w:val="right"/>
              <w:ind w:right="40"/>
              <w:spacing w:after="0" w:line="10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500" w:type="dxa"/>
            <w:vAlign w:val="bottom"/>
          </w:tcPr>
          <w:p>
            <w:pPr>
              <w:jc w:val="center"/>
              <w:ind w:left="266"/>
              <w:spacing w:after="0" w:line="105" w:lineRule="exact"/>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line="105" w:lineRule="exact"/>
              <w:rPr>
                <w:sz w:val="20"/>
                <w:szCs w:val="20"/>
                <w:color w:val="auto"/>
              </w:rPr>
            </w:pPr>
            <w:r>
              <w:rPr>
                <w:rFonts w:ascii="Arial" w:cs="Arial" w:eastAsia="Arial" w:hAnsi="Arial"/>
                <w:sz w:val="11"/>
                <w:szCs w:val="11"/>
                <w:color w:val="auto"/>
                <w:w w:val="90"/>
              </w:rPr>
              <w:t>L+700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15,000,000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14,707,013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14,700,000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line="155" w:lineRule="exact"/>
              <w:rPr>
                <w:sz w:val="20"/>
                <w:szCs w:val="20"/>
                <w:color w:val="auto"/>
              </w:rPr>
            </w:pPr>
            <w:r>
              <w:rPr>
                <w:rFonts w:ascii="Arial" w:cs="Arial" w:eastAsia="Arial" w:hAnsi="Arial"/>
                <w:sz w:val="11"/>
                <w:szCs w:val="11"/>
                <w:color w:val="auto"/>
                <w:w w:val="91"/>
              </w:rPr>
              <w:t xml:space="preserve">Marketplace Events, LLC - Super Priority First Lien Term Loan </w:t>
            </w:r>
            <w:r>
              <w:rPr>
                <w:rFonts w:ascii="Arial" w:cs="Arial" w:eastAsia="Arial" w:hAnsi="Arial"/>
                <w:sz w:val="14"/>
                <w:szCs w:val="14"/>
                <w:color w:val="auto"/>
                <w:w w:val="91"/>
                <w:vertAlign w:val="superscript"/>
              </w:rPr>
              <w:t>(3)(4)</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9/30/2025</w:t>
            </w:r>
          </w:p>
        </w:tc>
        <w:tc>
          <w:tcPr>
            <w:tcW w:w="14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3"/>
                <w:szCs w:val="13"/>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L+750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627,350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627,350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627,350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060" w:type="dxa"/>
            <w:vAlign w:val="bottom"/>
          </w:tcPr>
          <w:p>
            <w:pPr>
              <w:ind w:left="20"/>
              <w:spacing w:after="0" w:line="108" w:lineRule="exact"/>
              <w:rPr>
                <w:sz w:val="20"/>
                <w:szCs w:val="20"/>
                <w:color w:val="auto"/>
              </w:rPr>
            </w:pPr>
            <w:r>
              <w:rPr>
                <w:rFonts w:ascii="Arial" w:cs="Arial" w:eastAsia="Arial" w:hAnsi="Arial"/>
                <w:sz w:val="11"/>
                <w:szCs w:val="11"/>
                <w:color w:val="auto"/>
                <w:w w:val="92"/>
              </w:rPr>
              <w:t>Marketplace Events, LLC - Super Priority First Lien Unfunded Term</w:t>
            </w:r>
          </w:p>
        </w:tc>
        <w:tc>
          <w:tcPr>
            <w:tcW w:w="800" w:type="dxa"/>
            <w:vAlign w:val="bottom"/>
            <w:gridSpan w:val="2"/>
          </w:tcPr>
          <w:p>
            <w:pPr>
              <w:jc w:val="center"/>
              <w:ind w:left="66"/>
              <w:spacing w:after="0" w:line="108" w:lineRule="exact"/>
              <w:rPr>
                <w:sz w:val="20"/>
                <w:szCs w:val="20"/>
                <w:color w:val="auto"/>
              </w:rPr>
            </w:pPr>
            <w:r>
              <w:rPr>
                <w:rFonts w:ascii="Arial" w:cs="Arial" w:eastAsia="Arial" w:hAnsi="Arial"/>
                <w:sz w:val="11"/>
                <w:szCs w:val="11"/>
                <w:color w:val="auto"/>
                <w:w w:val="89"/>
              </w:rPr>
              <w:t>9/30/2025</w:t>
            </w:r>
          </w:p>
        </w:tc>
        <w:tc>
          <w:tcPr>
            <w:tcW w:w="140" w:type="dxa"/>
            <w:vAlign w:val="bottom"/>
          </w:tcPr>
          <w:p>
            <w:pPr>
              <w:spacing w:after="0"/>
              <w:rPr>
                <w:sz w:val="9"/>
                <w:szCs w:val="9"/>
                <w:color w:val="auto"/>
              </w:rPr>
            </w:pPr>
          </w:p>
        </w:tc>
        <w:tc>
          <w:tcPr>
            <w:tcW w:w="2520" w:type="dxa"/>
            <w:vAlign w:val="bottom"/>
          </w:tcPr>
          <w:p>
            <w:pPr>
              <w:jc w:val="center"/>
              <w:spacing w:after="0" w:line="108" w:lineRule="exact"/>
              <w:rPr>
                <w:sz w:val="20"/>
                <w:szCs w:val="20"/>
                <w:color w:val="auto"/>
              </w:rPr>
            </w:pPr>
            <w:r>
              <w:rPr>
                <w:rFonts w:ascii="Arial" w:cs="Arial" w:eastAsia="Arial" w:hAnsi="Arial"/>
                <w:sz w:val="11"/>
                <w:szCs w:val="11"/>
                <w:color w:val="auto"/>
                <w:w w:val="91"/>
              </w:rPr>
              <w:t>Media: Diversified and Production</w:t>
            </w:r>
          </w:p>
        </w:tc>
        <w:tc>
          <w:tcPr>
            <w:tcW w:w="980" w:type="dxa"/>
            <w:vAlign w:val="bottom"/>
            <w:gridSpan w:val="3"/>
          </w:tcPr>
          <w:p>
            <w:pPr>
              <w:jc w:val="right"/>
              <w:ind w:right="40"/>
              <w:spacing w:after="0" w:line="108" w:lineRule="exact"/>
              <w:rPr>
                <w:sz w:val="20"/>
                <w:szCs w:val="20"/>
                <w:color w:val="auto"/>
              </w:rPr>
            </w:pPr>
            <w:r>
              <w:rPr>
                <w:rFonts w:ascii="Arial" w:cs="Arial" w:eastAsia="Arial" w:hAnsi="Arial"/>
                <w:sz w:val="11"/>
                <w:szCs w:val="11"/>
                <w:color w:val="auto"/>
              </w:rPr>
              <w:t>0.00 %</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589,122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60" w:type="dxa"/>
            <w:vAlign w:val="bottom"/>
          </w:tcPr>
          <w:p>
            <w:pPr>
              <w:ind w:left="20"/>
              <w:spacing w:after="0" w:line="115" w:lineRule="exact"/>
              <w:rPr>
                <w:sz w:val="20"/>
                <w:szCs w:val="20"/>
                <w:color w:val="auto"/>
              </w:rPr>
            </w:pPr>
            <w:r>
              <w:rPr>
                <w:rFonts w:ascii="Arial" w:cs="Arial" w:eastAsia="Arial" w:hAnsi="Arial"/>
                <w:sz w:val="11"/>
                <w:szCs w:val="11"/>
                <w:color w:val="auto"/>
              </w:rPr>
              <w:t>Loan</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(3)(4)</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9/30/2026</w:t>
            </w:r>
          </w:p>
        </w:tc>
        <w:tc>
          <w:tcPr>
            <w:tcW w:w="14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0.00 %</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4,688,685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3,441,474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4,688,685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Arial" w:cs="Arial" w:eastAsia="Arial" w:hAnsi="Arial"/>
                <w:sz w:val="11"/>
                <w:szCs w:val="11"/>
                <w:color w:val="auto"/>
              </w:rPr>
              <w:t>Mars Acquisition Holdings Corp.</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5/14/2026</w:t>
            </w:r>
          </w:p>
        </w:tc>
        <w:tc>
          <w:tcPr>
            <w:tcW w:w="14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6.50 %</w:t>
            </w:r>
          </w:p>
        </w:tc>
        <w:tc>
          <w:tcPr>
            <w:tcW w:w="140" w:type="dxa"/>
            <w:vAlign w:val="bottom"/>
          </w:tcPr>
          <w:p>
            <w:pPr>
              <w:spacing w:after="0"/>
              <w:rPr>
                <w:sz w:val="12"/>
                <w:szCs w:val="12"/>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9,975,000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9,796,215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9,925,124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MBS Holdings,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4/16/2027</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7,462,500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7,324,842</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7,387,875</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MeritDirect,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5/23/2024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2"/>
              </w:rPr>
              <w:t>Media: Advertising, Printing &amp; Publishing</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6.50 %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5,496,927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5,386,916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5,441,957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Mission Critical Electronics,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9/28/2022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Capital Equipment</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5,874,418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5,864,975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5,874,418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Municipal Emergency Services, Inc.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9/28/2027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6.00 %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3,491,250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3,423,253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3,435,390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NBH Group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8/19/2026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Education &amp; Childcare</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jc w:val="right"/>
              <w:ind w:right="4"/>
              <w:spacing w:after="0"/>
              <w:rPr>
                <w:sz w:val="20"/>
                <w:szCs w:val="20"/>
                <w:color w:val="auto"/>
              </w:rPr>
            </w:pPr>
            <w:r>
              <w:rPr>
                <w:rFonts w:ascii="Arial" w:cs="Arial" w:eastAsia="Arial" w:hAnsi="Arial"/>
                <w:sz w:val="7"/>
                <w:szCs w:val="7"/>
                <w:color w:val="auto"/>
                <w:w w:val="92"/>
              </w:rPr>
              <w:t>(4)</w:t>
            </w:r>
          </w:p>
        </w:tc>
        <w:tc>
          <w:tcPr>
            <w:tcW w:w="50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10,901,830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10,695,121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10,792,812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New Milani Group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88"/>
              </w:rPr>
              <w:t>6/6/2024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7.50 %</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14,512,500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14,449,995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14,149,688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8"/>
              </w:rPr>
              <w:t>7/9/2026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5.50 %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1,990,000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1,962,468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1,970,100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One Stop Mailing,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88"/>
              </w:rPr>
              <w:t>5/7/2027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3"/>
              </w:rPr>
              <w:t>Air Freight and Logistics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7.25 %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14,882,143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14,603,405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14,621,705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Output Services Group,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3/27/2024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5.50 %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7,703,419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7,736,458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6,933,077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5/18/2026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4,962,500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4,893,094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4,863,250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PH Beauty Holdings III,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9/29/2025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5.18 %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9,667,689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9,508,551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8,894,274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PL Acquisitionco,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11/9/2027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7.50 %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8,300,024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8,158,174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8,154,774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Plant Health Intermediate,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1,573,750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1,566,163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1,573,750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88"/>
              </w:rPr>
              <w:t>5/8/2026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5.72 %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2,601,243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2,527,483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2,540,556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Quantic Electronics,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7.25 %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3,952,053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3,875,185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3,873,013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1/29/2026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4,962,500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4,879,117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4,888,063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6.50 %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10,651,962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10,570,256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10,498,893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88"/>
              </w:rPr>
              <w:t>1/3/2025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7.75 %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5,310,941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5,237,218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5,231,277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5,506,404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5,454,203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5,506,404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7/14/2025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8.00 %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11,814,827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11,843,002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11,430,845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Sigma Defense Systems,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9.50 %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14,630,464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Smile Brands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5.25 %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12,535,172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12,433,898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12,065,103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Snak Club,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7/19/2022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Beverage, Food and Tobacco</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4,344,306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4,326,142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4,344,306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1/17/2024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6.75 %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L+700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5,875,772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5,841,539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5,875,772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12/11/2026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Construction and Building</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5.35 %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9,075,412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9,006,665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9,030,035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TAC LifePort Purchaser,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88"/>
              </w:rPr>
              <w:t>3/1/2026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500" w:type="dxa"/>
            <w:vAlign w:val="bottom"/>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4,654,618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4,575,450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4,654,618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11/20/2025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98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5.50 %</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center"/>
              <w:ind w:left="266"/>
              <w:spacing w:after="0"/>
              <w:rPr>
                <w:sz w:val="20"/>
                <w:szCs w:val="20"/>
                <w:color w:val="auto"/>
              </w:rPr>
            </w:pPr>
            <w:r>
              <w:rPr>
                <w:rFonts w:ascii="Arial" w:cs="Arial" w:eastAsia="Arial" w:hAnsi="Arial"/>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10,308,377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10,285,422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10,205,294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8572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8572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366"/>
              <w:spacing w:after="0"/>
              <w:rPr>
                <w:sz w:val="20"/>
                <w:szCs w:val="20"/>
                <w:color w:val="auto"/>
              </w:rPr>
            </w:pPr>
            <w:r>
              <w:rPr>
                <w:rFonts w:ascii="Arial" w:cs="Arial" w:eastAsia="Arial" w:hAnsi="Arial"/>
                <w:sz w:val="11"/>
                <w:szCs w:val="11"/>
                <w:b w:val="1"/>
                <w:bCs w:val="1"/>
                <w:color w:val="auto"/>
              </w:rPr>
              <w:t>Current</w:t>
            </w: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180" w:type="dxa"/>
            <w:vAlign w:val="bottom"/>
          </w:tcPr>
          <w:p>
            <w:pPr>
              <w:spacing w:after="0"/>
              <w:rPr>
                <w:sz w:val="9"/>
                <w:szCs w:val="9"/>
                <w:color w:val="auto"/>
              </w:rPr>
            </w:pPr>
          </w:p>
        </w:tc>
        <w:tc>
          <w:tcPr>
            <w:tcW w:w="78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9"/>
                <w:szCs w:val="9"/>
                <w:color w:val="auto"/>
              </w:rPr>
            </w:pPr>
          </w:p>
        </w:tc>
        <w:tc>
          <w:tcPr>
            <w:tcW w:w="2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148"/>
        </w:trPr>
        <w:tc>
          <w:tcPr>
            <w:tcW w:w="3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7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80" w:type="dxa"/>
            <w:vAlign w:val="bottom"/>
          </w:tcPr>
          <w:p>
            <w:pPr>
              <w:spacing w:after="0"/>
              <w:rPr>
                <w:sz w:val="12"/>
                <w:szCs w:val="12"/>
                <w:color w:val="auto"/>
              </w:rPr>
            </w:pPr>
          </w:p>
        </w:tc>
        <w:tc>
          <w:tcPr>
            <w:tcW w:w="78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8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12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9"/>
              </w:rPr>
              <w:t>7/18/2025</w:t>
            </w:r>
          </w:p>
        </w:tc>
        <w:tc>
          <w:tcPr>
            <w:tcW w:w="180" w:type="dxa"/>
            <w:vAlign w:val="bottom"/>
            <w:shd w:val="clear" w:color="auto" w:fill="CCECFF"/>
          </w:tcPr>
          <w:p>
            <w:pPr>
              <w:spacing w:after="0"/>
              <w:rPr>
                <w:sz w:val="11"/>
                <w:szCs w:val="11"/>
                <w:color w:val="auto"/>
              </w:rPr>
            </w:pPr>
          </w:p>
        </w:tc>
        <w:tc>
          <w:tcPr>
            <w:tcW w:w="254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6.25</w:t>
            </w:r>
          </w:p>
        </w:tc>
        <w:tc>
          <w:tcPr>
            <w:tcW w:w="24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w w:val="81"/>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180" w:type="dxa"/>
            <w:vAlign w:val="bottom"/>
            <w:shd w:val="clear" w:color="auto" w:fill="CCECFF"/>
          </w:tcPr>
          <w:p>
            <w:pPr>
              <w:spacing w:after="0"/>
              <w:rPr>
                <w:sz w:val="11"/>
                <w:szCs w:val="11"/>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2,303,594</w:t>
            </w: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2,300,466</w:t>
            </w:r>
          </w:p>
        </w:tc>
        <w:tc>
          <w:tcPr>
            <w:tcW w:w="16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2,307,441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10/31/2025</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5,702,340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5,625,763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5,645,316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7/27/2026</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8.00 %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1,735,096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1,702,858</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1,769,798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9/16/2024</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tcPr>
          <w:p>
            <w:pPr>
              <w:jc w:val="right"/>
              <w:spacing w:after="0"/>
              <w:rPr>
                <w:sz w:val="20"/>
                <w:szCs w:val="20"/>
                <w:color w:val="auto"/>
              </w:rPr>
            </w:pPr>
            <w:r>
              <w:rPr>
                <w:rFonts w:ascii="Arial" w:cs="Arial" w:eastAsia="Arial" w:hAnsi="Arial"/>
                <w:sz w:val="11"/>
                <w:szCs w:val="11"/>
                <w:color w:val="auto"/>
              </w:rPr>
              <w:t>1M L+450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13,292,785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13,286,182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13,292,785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8/30/2027</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6.50 %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5,620,049</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5,509,843</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5,558,228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11/24/2025</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8,811,566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8,641,641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8,547,219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3/26/2026</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8,536,695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8,568,268</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8,536,695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6/16/2025</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60" w:type="dxa"/>
            <w:vAlign w:val="bottom"/>
          </w:tcPr>
          <w:p>
            <w:pPr>
              <w:jc w:val="right"/>
              <w:spacing w:after="0"/>
              <w:rPr>
                <w:sz w:val="20"/>
                <w:szCs w:val="20"/>
                <w:color w:val="auto"/>
              </w:rPr>
            </w:pPr>
            <w:r>
              <w:rPr>
                <w:rFonts w:ascii="Arial" w:cs="Arial" w:eastAsia="Arial" w:hAnsi="Arial"/>
                <w:sz w:val="11"/>
                <w:szCs w:val="11"/>
                <w:color w:val="auto"/>
              </w:rPr>
              <w:t>6M L+575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6,636,062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6,601,382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6,636,062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 (New Issue)</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4/1/2028</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6.25 %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L+550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15,667,608</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15,522,347</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15,550,101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UBEO,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4/3/2024</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60" w:type="dxa"/>
            <w:vAlign w:val="bottom"/>
          </w:tcPr>
          <w:p>
            <w:pPr>
              <w:jc w:val="right"/>
              <w:spacing w:after="0"/>
              <w:rPr>
                <w:sz w:val="20"/>
                <w:szCs w:val="20"/>
                <w:color w:val="auto"/>
              </w:rPr>
            </w:pPr>
            <w:r>
              <w:rPr>
                <w:rFonts w:ascii="Arial" w:cs="Arial" w:eastAsia="Arial" w:hAnsi="Arial"/>
                <w:sz w:val="11"/>
                <w:szCs w:val="11"/>
                <w:color w:val="auto"/>
              </w:rPr>
              <w:t>3M L+525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17,526,068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17,421,250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17,438,438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3/31/2027</w:t>
            </w:r>
          </w:p>
        </w:tc>
        <w:tc>
          <w:tcPr>
            <w:tcW w:w="18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0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9.75 %</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12,492,395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12,206,891</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12,305,009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Arial" w:cs="Arial" w:eastAsia="Arial" w:hAnsi="Arial"/>
                <w:sz w:val="11"/>
                <w:szCs w:val="11"/>
                <w:color w:val="auto"/>
              </w:rPr>
              <w:t>Wildcat Buyerco,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2/27/2026</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60" w:type="dxa"/>
            <w:vAlign w:val="bottom"/>
          </w:tcPr>
          <w:p>
            <w:pPr>
              <w:jc w:val="right"/>
              <w:spacing w:after="0"/>
              <w:rPr>
                <w:sz w:val="20"/>
                <w:szCs w:val="20"/>
                <w:color w:val="auto"/>
              </w:rPr>
            </w:pPr>
            <w:r>
              <w:rPr>
                <w:rFonts w:ascii="Arial" w:cs="Arial" w:eastAsia="Arial" w:hAnsi="Arial"/>
                <w:sz w:val="11"/>
                <w:szCs w:val="11"/>
                <w:color w:val="auto"/>
              </w:rPr>
              <w:t>1M L+625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5,692,065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5,644,064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5,663,605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Zips Car Wash, LLC</w:t>
            </w:r>
          </w:p>
        </w:tc>
        <w:tc>
          <w:tcPr>
            <w:tcW w:w="78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3/1/2024</w:t>
            </w:r>
          </w:p>
        </w:tc>
        <w:tc>
          <w:tcPr>
            <w:tcW w:w="180" w:type="dxa"/>
            <w:vAlign w:val="bottom"/>
            <w:tcBorders>
              <w:bottom w:val="single" w:sz="8" w:color="CCECFF"/>
            </w:tcBorders>
            <w:shd w:val="clear" w:color="auto" w:fill="CCECFF"/>
          </w:tcPr>
          <w:p>
            <w:pPr>
              <w:spacing w:after="0"/>
              <w:rPr>
                <w:sz w:val="11"/>
                <w:szCs w:val="11"/>
                <w:color w:val="auto"/>
              </w:rPr>
            </w:pPr>
          </w:p>
        </w:tc>
        <w:tc>
          <w:tcPr>
            <w:tcW w:w="25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2"/>
              </w:rPr>
              <w:t>Automobiles</w:t>
            </w:r>
          </w:p>
        </w:tc>
        <w:tc>
          <w:tcPr>
            <w:tcW w:w="110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7.75 %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17,000,000</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16,676,420</w:t>
            </w:r>
          </w:p>
        </w:tc>
        <w:tc>
          <w:tcPr>
            <w:tcW w:w="1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16,660,000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639,374,876</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638,323,244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 - 5.3%</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0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DBI Intermediate Holdco, LLC, Term Loan B </w:t>
            </w:r>
            <w:r>
              <w:rPr>
                <w:rFonts w:ascii="Arial" w:cs="Arial" w:eastAsia="Arial" w:hAnsi="Arial"/>
                <w:sz w:val="14"/>
                <w:szCs w:val="14"/>
                <w:color w:val="auto"/>
                <w:vertAlign w:val="superscript"/>
              </w:rPr>
              <w:t>(4)</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02/02/2026</w:t>
            </w:r>
          </w:p>
        </w:tc>
        <w:tc>
          <w:tcPr>
            <w:tcW w:w="18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2,434,333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2,434,333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9.00%)</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Inventus Power, Inc.</w:t>
            </w:r>
          </w:p>
        </w:tc>
        <w:tc>
          <w:tcPr>
            <w:tcW w:w="78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09/29/2024</w:t>
            </w:r>
          </w:p>
        </w:tc>
        <w:tc>
          <w:tcPr>
            <w:tcW w:w="180" w:type="dxa"/>
            <w:vAlign w:val="bottom"/>
            <w:tcBorders>
              <w:bottom w:val="single" w:sz="8" w:color="CCECFF"/>
            </w:tcBorders>
            <w:shd w:val="clear" w:color="auto" w:fill="CCECFF"/>
          </w:tcPr>
          <w:p>
            <w:pPr>
              <w:spacing w:after="0"/>
              <w:rPr>
                <w:sz w:val="12"/>
                <w:szCs w:val="12"/>
                <w:color w:val="auto"/>
              </w:rPr>
            </w:pPr>
          </w:p>
        </w:tc>
        <w:tc>
          <w:tcPr>
            <w:tcW w:w="25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10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9.50 %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2,951,246</w:t>
            </w:r>
          </w:p>
        </w:tc>
        <w:tc>
          <w:tcPr>
            <w:tcW w:w="1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2,925,000</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5,385,579</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Equity Securities - .8%</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14"/>
                <w:szCs w:val="14"/>
                <w:color w:val="auto"/>
                <w:vertAlign w:val="superscript"/>
              </w:rPr>
              <w:t>(4)</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86"/>
              <w:spacing w:after="0"/>
              <w:rPr>
                <w:sz w:val="20"/>
                <w:szCs w:val="20"/>
                <w:color w:val="auto"/>
              </w:rPr>
            </w:pPr>
            <w:r>
              <w:rPr>
                <w:rFonts w:ascii="Arial" w:cs="Arial" w:eastAsia="Arial" w:hAnsi="Arial"/>
                <w:sz w:val="11"/>
                <w:szCs w:val="11"/>
                <w:color w:val="auto"/>
              </w:rPr>
              <w:t>13.00 %</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6,784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5,034,310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14"/>
                <w:szCs w:val="14"/>
                <w:color w:val="auto"/>
                <w:vertAlign w:val="superscript"/>
              </w:rPr>
              <w:t>(4)</w:t>
            </w:r>
          </w:p>
        </w:tc>
        <w:tc>
          <w:tcPr>
            <w:tcW w:w="12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7,007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6,731,347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3080" w:type="dxa"/>
            <w:vAlign w:val="bottom"/>
          </w:tcPr>
          <w:p>
            <w:pPr>
              <w:ind w:left="20"/>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14"/>
                <w:szCs w:val="14"/>
                <w:color w:val="auto"/>
                <w:vertAlign w:val="superscript"/>
              </w:rPr>
              <w:t>(4)</w:t>
            </w:r>
          </w:p>
        </w:tc>
        <w:tc>
          <w:tcPr>
            <w:tcW w:w="120" w:type="dxa"/>
            <w:vAlign w:val="bottom"/>
          </w:tcPr>
          <w:p>
            <w:pPr>
              <w:spacing w:after="0"/>
              <w:rPr>
                <w:sz w:val="14"/>
                <w:szCs w:val="14"/>
                <w:color w:val="auto"/>
              </w:rPr>
            </w:pPr>
          </w:p>
        </w:tc>
        <w:tc>
          <w:tcPr>
            <w:tcW w:w="660" w:type="dxa"/>
            <w:vAlign w:val="bottom"/>
          </w:tcPr>
          <w:p>
            <w:pPr>
              <w:ind w:left="54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1,065,021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236,521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New MPE Holdings, LLC</w:t>
            </w: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ind w:left="540"/>
              <w:spacing w:after="0"/>
              <w:rPr>
                <w:sz w:val="20"/>
                <w:szCs w:val="20"/>
                <w:color w:val="auto"/>
              </w:rPr>
            </w:pPr>
            <w:r>
              <w:rPr>
                <w:rFonts w:ascii="Arial" w:cs="Arial" w:eastAsia="Arial" w:hAnsi="Arial"/>
                <w:sz w:val="11"/>
                <w:szCs w:val="11"/>
                <w:color w:val="auto"/>
                <w:w w:val="90"/>
              </w:rPr>
              <w:t>—</w:t>
            </w:r>
          </w:p>
        </w:tc>
        <w:tc>
          <w:tcPr>
            <w:tcW w:w="180" w:type="dxa"/>
            <w:vAlign w:val="bottom"/>
            <w:tcBorders>
              <w:bottom w:val="single" w:sz="8" w:color="CCECFF"/>
            </w:tcBorders>
            <w:shd w:val="clear" w:color="auto" w:fill="CCECFF"/>
          </w:tcPr>
          <w:p>
            <w:pPr>
              <w:spacing w:after="0"/>
              <w:rPr>
                <w:sz w:val="11"/>
                <w:szCs w:val="11"/>
                <w:color w:val="auto"/>
              </w:rPr>
            </w:pPr>
          </w:p>
        </w:tc>
        <w:tc>
          <w:tcPr>
            <w:tcW w:w="25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47</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425,043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12,002,178</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425,043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- 1166.3%</w:t>
            </w: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5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656,762,633</w:t>
            </w:r>
          </w:p>
        </w:tc>
        <w:tc>
          <w:tcPr>
            <w:tcW w:w="1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641,673,287</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- 64.7%</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5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35,578,940</w:t>
            </w:r>
          </w:p>
        </w:tc>
        <w:tc>
          <w:tcPr>
            <w:tcW w:w="1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35,582,572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35,578,940</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35,582,572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and Cash Equivalents —1231.%</w:t>
            </w:r>
          </w:p>
        </w:tc>
        <w:tc>
          <w:tcPr>
            <w:tcW w:w="120" w:type="dxa"/>
            <w:vAlign w:val="bottom"/>
            <w:tcBorders>
              <w:bottom w:val="single" w:sz="8" w:color="CCECFF"/>
            </w:tcBorders>
            <w:shd w:val="clear" w:color="auto" w:fill="CCECFF"/>
          </w:tcPr>
          <w:p>
            <w:pPr>
              <w:spacing w:after="0"/>
              <w:rPr>
                <w:sz w:val="15"/>
                <w:szCs w:val="15"/>
                <w:color w:val="auto"/>
              </w:rPr>
            </w:pPr>
          </w:p>
        </w:tc>
        <w:tc>
          <w:tcPr>
            <w:tcW w:w="6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5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692,341,573</w:t>
            </w:r>
          </w:p>
        </w:tc>
        <w:tc>
          <w:tcPr>
            <w:tcW w:w="16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677,255,859</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08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Liabilities in Excess of Other Assets — (1131.)%</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spacing w:after="0" w:line="102" w:lineRule="exact"/>
              <w:rPr>
                <w:sz w:val="20"/>
                <w:szCs w:val="20"/>
                <w:color w:val="auto"/>
              </w:rPr>
            </w:pPr>
            <w:r>
              <w:rPr>
                <w:rFonts w:ascii="Arial" w:cs="Arial" w:eastAsia="Arial" w:hAnsi="Arial"/>
                <w:sz w:val="11"/>
                <w:szCs w:val="11"/>
                <w:color w:val="auto"/>
                <w:w w:val="89"/>
              </w:rPr>
              <w:t>(622,238,626 )</w:t>
            </w:r>
          </w:p>
        </w:tc>
        <w:tc>
          <w:tcPr>
            <w:tcW w:w="0" w:type="dxa"/>
            <w:vAlign w:val="bottom"/>
          </w:tcPr>
          <w:p>
            <w:pPr>
              <w:spacing w:after="0"/>
              <w:rPr>
                <w:sz w:val="1"/>
                <w:szCs w:val="1"/>
                <w:color w:val="auto"/>
              </w:rPr>
            </w:pPr>
          </w:p>
        </w:tc>
      </w:tr>
      <w:tr>
        <w:trPr>
          <w:trHeight w:val="182"/>
        </w:trPr>
        <w:tc>
          <w:tcPr>
            <w:tcW w:w="3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Borders>
              <w:bottom w:val="single" w:sz="8" w:color="CCECFF"/>
            </w:tcBorders>
            <w:shd w:val="clear" w:color="auto" w:fill="CCECFF"/>
          </w:tcPr>
          <w:p>
            <w:pPr>
              <w:spacing w:after="0"/>
              <w:rPr>
                <w:sz w:val="15"/>
                <w:szCs w:val="15"/>
                <w:color w:val="auto"/>
              </w:rPr>
            </w:pPr>
          </w:p>
        </w:tc>
        <w:tc>
          <w:tcPr>
            <w:tcW w:w="6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5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55,017,233</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-1762125</wp:posOffset>
            </wp:positionV>
            <wp:extent cx="2603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-1762125</wp:posOffset>
            </wp:positionV>
            <wp:extent cx="26035"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572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-1316355</wp:posOffset>
            </wp:positionV>
            <wp:extent cx="26035"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-1316355</wp:posOffset>
            </wp:positionV>
            <wp:extent cx="26035"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8572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857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-784860</wp:posOffset>
            </wp:positionV>
            <wp:extent cx="2603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-784860</wp:posOffset>
            </wp:positionV>
            <wp:extent cx="26035"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-596265</wp:posOffset>
            </wp:positionV>
            <wp:extent cx="26035"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-596265</wp:posOffset>
            </wp:positionV>
            <wp:extent cx="26035"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-416560</wp:posOffset>
            </wp:positionV>
            <wp:extent cx="26035"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-416560</wp:posOffset>
            </wp:positionV>
            <wp:extent cx="26035"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-231140</wp:posOffset>
            </wp:positionV>
            <wp:extent cx="2603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-213995</wp:posOffset>
            </wp:positionV>
            <wp:extent cx="260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-231140</wp:posOffset>
            </wp:positionV>
            <wp:extent cx="2603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-213995</wp:posOffset>
            </wp:positionV>
            <wp:extent cx="2603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11912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2" w:lineRule="exact"/>
        <w:rPr>
          <w:sz w:val="20"/>
          <w:szCs w:val="20"/>
          <w:color w:val="auto"/>
        </w:rPr>
      </w:pPr>
    </w:p>
    <w:p>
      <w:pPr>
        <w:ind w:left="380" w:right="20" w:hanging="372"/>
        <w:spacing w:after="0" w:line="215"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181"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Valued based on PSSL’s accounting policy.</w:t>
      </w:r>
    </w:p>
    <w:p>
      <w:pPr>
        <w:ind w:left="380" w:hanging="372"/>
        <w:spacing w:after="0" w:line="181"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Non-U.S. company or principal place of business outside the United States.</w:t>
      </w:r>
    </w:p>
    <w:p>
      <w:pPr>
        <w:ind w:left="380" w:hanging="372"/>
        <w:spacing w:after="0" w:line="181"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Non-income producing security.</w:t>
      </w:r>
    </w:p>
    <w:p>
      <w:pPr>
        <w:ind w:left="380" w:hanging="372"/>
        <w:spacing w:after="0" w:line="191"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p>
      <w:pPr>
        <w:ind w:left="460"/>
        <w:spacing w:after="0"/>
        <w:rPr>
          <w:sz w:val="20"/>
          <w:szCs w:val="20"/>
          <w:color w:val="auto"/>
        </w:rPr>
      </w:pPr>
      <w:r>
        <w:rPr>
          <w:rFonts w:ascii="Arial" w:cs="Arial" w:eastAsia="Arial" w:hAnsi="Arial"/>
          <w:sz w:val="14"/>
          <w:szCs w:val="14"/>
          <w:color w:val="auto"/>
        </w:rPr>
        <w:t>Below is a listing of PSSL’s individual investments as of September 30, 2021:</w:t>
      </w:r>
    </w:p>
    <w:tbl>
      <w:tblPr>
        <w:tblLayout w:type="fixed"/>
        <w:tblInd w:w="0" w:type="dxa"/>
        <w:tblCellMar>
          <w:top w:w="0" w:type="dxa"/>
          <w:left w:w="0" w:type="dxa"/>
          <w:bottom w:w="0" w:type="dxa"/>
          <w:right w:w="0" w:type="dxa"/>
        </w:tblCellMar>
      </w:tblPr>
      <w:tr>
        <w:trPr>
          <w:trHeight w:val="114"/>
        </w:trPr>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Current</w:t>
            </w:r>
          </w:p>
        </w:tc>
        <w:tc>
          <w:tcPr>
            <w:tcW w:w="80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140" w:type="dxa"/>
            <w:vAlign w:val="bottom"/>
          </w:tcPr>
          <w:p>
            <w:pPr>
              <w:spacing w:after="0"/>
              <w:rPr>
                <w:sz w:val="9"/>
                <w:szCs w:val="9"/>
                <w:color w:val="auto"/>
              </w:rPr>
            </w:pPr>
          </w:p>
        </w:tc>
        <w:tc>
          <w:tcPr>
            <w:tcW w:w="2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160" w:type="dxa"/>
            <w:vAlign w:val="bottom"/>
          </w:tcPr>
          <w:p>
            <w:pPr>
              <w:spacing w:after="0"/>
              <w:rPr>
                <w:sz w:val="9"/>
                <w:szCs w:val="9"/>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Par</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500" w:type="dxa"/>
            <w:vAlign w:val="bottom"/>
          </w:tcPr>
          <w:p>
            <w:pPr>
              <w:ind w:left="220"/>
              <w:spacing w:after="0"/>
              <w:rPr>
                <w:sz w:val="20"/>
                <w:szCs w:val="20"/>
                <w:color w:val="auto"/>
              </w:rPr>
            </w:pPr>
            <w:r>
              <w:rPr>
                <w:rFonts w:ascii="Arial" w:cs="Arial" w:eastAsia="Arial" w:hAnsi="Arial"/>
                <w:sz w:val="11"/>
                <w:szCs w:val="11"/>
                <w:b w:val="1"/>
                <w:bCs w:val="1"/>
                <w:color w:val="auto"/>
                <w:w w:val="90"/>
              </w:rPr>
              <w:t>Index</w:t>
            </w:r>
          </w:p>
        </w:tc>
        <w:tc>
          <w:tcPr>
            <w:tcW w:w="300" w:type="dxa"/>
            <w:vAlign w:val="bottom"/>
          </w:tcPr>
          <w:p>
            <w:pPr>
              <w:jc w:val="right"/>
              <w:ind w:right="166"/>
              <w:spacing w:after="0"/>
              <w:rPr>
                <w:sz w:val="20"/>
                <w:szCs w:val="20"/>
                <w:color w:val="auto"/>
              </w:rPr>
            </w:pPr>
            <w:r>
              <w:rPr>
                <w:rFonts w:ascii="Arial" w:cs="Arial" w:eastAsia="Arial" w:hAnsi="Arial"/>
                <w:sz w:val="6"/>
                <w:szCs w:val="6"/>
                <w:b w:val="1"/>
                <w:bCs w:val="1"/>
                <w:color w:val="auto"/>
                <w:w w:val="81"/>
              </w:rPr>
              <w:t>(1)</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- 1088.%</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05/06/2026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8,977,500</w:t>
            </w:r>
          </w:p>
        </w:tc>
        <w:tc>
          <w:tcPr>
            <w:tcW w:w="3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8,851,554</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8,842,838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8.00 %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5,525,093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5,375,682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5,179,775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American Insulated Glass,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12/21/2023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Building Products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5,720,691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5,653,291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5,663,484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1,020,636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1,020,636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1,010,430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07/31/2025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2,222,284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2,222,284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2,200,061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Apex Service Partners, LLC Term Loan 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07/31/2025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4,173,913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4,103,292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4,132,174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Applied Technical Services,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4,511,364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4,419,019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4,421,136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05/16/2022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12,879,690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12,868,714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12,879,690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Cadence Aerospace, LLC</w:t>
            </w:r>
          </w:p>
        </w:tc>
        <w:tc>
          <w:tcPr>
            <w:tcW w:w="800" w:type="dxa"/>
            <w:vAlign w:val="bottom"/>
            <w:gridSpan w:val="2"/>
            <w:shd w:val="clear" w:color="auto" w:fill="CCECFF"/>
          </w:tcPr>
          <w:p>
            <w:pPr>
              <w:jc w:val="center"/>
              <w:ind w:left="66"/>
              <w:spacing w:after="0" w:line="125" w:lineRule="exact"/>
              <w:rPr>
                <w:sz w:val="20"/>
                <w:szCs w:val="20"/>
                <w:color w:val="auto"/>
              </w:rPr>
            </w:pPr>
            <w:r>
              <w:rPr>
                <w:rFonts w:ascii="Arial" w:cs="Arial" w:eastAsia="Arial" w:hAnsi="Arial"/>
                <w:sz w:val="11"/>
                <w:szCs w:val="11"/>
                <w:color w:val="auto"/>
                <w:w w:val="87"/>
              </w:rPr>
              <w:t>11/14/2023</w:t>
            </w:r>
          </w:p>
        </w:tc>
        <w:tc>
          <w:tcPr>
            <w:tcW w:w="140" w:type="dxa"/>
            <w:vAlign w:val="bottom"/>
            <w:shd w:val="clear" w:color="auto" w:fill="CCECFF"/>
          </w:tcPr>
          <w:p>
            <w:pPr>
              <w:spacing w:after="0"/>
              <w:rPr>
                <w:sz w:val="10"/>
                <w:szCs w:val="10"/>
                <w:color w:val="auto"/>
              </w:rPr>
            </w:pPr>
          </w:p>
        </w:tc>
        <w:tc>
          <w:tcPr>
            <w:tcW w:w="252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80"/>
              <w:spacing w:after="0" w:line="125" w:lineRule="exact"/>
              <w:rPr>
                <w:sz w:val="20"/>
                <w:szCs w:val="20"/>
                <w:color w:val="auto"/>
              </w:rPr>
            </w:pPr>
            <w:r>
              <w:rPr>
                <w:rFonts w:ascii="Arial" w:cs="Arial" w:eastAsia="Arial" w:hAnsi="Arial"/>
                <w:sz w:val="11"/>
                <w:szCs w:val="11"/>
                <w:color w:val="auto"/>
              </w:rPr>
              <w:t>9.50 %</w:t>
            </w:r>
          </w:p>
        </w:tc>
        <w:tc>
          <w:tcPr>
            <w:tcW w:w="500" w:type="dxa"/>
            <w:vAlign w:val="bottom"/>
            <w:shd w:val="clear" w:color="auto" w:fill="CCECFF"/>
          </w:tcPr>
          <w:p>
            <w:pPr>
              <w:jc w:val="center"/>
              <w:ind w:left="246"/>
              <w:spacing w:after="0" w:line="125" w:lineRule="exact"/>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w w:val="90"/>
              </w:rPr>
              <w:t>L+850</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12,281,867</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12,231,080</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11,980,961</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9.50%)</w:t>
            </w:r>
          </w:p>
        </w:tc>
        <w:tc>
          <w:tcPr>
            <w:tcW w:w="5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Cano Health</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11/23/2027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Healthcare, Education &amp; Childcare</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5.25 %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2,653,333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2,646,700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2,654,448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CHA Holdings,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04/10/2025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5,614,627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5,518,856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5,530,408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60" w:type="dxa"/>
            <w:vAlign w:val="bottom"/>
          </w:tcPr>
          <w:p>
            <w:pPr>
              <w:ind w:left="20"/>
              <w:spacing w:after="0" w:line="125" w:lineRule="exact"/>
              <w:rPr>
                <w:sz w:val="20"/>
                <w:szCs w:val="20"/>
                <w:color w:val="auto"/>
              </w:rPr>
            </w:pPr>
            <w:r>
              <w:rPr>
                <w:rFonts w:ascii="Arial" w:cs="Arial" w:eastAsia="Arial" w:hAnsi="Arial"/>
                <w:sz w:val="11"/>
                <w:szCs w:val="11"/>
                <w:color w:val="auto"/>
              </w:rPr>
              <w:t>Challenger Performance Optimization, Inc.</w:t>
            </w: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08/31/2023</w:t>
            </w:r>
          </w:p>
        </w:tc>
        <w:tc>
          <w:tcPr>
            <w:tcW w:w="140" w:type="dxa"/>
            <w:vAlign w:val="bottom"/>
          </w:tcPr>
          <w:p>
            <w:pPr>
              <w:spacing w:after="0"/>
              <w:rPr>
                <w:sz w:val="10"/>
                <w:szCs w:val="10"/>
                <w:color w:val="auto"/>
              </w:rPr>
            </w:pPr>
          </w:p>
        </w:tc>
        <w:tc>
          <w:tcPr>
            <w:tcW w:w="252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80"/>
              <w:spacing w:after="0" w:line="125" w:lineRule="exact"/>
              <w:rPr>
                <w:sz w:val="20"/>
                <w:szCs w:val="20"/>
                <w:color w:val="auto"/>
              </w:rPr>
            </w:pPr>
            <w:r>
              <w:rPr>
                <w:rFonts w:ascii="Arial" w:cs="Arial" w:eastAsia="Arial" w:hAnsi="Arial"/>
                <w:sz w:val="11"/>
                <w:szCs w:val="11"/>
                <w:color w:val="auto"/>
              </w:rPr>
              <w:t>8.00 %</w:t>
            </w:r>
          </w:p>
        </w:tc>
        <w:tc>
          <w:tcPr>
            <w:tcW w:w="500" w:type="dxa"/>
            <w:vAlign w:val="bottom"/>
          </w:tcPr>
          <w:p>
            <w:pPr>
              <w:jc w:val="center"/>
              <w:ind w:left="246"/>
              <w:spacing w:after="0" w:line="12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90"/>
              </w:rPr>
              <w:t>L+675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9,500,705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9,453,659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9,215,683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1.00%)</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Buyer,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07/13/2027</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6.25 %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4,000,000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3,921,757</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3,920,000</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CoolSys,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08/04/2028</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1,909,091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1,890,159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1,913,864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Crane 1 Services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08/16/2027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2,131,579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2,100,271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2,110,264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08/05/2025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8,977,500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8,801,543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8,797,950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Digital Room Holdings,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05/22/2026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5.08 %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3,228,001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3,111,026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3,186,037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8,746,050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8,694,764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8,746,050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7,323,008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7,278,084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7,323,008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Dr. Squatch, LLC</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8/27/2026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9,803,125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11/03/2025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7.25 %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15,675,682</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15,584,366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15,565,952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60" w:type="dxa"/>
            <w:vAlign w:val="bottom"/>
          </w:tcPr>
          <w:p>
            <w:pPr>
              <w:ind w:left="20"/>
              <w:spacing w:after="0" w:line="125" w:lineRule="exact"/>
              <w:rPr>
                <w:sz w:val="20"/>
                <w:szCs w:val="20"/>
                <w:color w:val="auto"/>
              </w:rPr>
            </w:pPr>
            <w:r>
              <w:rPr>
                <w:rFonts w:ascii="Arial" w:cs="Arial" w:eastAsia="Arial" w:hAnsi="Arial"/>
                <w:sz w:val="11"/>
                <w:szCs w:val="11"/>
                <w:color w:val="auto"/>
              </w:rPr>
              <w:t>East Valley Tourist Development Authority</w:t>
            </w:r>
          </w:p>
        </w:tc>
        <w:tc>
          <w:tcPr>
            <w:tcW w:w="80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03/07/2022</w:t>
            </w:r>
          </w:p>
        </w:tc>
        <w:tc>
          <w:tcPr>
            <w:tcW w:w="140" w:type="dxa"/>
            <w:vAlign w:val="bottom"/>
          </w:tcPr>
          <w:p>
            <w:pPr>
              <w:spacing w:after="0"/>
              <w:rPr>
                <w:sz w:val="10"/>
                <w:szCs w:val="10"/>
                <w:color w:val="auto"/>
              </w:rPr>
            </w:pPr>
          </w:p>
        </w:tc>
        <w:tc>
          <w:tcPr>
            <w:tcW w:w="2520" w:type="dxa"/>
            <w:vAlign w:val="bottom"/>
          </w:tcPr>
          <w:p>
            <w:pPr>
              <w:jc w:val="center"/>
              <w:spacing w:after="0" w:line="125" w:lineRule="exact"/>
              <w:rPr>
                <w:sz w:val="20"/>
                <w:szCs w:val="20"/>
                <w:color w:val="auto"/>
              </w:rPr>
            </w:pPr>
            <w:r>
              <w:rPr>
                <w:rFonts w:ascii="Arial" w:cs="Arial" w:eastAsia="Arial" w:hAnsi="Arial"/>
                <w:sz w:val="11"/>
                <w:szCs w:val="11"/>
                <w:color w:val="auto"/>
                <w:w w:val="87"/>
              </w:rPr>
              <w:t>Hotels, Restaurants and Leisure</w:t>
            </w:r>
          </w:p>
        </w:tc>
        <w:tc>
          <w:tcPr>
            <w:tcW w:w="1120" w:type="dxa"/>
            <w:vAlign w:val="bottom"/>
            <w:gridSpan w:val="3"/>
          </w:tcPr>
          <w:p>
            <w:pPr>
              <w:jc w:val="right"/>
              <w:ind w:right="180"/>
              <w:spacing w:after="0" w:line="125" w:lineRule="exact"/>
              <w:rPr>
                <w:sz w:val="20"/>
                <w:szCs w:val="20"/>
                <w:color w:val="auto"/>
              </w:rPr>
            </w:pPr>
            <w:r>
              <w:rPr>
                <w:rFonts w:ascii="Arial" w:cs="Arial" w:eastAsia="Arial" w:hAnsi="Arial"/>
                <w:sz w:val="11"/>
                <w:szCs w:val="11"/>
                <w:color w:val="auto"/>
              </w:rPr>
              <w:t>9.00 %</w:t>
            </w:r>
          </w:p>
        </w:tc>
        <w:tc>
          <w:tcPr>
            <w:tcW w:w="500" w:type="dxa"/>
            <w:vAlign w:val="bottom"/>
          </w:tcPr>
          <w:p>
            <w:pPr>
              <w:jc w:val="center"/>
              <w:ind w:left="246"/>
              <w:spacing w:after="0" w:line="12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90"/>
              </w:rPr>
              <w:t>L+800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5,719,009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5,624,041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5,633,224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3.50%)</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ECL Entertainment,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8"/>
              </w:rPr>
              <w:t>03/312028</w:t>
            </w: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8.25 %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L+750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2,647,212</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2,621,341</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2,706,774</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ECM Industries,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4,994,355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4,994,355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4,894,468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Fairbanks More Defense</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06/17/2028</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9,954,660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FlexPrint,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01/02/2024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6.02 %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4,769,595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4,732,000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4,745,747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Gantech Acquisition Corp.</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7.25 %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14,925,000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14,648,015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14,626,500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03/16/2026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3,967,531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3,947,994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3,947,694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Graffiti Buyer,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08/10/2027</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Trding Companies &amp; Distributors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2,392,857</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2,345,748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2,356,964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Hancock Roofing and Construction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12/31/2026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2,481,250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2,424,925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2,456,438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Holdco Sands Intermediate,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6,473,725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6,407,142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6,441,356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IMIA Holdings,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04/09/2027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13,589,144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13,338,397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13,317,361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09/29/2023</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11,566,905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11,527,975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11,566,905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8.00 %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19,450,000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19,192,725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18,932,630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LAV Gear Holdings, Inc.</w:t>
            </w:r>
          </w:p>
        </w:tc>
        <w:tc>
          <w:tcPr>
            <w:tcW w:w="80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90"/>
              </w:rPr>
              <w:t>10/31/2024</w:t>
            </w:r>
          </w:p>
        </w:tc>
        <w:tc>
          <w:tcPr>
            <w:tcW w:w="140" w:type="dxa"/>
            <w:vAlign w:val="bottom"/>
            <w:shd w:val="clear" w:color="auto" w:fill="CCECFF"/>
          </w:tcPr>
          <w:p>
            <w:pPr>
              <w:spacing w:after="0"/>
              <w:rPr>
                <w:sz w:val="10"/>
                <w:szCs w:val="10"/>
                <w:color w:val="auto"/>
              </w:rPr>
            </w:pPr>
          </w:p>
        </w:tc>
        <w:tc>
          <w:tcPr>
            <w:tcW w:w="252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1"/>
              </w:rPr>
              <w:t>Capital Equipment</w:t>
            </w:r>
          </w:p>
        </w:tc>
        <w:tc>
          <w:tcPr>
            <w:tcW w:w="1120" w:type="dxa"/>
            <w:vAlign w:val="bottom"/>
            <w:gridSpan w:val="3"/>
            <w:shd w:val="clear" w:color="auto" w:fill="CCECFF"/>
          </w:tcPr>
          <w:p>
            <w:pPr>
              <w:jc w:val="right"/>
              <w:ind w:right="180"/>
              <w:spacing w:after="0" w:line="125" w:lineRule="exact"/>
              <w:rPr>
                <w:sz w:val="20"/>
                <w:szCs w:val="20"/>
                <w:color w:val="auto"/>
              </w:rPr>
            </w:pPr>
            <w:r>
              <w:rPr>
                <w:rFonts w:ascii="Arial" w:cs="Arial" w:eastAsia="Arial" w:hAnsi="Arial"/>
                <w:sz w:val="11"/>
                <w:szCs w:val="11"/>
                <w:color w:val="auto"/>
              </w:rPr>
              <w:t>8.50 %</w:t>
            </w:r>
          </w:p>
        </w:tc>
        <w:tc>
          <w:tcPr>
            <w:tcW w:w="500" w:type="dxa"/>
            <w:vAlign w:val="bottom"/>
            <w:shd w:val="clear" w:color="auto" w:fill="CCECFF"/>
          </w:tcPr>
          <w:p>
            <w:pPr>
              <w:jc w:val="center"/>
              <w:ind w:left="246"/>
              <w:spacing w:after="0" w:line="125" w:lineRule="exact"/>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w w:val="90"/>
              </w:rPr>
              <w:t>L+750</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10,491,277</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10,435,348</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9,833,474</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1.00%)</w:t>
            </w:r>
          </w:p>
        </w:tc>
        <w:tc>
          <w:tcPr>
            <w:tcW w:w="5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60" w:type="dxa"/>
            <w:vAlign w:val="bottom"/>
          </w:tcPr>
          <w:p>
            <w:pPr>
              <w:ind w:left="20"/>
              <w:spacing w:after="0" w:line="125" w:lineRule="exact"/>
              <w:rPr>
                <w:sz w:val="20"/>
                <w:szCs w:val="20"/>
                <w:color w:val="auto"/>
              </w:rPr>
            </w:pPr>
            <w:r>
              <w:rPr>
                <w:rFonts w:ascii="Arial" w:cs="Arial" w:eastAsia="Arial" w:hAnsi="Arial"/>
                <w:sz w:val="11"/>
                <w:szCs w:val="11"/>
                <w:color w:val="auto"/>
              </w:rPr>
              <w:t>Lightspeed Buyer Inc.</w:t>
            </w:r>
          </w:p>
        </w:tc>
        <w:tc>
          <w:tcPr>
            <w:tcW w:w="80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89"/>
              </w:rPr>
              <w:t>02/3/2026</w:t>
            </w:r>
          </w:p>
        </w:tc>
        <w:tc>
          <w:tcPr>
            <w:tcW w:w="140" w:type="dxa"/>
            <w:vAlign w:val="bottom"/>
          </w:tcPr>
          <w:p>
            <w:pPr>
              <w:spacing w:after="0"/>
              <w:rPr>
                <w:sz w:val="10"/>
                <w:szCs w:val="10"/>
                <w:color w:val="auto"/>
              </w:rPr>
            </w:pPr>
          </w:p>
        </w:tc>
        <w:tc>
          <w:tcPr>
            <w:tcW w:w="2520" w:type="dxa"/>
            <w:vAlign w:val="bottom"/>
          </w:tcPr>
          <w:p>
            <w:pPr>
              <w:jc w:val="center"/>
              <w:spacing w:after="0" w:line="125" w:lineRule="exact"/>
              <w:rPr>
                <w:sz w:val="20"/>
                <w:szCs w:val="20"/>
                <w:color w:val="auto"/>
              </w:rPr>
            </w:pPr>
            <w:r>
              <w:rPr>
                <w:rFonts w:ascii="Arial" w:cs="Arial" w:eastAsia="Arial" w:hAnsi="Arial"/>
                <w:sz w:val="11"/>
                <w:szCs w:val="11"/>
                <w:color w:val="auto"/>
                <w:w w:val="87"/>
              </w:rPr>
              <w:t>Healthcare Providers and Services</w:t>
            </w:r>
          </w:p>
        </w:tc>
        <w:tc>
          <w:tcPr>
            <w:tcW w:w="1120" w:type="dxa"/>
            <w:vAlign w:val="bottom"/>
            <w:gridSpan w:val="3"/>
          </w:tcPr>
          <w:p>
            <w:pPr>
              <w:jc w:val="right"/>
              <w:ind w:right="180"/>
              <w:spacing w:after="0" w:line="125" w:lineRule="exact"/>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line="12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5,706,549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5,605,574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5,706,549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60" w:type="dxa"/>
            <w:vAlign w:val="bottom"/>
          </w:tcPr>
          <w:p>
            <w:pPr>
              <w:ind w:left="20"/>
              <w:spacing w:after="0" w:line="115" w:lineRule="exact"/>
              <w:rPr>
                <w:sz w:val="20"/>
                <w:szCs w:val="20"/>
                <w:color w:val="auto"/>
              </w:rPr>
            </w:pPr>
            <w:r>
              <w:rPr>
                <w:rFonts w:ascii="Arial" w:cs="Arial" w:eastAsia="Arial" w:hAnsi="Arial"/>
                <w:sz w:val="11"/>
                <w:szCs w:val="11"/>
                <w:color w:val="auto"/>
              </w:rPr>
              <w:t>Lucky Bucks,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07/20/2027</w:t>
            </w:r>
          </w:p>
        </w:tc>
        <w:tc>
          <w:tcPr>
            <w:tcW w:w="140" w:type="dxa"/>
            <w:vAlign w:val="bottom"/>
          </w:tcPr>
          <w:p>
            <w:pPr>
              <w:spacing w:after="0"/>
              <w:rPr>
                <w:sz w:val="9"/>
                <w:szCs w:val="9"/>
                <w:color w:val="auto"/>
              </w:rPr>
            </w:pPr>
          </w:p>
        </w:tc>
        <w:tc>
          <w:tcPr>
            <w:tcW w:w="2520" w:type="dxa"/>
            <w:vAlign w:val="bottom"/>
          </w:tcPr>
          <w:p>
            <w:pPr>
              <w:jc w:val="center"/>
              <w:spacing w:after="0" w:line="115" w:lineRule="exact"/>
              <w:rPr>
                <w:sz w:val="20"/>
                <w:szCs w:val="20"/>
                <w:color w:val="auto"/>
              </w:rPr>
            </w:pPr>
            <w:r>
              <w:rPr>
                <w:rFonts w:ascii="Arial" w:cs="Arial" w:eastAsia="Arial" w:hAnsi="Arial"/>
                <w:sz w:val="11"/>
                <w:szCs w:val="11"/>
                <w:color w:val="auto"/>
                <w:w w:val="90"/>
              </w:rPr>
              <w:t>Hotel, Gaming and Leisure</w:t>
            </w:r>
          </w:p>
        </w:tc>
        <w:tc>
          <w:tcPr>
            <w:tcW w:w="112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6.25 %</w:t>
            </w:r>
          </w:p>
        </w:tc>
        <w:tc>
          <w:tcPr>
            <w:tcW w:w="500" w:type="dxa"/>
            <w:vAlign w:val="bottom"/>
          </w:tcPr>
          <w:p>
            <w:pPr>
              <w:jc w:val="center"/>
              <w:ind w:left="246"/>
              <w:spacing w:after="0" w:line="11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90"/>
              </w:rPr>
              <w:t>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4,411,012</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4,424,085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(3)(4)</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09/30/2025</w:t>
            </w:r>
          </w:p>
        </w:tc>
        <w:tc>
          <w:tcPr>
            <w:tcW w:w="14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1"/>
                <w:szCs w:val="11"/>
                <w:color w:val="auto"/>
              </w:rPr>
              <w:t>Media: Diversified and Production</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617,487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617,487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617,487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Super Priority First Lien Term Loan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6.25%)</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060" w:type="dxa"/>
            <w:vAlign w:val="bottom"/>
          </w:tcPr>
          <w:p>
            <w:pPr>
              <w:ind w:left="20"/>
              <w:spacing w:after="0" w:line="104" w:lineRule="exact"/>
              <w:rPr>
                <w:sz w:val="20"/>
                <w:szCs w:val="20"/>
                <w:color w:val="auto"/>
              </w:rPr>
            </w:pPr>
            <w:r>
              <w:rPr>
                <w:rFonts w:ascii="Arial" w:cs="Arial" w:eastAsia="Arial" w:hAnsi="Arial"/>
                <w:sz w:val="11"/>
                <w:szCs w:val="11"/>
                <w:color w:val="auto"/>
                <w:w w:val="92"/>
              </w:rPr>
              <w:t>Marketplace Events, LLC - Super Priority First Lien Unfunded Term</w:t>
            </w:r>
          </w:p>
        </w:tc>
        <w:tc>
          <w:tcPr>
            <w:tcW w:w="800" w:type="dxa"/>
            <w:vAlign w:val="bottom"/>
            <w:gridSpan w:val="2"/>
            <w:vMerge w:val="restart"/>
          </w:tcPr>
          <w:p>
            <w:pPr>
              <w:jc w:val="center"/>
              <w:ind w:left="86"/>
              <w:spacing w:after="0"/>
              <w:rPr>
                <w:sz w:val="20"/>
                <w:szCs w:val="20"/>
                <w:color w:val="auto"/>
              </w:rPr>
            </w:pPr>
            <w:r>
              <w:rPr>
                <w:rFonts w:ascii="Arial" w:cs="Arial" w:eastAsia="Arial" w:hAnsi="Arial"/>
                <w:sz w:val="11"/>
                <w:szCs w:val="11"/>
                <w:color w:val="auto"/>
                <w:w w:val="90"/>
              </w:rPr>
              <w:t>09/30/2025</w:t>
            </w:r>
          </w:p>
        </w:tc>
        <w:tc>
          <w:tcPr>
            <w:tcW w:w="140" w:type="dxa"/>
            <w:vAlign w:val="bottom"/>
          </w:tcPr>
          <w:p>
            <w:pPr>
              <w:spacing w:after="0"/>
              <w:rPr>
                <w:sz w:val="9"/>
                <w:szCs w:val="9"/>
                <w:color w:val="auto"/>
              </w:rPr>
            </w:pPr>
          </w:p>
        </w:tc>
        <w:tc>
          <w:tcPr>
            <w:tcW w:w="2520" w:type="dxa"/>
            <w:vAlign w:val="bottom"/>
            <w:vMerge w:val="restart"/>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9"/>
                <w:szCs w:val="9"/>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589,122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060" w:type="dxa"/>
            <w:vAlign w:val="bottom"/>
          </w:tcPr>
          <w:p>
            <w:pPr>
              <w:ind w:left="20"/>
              <w:spacing w:after="0" w:line="119" w:lineRule="exact"/>
              <w:rPr>
                <w:sz w:val="20"/>
                <w:szCs w:val="20"/>
                <w:color w:val="auto"/>
              </w:rPr>
            </w:pPr>
            <w:r>
              <w:rPr>
                <w:rFonts w:ascii="Arial" w:cs="Arial" w:eastAsia="Arial" w:hAnsi="Arial"/>
                <w:sz w:val="13"/>
                <w:szCs w:val="13"/>
                <w:color w:val="auto"/>
                <w:vertAlign w:val="subscript"/>
              </w:rPr>
              <w:t>Loan</w:t>
            </w:r>
            <w:r>
              <w:rPr>
                <w:rFonts w:ascii="Arial" w:cs="Arial" w:eastAsia="Arial" w:hAnsi="Arial"/>
                <w:sz w:val="6"/>
                <w:szCs w:val="6"/>
                <w:color w:val="auto"/>
              </w:rPr>
              <w:t xml:space="preserve"> (3)(4)</w:t>
            </w: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20"/>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(4)</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09/30/2026</w:t>
            </w:r>
          </w:p>
        </w:tc>
        <w:tc>
          <w:tcPr>
            <w:tcW w:w="1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0.00 %</w:t>
            </w:r>
          </w:p>
        </w:tc>
        <w:tc>
          <w:tcPr>
            <w:tcW w:w="5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4,614,973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3,441,474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4,614,973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05/14/2026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9,812,779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MBS Holdings,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04/16/2027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7,481,250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7,337,843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7,331,625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MeritDirect,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05/23/2024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Media: Advertising, Printing &amp; Publishing</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5,531,856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5,411,520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5,476,537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Mission Critical Electronics,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5,889,949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5,877,013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5,889,949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NBH Group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08/19/2026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Education &amp; Culture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10,901,830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10,687,200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10,683,794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New Milani Group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06/06/2024</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14,550,000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14,481,129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13,895,250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07/09/2026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1,995,000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1,965,911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1,965,075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One Stop Mailing,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05/07/2027</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3"/>
              </w:rPr>
              <w:t>Air Freight and Logistics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7.25 %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14,919,643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14,631,178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14,658,549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Output Services Group,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03/27/2024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7,743,419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7,732,934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7,046,511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4,901,154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4,875,500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PH Beauty Holdings III,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09/29/2025</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5.12 %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9,692,670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9,514,071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9,466,540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Plant Health Intermediate,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1,577,806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1,568,099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1,577,806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05/8/2026</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5.63 %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3,805,440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3,719,648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3,735,687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4,975,000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4,887,511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4,925,250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w w:val="93"/>
              </w:rPr>
              <w:t>Research Now Group, Inc. and Survey Sampling International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10,679,701</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10,591,506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10,543,962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7.75 %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5,578,331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5,495,801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5,438,872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5,549,876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5,492,898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5,549,876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8.00 %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11,784,634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11,760,259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11,254,326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Smile Brands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10/14/2024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5.32 %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12,576,323</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12,458,672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12,450,560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Snak Club,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07/19/2022</w:t>
            </w:r>
          </w:p>
        </w:tc>
        <w:tc>
          <w:tcPr>
            <w:tcW w:w="14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Beverage, Food and Tobacco</w:t>
            </w:r>
          </w:p>
        </w:tc>
        <w:tc>
          <w:tcPr>
            <w:tcW w:w="1120" w:type="dxa"/>
            <w:vAlign w:val="bottom"/>
            <w:gridSpan w:val="3"/>
          </w:tcPr>
          <w:p>
            <w:pPr>
              <w:jc w:val="right"/>
              <w:ind w:right="180"/>
              <w:spacing w:after="0"/>
              <w:rPr>
                <w:sz w:val="20"/>
                <w:szCs w:val="20"/>
                <w:color w:val="auto"/>
              </w:rPr>
            </w:pPr>
            <w:r>
              <w:rPr>
                <w:rFonts w:ascii="Arial" w:cs="Arial" w:eastAsia="Arial" w:hAnsi="Arial"/>
                <w:sz w:val="11"/>
                <w:szCs w:val="11"/>
                <w:color w:val="auto"/>
              </w:rPr>
              <w:t>7.00 %</w:t>
            </w:r>
          </w:p>
        </w:tc>
        <w:tc>
          <w:tcPr>
            <w:tcW w:w="500" w:type="dxa"/>
            <w:vAlign w:val="bottom"/>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4,388,056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4,361,678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4,388,056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Solutionreach, Inc.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01/17/2024</w:t>
            </w:r>
          </w:p>
        </w:tc>
        <w:tc>
          <w:tcPr>
            <w:tcW w:w="14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12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6.75 %</w:t>
            </w:r>
          </w:p>
        </w:tc>
        <w:tc>
          <w:tcPr>
            <w:tcW w:w="50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5,892,286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5,854,034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5,892,286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-2296795</wp:posOffset>
            </wp:positionV>
            <wp:extent cx="7132320" cy="857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543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right"/>
              <w:ind w:right="346"/>
              <w:spacing w:after="0"/>
              <w:rPr>
                <w:sz w:val="20"/>
                <w:szCs w:val="20"/>
                <w:color w:val="auto"/>
              </w:rPr>
            </w:pPr>
            <w:r>
              <w:rPr>
                <w:rFonts w:ascii="Arial" w:cs="Arial" w:eastAsia="Arial" w:hAnsi="Arial"/>
                <w:sz w:val="11"/>
                <w:szCs w:val="11"/>
                <w:b w:val="1"/>
                <w:bCs w:val="1"/>
                <w:color w:val="auto"/>
              </w:rPr>
              <w:t>Current</w:t>
            </w: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Spread</w:t>
            </w:r>
          </w:p>
        </w:tc>
        <w:tc>
          <w:tcPr>
            <w:tcW w:w="180" w:type="dxa"/>
            <w:vAlign w:val="bottom"/>
          </w:tcPr>
          <w:p>
            <w:pPr>
              <w:spacing w:after="0"/>
              <w:rPr>
                <w:sz w:val="9"/>
                <w:szCs w:val="9"/>
                <w:color w:val="auto"/>
              </w:rPr>
            </w:pPr>
          </w:p>
        </w:tc>
        <w:tc>
          <w:tcPr>
            <w:tcW w:w="1060" w:type="dxa"/>
            <w:vAlign w:val="bottom"/>
            <w:gridSpan w:val="3"/>
            <w:vMerge w:val="restart"/>
          </w:tcPr>
          <w:p>
            <w:pPr>
              <w:jc w:val="center"/>
              <w:ind w:right="246"/>
              <w:spacing w:after="0"/>
              <w:rPr>
                <w:sz w:val="20"/>
                <w:szCs w:val="20"/>
                <w:color w:val="auto"/>
              </w:rPr>
            </w:pPr>
            <w:r>
              <w:rPr>
                <w:rFonts w:ascii="Arial" w:cs="Arial" w:eastAsia="Arial" w:hAnsi="Arial"/>
                <w:sz w:val="11"/>
                <w:szCs w:val="11"/>
                <w:b w:val="1"/>
                <w:bCs w:val="1"/>
                <w:color w:val="auto"/>
              </w:rPr>
              <w:t>Par /</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00" w:type="dxa"/>
            <w:vAlign w:val="bottom"/>
          </w:tcPr>
          <w:p>
            <w:pPr>
              <w:spacing w:after="0"/>
              <w:rPr>
                <w:sz w:val="9"/>
                <w:szCs w:val="9"/>
                <w:color w:val="auto"/>
              </w:rPr>
            </w:pPr>
          </w:p>
        </w:tc>
        <w:tc>
          <w:tcPr>
            <w:tcW w:w="2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1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82"/>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9"/>
        </w:trPr>
        <w:tc>
          <w:tcPr>
            <w:tcW w:w="3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7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80" w:type="dxa"/>
            <w:vAlign w:val="bottom"/>
          </w:tcPr>
          <w:p>
            <w:pPr>
              <w:spacing w:after="0"/>
              <w:rPr>
                <w:sz w:val="12"/>
                <w:szCs w:val="12"/>
                <w:color w:val="auto"/>
              </w:rPr>
            </w:pPr>
          </w:p>
        </w:tc>
        <w:tc>
          <w:tcPr>
            <w:tcW w:w="1060" w:type="dxa"/>
            <w:vAlign w:val="bottom"/>
            <w:gridSpan w:val="3"/>
          </w:tcPr>
          <w:p>
            <w:pPr>
              <w:jc w:val="center"/>
              <w:ind w:right="226"/>
              <w:spacing w:after="0"/>
              <w:rPr>
                <w:sz w:val="20"/>
                <w:szCs w:val="20"/>
                <w:color w:val="auto"/>
              </w:rPr>
            </w:pPr>
            <w:r>
              <w:rPr>
                <w:rFonts w:ascii="Arial" w:cs="Arial" w:eastAsia="Arial" w:hAnsi="Arial"/>
                <w:sz w:val="11"/>
                <w:szCs w:val="11"/>
                <w:b w:val="1"/>
                <w:bCs w:val="1"/>
                <w:color w:val="auto"/>
                <w:w w:val="81"/>
              </w:rPr>
              <w:t>Shares</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Spectacle Gary Holdings, LLC</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200" w:type="dxa"/>
            <w:vAlign w:val="bottom"/>
            <w:shd w:val="clear" w:color="auto" w:fill="CCECFF"/>
          </w:tcPr>
          <w:p>
            <w:pPr>
              <w:spacing w:after="0"/>
              <w:rPr>
                <w:sz w:val="11"/>
                <w:szCs w:val="11"/>
                <w:color w:val="auto"/>
              </w:rPr>
            </w:pPr>
          </w:p>
        </w:tc>
        <w:tc>
          <w:tcPr>
            <w:tcW w:w="252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11.00</w:t>
            </w:r>
          </w:p>
        </w:tc>
        <w:tc>
          <w:tcPr>
            <w:tcW w:w="24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w w:val="81"/>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18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4,389,000</w:t>
            </w: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4,505,648</w:t>
            </w:r>
          </w:p>
        </w:tc>
        <w:tc>
          <w:tcPr>
            <w:tcW w:w="16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4,764,830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12/11/2026</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5.33 %</w:t>
            </w:r>
          </w:p>
        </w:tc>
        <w:tc>
          <w:tcPr>
            <w:tcW w:w="780" w:type="dxa"/>
            <w:vAlign w:val="bottom"/>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9,075,412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9,003,666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9,030,035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03/01/2026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7.00 %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4,860,463</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4,948,403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11/20/2025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10,337,380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10,312,931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10,234,006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07/18/2025</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2,309,486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2,306,149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2,296,969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10/31/2025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6.77 %</w:t>
            </w:r>
          </w:p>
        </w:tc>
        <w:tc>
          <w:tcPr>
            <w:tcW w:w="78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5,713,461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5,633,702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5,656,327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07/27/2026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8.00 %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1,743,846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1,709,872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1,732,860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09/16/2024</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6M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13,383,253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13,375,955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13,383,253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08/30/2027</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5,634,134</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5,523,212</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5,528,647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11/24/2025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8,834,066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8,654,973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8,569,044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03/26/2026</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8,558,226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8,593,467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8,558,226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06/16/2025</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7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6,636,062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6,598,947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6,636,062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08/27/2024</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11,442,500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11,334,186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11,442,500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UBEO,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04/03/2024</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17,571,320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17,457,179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17,483,464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Urology Management Associates,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08/30/2024</w:t>
            </w: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11,030,410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10,848,799</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10,975,256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Walker Edison Furniture Company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03/31/2027</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9"/>
              </w:rPr>
              <w:t>Wholesale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12,437,500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12,141,939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11,971,094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780" w:type="dxa"/>
            <w:vAlign w:val="bottom"/>
            <w:tcBorders>
              <w:bottom w:val="single" w:sz="8" w:color="CCECFF"/>
            </w:tcBorders>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02/27/2026</w:t>
            </w: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08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6.00 %</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5,705,549</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5,655,884</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5,678,016</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558,879,885</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557,731,845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6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 - 10.5%</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DBI Intermediate Holdco, LLC, Term Loan B </w:t>
            </w:r>
            <w:r>
              <w:rPr>
                <w:rFonts w:ascii="Arial" w:cs="Arial" w:eastAsia="Arial" w:hAnsi="Arial"/>
                <w:sz w:val="14"/>
                <w:szCs w:val="14"/>
                <w:color w:val="auto"/>
                <w:vertAlign w:val="superscript"/>
              </w:rPr>
              <w:t>(4)</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02/02/2026</w:t>
            </w:r>
          </w:p>
        </w:tc>
        <w:tc>
          <w:tcPr>
            <w:tcW w:w="20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2,434,333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2,434,333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2,434,333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P(IK 9.00%)</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Inventus Power, Inc.</w:t>
            </w:r>
          </w:p>
        </w:tc>
        <w:tc>
          <w:tcPr>
            <w:tcW w:w="780" w:type="dxa"/>
            <w:vAlign w:val="bottom"/>
            <w:tcBorders>
              <w:bottom w:val="single" w:sz="8" w:color="CCECFF"/>
            </w:tcBorders>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09/29/2024</w:t>
            </w:r>
          </w:p>
        </w:tc>
        <w:tc>
          <w:tcPr>
            <w:tcW w:w="20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08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9.50 %</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2,946,584</w:t>
            </w: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2,940,000</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5,380,917</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5,374,333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6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Equity Securities - 3.3%</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14"/>
                <w:szCs w:val="14"/>
                <w:color w:val="auto"/>
                <w:vertAlign w:val="superscript"/>
              </w:rPr>
              <w:t>(4)</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13.00 %</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6,784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5,034,310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14"/>
                <w:szCs w:val="14"/>
                <w:color w:val="auto"/>
                <w:vertAlign w:val="superscript"/>
              </w:rPr>
              <w:t>(4)</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1"/>
                <w:szCs w:val="11"/>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7,007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6,731,347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1,314,706.0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20"/>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1,065,021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236,521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New MPE Holdings, LLC</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18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47</w:t>
            </w: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362,244.0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Total Equity 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12,002,178</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1,676,950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- 1101.7%</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576,262,980</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564,783,128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- 55.3%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5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28,190,894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28,190,894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Arial" w:cs="Arial" w:eastAsia="Arial" w:hAnsi="Arial"/>
                <w:sz w:val="11"/>
                <w:szCs w:val="11"/>
                <w:color w:val="auto"/>
              </w:rPr>
              <w:t>US Bank Cash</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195,787</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182,647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5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28,386,681</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28,373,541</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Total Investments and Cash Equivalents —1157.1%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3"/>
          </w:tcPr>
          <w:p>
            <w:pPr>
              <w:spacing w:after="0"/>
              <w:rPr>
                <w:sz w:val="12"/>
                <w:szCs w:val="12"/>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604,649,661</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593,156,669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Liabilities in Excess of Other Assets — (1057.1)%</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w w:val="98"/>
              </w:rPr>
              <w:t>(541,892,538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51,264,131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-1847850</wp:posOffset>
            </wp:positionV>
            <wp:extent cx="2540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-1847850</wp:posOffset>
            </wp:positionV>
            <wp:extent cx="26035"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8572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-1402080</wp:posOffset>
            </wp:positionV>
            <wp:extent cx="25400"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-1402080</wp:posOffset>
            </wp:positionV>
            <wp:extent cx="2603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572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8572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-870585</wp:posOffset>
            </wp:positionV>
            <wp:extent cx="2540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-870585</wp:posOffset>
            </wp:positionV>
            <wp:extent cx="2603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-681990</wp:posOffset>
            </wp:positionV>
            <wp:extent cx="2540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-681990</wp:posOffset>
            </wp:positionV>
            <wp:extent cx="2603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-321945</wp:posOffset>
            </wp:positionV>
            <wp:extent cx="25400"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-321945</wp:posOffset>
            </wp:positionV>
            <wp:extent cx="26035"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46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1" w:lineRule="exact"/>
        <w:rPr>
          <w:sz w:val="20"/>
          <w:szCs w:val="20"/>
          <w:color w:val="auto"/>
        </w:rPr>
      </w:pPr>
    </w:p>
    <w:p>
      <w:pPr>
        <w:ind w:left="380" w:right="20" w:hanging="372"/>
        <w:spacing w:after="0" w:line="215" w:lineRule="auto"/>
        <w:tabs>
          <w:tab w:leader="none" w:pos="38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181" w:lineRule="auto"/>
        <w:tabs>
          <w:tab w:leader="none" w:pos="38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Valued based on PSSL’s accounting policy.</w:t>
      </w:r>
    </w:p>
    <w:p>
      <w:pPr>
        <w:ind w:left="380" w:hanging="372"/>
        <w:spacing w:after="0" w:line="181" w:lineRule="auto"/>
        <w:tabs>
          <w:tab w:leader="none" w:pos="38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Non-U.S. company or principal place of business outside the United States.</w:t>
      </w:r>
    </w:p>
    <w:p>
      <w:pPr>
        <w:ind w:left="380" w:hanging="372"/>
        <w:spacing w:after="0" w:line="191" w:lineRule="auto"/>
        <w:tabs>
          <w:tab w:leader="none" w:pos="38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Non-income producing security.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the financial information for PSSL: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gridSpan w:val="4"/>
          </w:tcPr>
          <w:p>
            <w:pPr>
              <w:ind w:left="410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Assets</w:t>
            </w:r>
          </w:p>
        </w:tc>
        <w:tc>
          <w:tcPr>
            <w:tcW w:w="1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9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Arial" w:cs="Arial" w:eastAsia="Arial" w:hAnsi="Arial"/>
                <w:sz w:val="14"/>
                <w:szCs w:val="14"/>
                <w:color w:val="auto"/>
              </w:rPr>
              <w:t>Investments at fair value (cost—$656,762,633 and $576,262,980, respectively)</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641,673,287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564,783,128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CFF"/>
          </w:tcPr>
          <w:p>
            <w:pPr>
              <w:ind w:left="20"/>
              <w:spacing w:after="0"/>
              <w:rPr>
                <w:sz w:val="20"/>
                <w:szCs w:val="20"/>
                <w:color w:val="auto"/>
              </w:rPr>
            </w:pPr>
            <w:r>
              <w:rPr>
                <w:rFonts w:ascii="Arial" w:cs="Arial" w:eastAsia="Arial" w:hAnsi="Arial"/>
                <w:sz w:val="14"/>
                <w:szCs w:val="14"/>
                <w:color w:val="auto"/>
              </w:rPr>
              <w:t>Cash and cash equivalents (cost—$35,578,940 and $28,386,681, respectively)</w:t>
            </w:r>
          </w:p>
        </w:tc>
        <w:tc>
          <w:tcPr>
            <w:tcW w:w="14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35,582,572</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28,373,541</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1,880,980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1,413,529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Receivable for investment sold</w:t>
            </w:r>
          </w:p>
        </w:tc>
        <w:tc>
          <w:tcPr>
            <w:tcW w:w="14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1,918,636</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7,323,360</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1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1,897,782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1,665,633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Total assets</w:t>
            </w:r>
          </w:p>
        </w:tc>
        <w:tc>
          <w:tcPr>
            <w:tcW w:w="140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682,953,257</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603,559,191</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Payable for investments purchased</w:t>
            </w:r>
          </w:p>
        </w:tc>
        <w:tc>
          <w:tcPr>
            <w:tcW w:w="14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1,503,750</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31,963,307</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Arial" w:cs="Arial" w:eastAsia="Arial" w:hAnsi="Arial"/>
                <w:sz w:val="14"/>
                <w:szCs w:val="14"/>
                <w:color w:val="auto"/>
              </w:rPr>
              <w:t>Credit facility payable</w:t>
            </w: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203,500,000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112,000,000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2032 Asset-backed debt, net (par—$246,000,000)</w:t>
            </w:r>
          </w:p>
        </w:tc>
        <w:tc>
          <w:tcPr>
            <w:tcW w:w="14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242,908,921</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242,756,901</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Arial" w:cs="Arial" w:eastAsia="Arial" w:hAnsi="Arial"/>
                <w:sz w:val="14"/>
                <w:szCs w:val="14"/>
                <w:color w:val="auto"/>
              </w:rPr>
              <w:t>Notes payable to members</w:t>
            </w: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175,000,000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161,000,000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Credit Facility</w:t>
            </w:r>
          </w:p>
        </w:tc>
        <w:tc>
          <w:tcPr>
            <w:tcW w:w="14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1,831,907</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1,740,807</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Arial" w:cs="Arial" w:eastAsia="Arial" w:hAnsi="Arial"/>
                <w:sz w:val="14"/>
                <w:szCs w:val="14"/>
                <w:color w:val="auto"/>
              </w:rPr>
              <w:t>Interest payable on notes to members</w:t>
            </w: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2,621,117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2,655,607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Accrued other expenses</w:t>
            </w:r>
          </w:p>
        </w:tc>
        <w:tc>
          <w:tcPr>
            <w:tcW w:w="140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570,329</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178,438</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560"/>
              <w:spacing w:after="0"/>
              <w:rPr>
                <w:sz w:val="20"/>
                <w:szCs w:val="20"/>
                <w:color w:val="auto"/>
              </w:rPr>
            </w:pPr>
            <w:r>
              <w:rPr>
                <w:rFonts w:ascii="Arial" w:cs="Arial" w:eastAsia="Arial" w:hAnsi="Arial"/>
                <w:sz w:val="14"/>
                <w:szCs w:val="14"/>
                <w:b w:val="1"/>
                <w:bCs w:val="1"/>
                <w:color w:val="auto"/>
              </w:rPr>
              <w:t>Total liabilities</w:t>
            </w: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627,936,024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552,295,060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Members' equity</w:t>
            </w:r>
          </w:p>
        </w:tc>
        <w:tc>
          <w:tcPr>
            <w:tcW w:w="140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55,017,233</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51,264,131</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560"/>
              <w:spacing w:after="0"/>
              <w:rPr>
                <w:sz w:val="20"/>
                <w:szCs w:val="20"/>
                <w:color w:val="auto"/>
              </w:rPr>
            </w:pPr>
            <w:r>
              <w:rPr>
                <w:rFonts w:ascii="Arial" w:cs="Arial" w:eastAsia="Arial" w:hAnsi="Arial"/>
                <w:sz w:val="14"/>
                <w:szCs w:val="14"/>
                <w:b w:val="1"/>
                <w:bCs w:val="1"/>
                <w:color w:val="auto"/>
              </w:rPr>
              <w:t>Total liabilities and members' equity</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682,953,257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603,559,191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0" w:type="dxa"/>
            <w:vAlign w:val="bottom"/>
            <w:vMerge w:val="restart"/>
          </w:tcPr>
          <w:p>
            <w:pPr>
              <w:jc w:val="right"/>
              <w:ind w:right="708"/>
              <w:spacing w:after="0"/>
              <w:rPr>
                <w:sz w:val="20"/>
                <w:szCs w:val="20"/>
                <w:color w:val="auto"/>
              </w:rPr>
            </w:pPr>
            <w:r>
              <w:rPr>
                <w:rFonts w:ascii="Arial" w:cs="Arial" w:eastAsia="Arial" w:hAnsi="Arial"/>
                <w:sz w:val="14"/>
                <w:szCs w:val="14"/>
                <w:color w:val="auto"/>
              </w:rPr>
              <w:t>50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08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-1599565</wp:posOffset>
            </wp:positionV>
            <wp:extent cx="34290"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-1599565</wp:posOffset>
            </wp:positionV>
            <wp:extent cx="2603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-699135</wp:posOffset>
            </wp:positionV>
            <wp:extent cx="3429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-699135</wp:posOffset>
            </wp:positionV>
            <wp:extent cx="26035"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-459105</wp:posOffset>
            </wp:positionV>
            <wp:extent cx="3429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-459105</wp:posOffset>
            </wp:positionV>
            <wp:extent cx="26035"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36"/>
        </w:trPr>
        <w:tc>
          <w:tcPr>
            <w:tcW w:w="7400" w:type="dxa"/>
            <w:vAlign w:val="bottom"/>
          </w:tcPr>
          <w:p>
            <w:pPr>
              <w:spacing w:after="0"/>
              <w:rPr>
                <w:sz w:val="20"/>
                <w:szCs w:val="20"/>
                <w:color w:val="auto"/>
              </w:rPr>
            </w:pPr>
            <w:r>
              <w:rPr>
                <w:rFonts w:ascii="Arial" w:cs="Arial" w:eastAsia="Arial" w:hAnsi="Arial"/>
                <w:sz w:val="7"/>
                <w:szCs w:val="7"/>
                <w:b w:val="1"/>
                <w:bCs w:val="1"/>
                <w:color w:val="auto"/>
              </w:rPr>
              <w:t xml:space="preserve">(1)  </w:t>
            </w:r>
            <w:r>
              <w:rPr>
                <w:rFonts w:ascii="Arial" w:cs="Arial" w:eastAsia="Arial" w:hAnsi="Arial"/>
                <w:sz w:val="10"/>
                <w:szCs w:val="10"/>
                <w:color w:val="auto"/>
              </w:rPr>
              <w:t>As of December 31, 2021 and September 30, 2021, PSSL had unfunded commitments to fund investments of $0.6 million and $0.6, respectively.</w:t>
            </w: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7400" w:type="dxa"/>
            <w:vAlign w:val="bottom"/>
          </w:tcPr>
          <w:p>
            <w:pPr>
              <w:ind w:left="4380"/>
              <w:spacing w:after="0"/>
              <w:rPr>
                <w:sz w:val="20"/>
                <w:szCs w:val="20"/>
                <w:color w:val="auto"/>
              </w:rPr>
            </w:pPr>
            <w:r>
              <w:rPr>
                <w:rFonts w:ascii="Arial" w:cs="Arial" w:eastAsia="Arial" w:hAnsi="Arial"/>
                <w:sz w:val="14"/>
                <w:szCs w:val="14"/>
                <w:b w:val="1"/>
                <w:bCs w:val="1"/>
                <w:color w:val="auto"/>
              </w:rPr>
              <w:t>Consolidated Statements of Operations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00" w:type="dxa"/>
            <w:vAlign w:val="bottom"/>
          </w:tcPr>
          <w:p>
            <w:pPr>
              <w:ind w:left="52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85"/>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28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6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10,950,649</w:t>
            </w:r>
          </w:p>
        </w:tc>
        <w:tc>
          <w:tcPr>
            <w:tcW w:w="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6,747,939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CCECFF"/>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871,056</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155,384</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0" w:type="dxa"/>
            <w:vAlign w:val="bottom"/>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28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11,821,705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6,903,323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6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200"/>
              <w:spacing w:after="0"/>
              <w:rPr>
                <w:sz w:val="20"/>
                <w:szCs w:val="20"/>
                <w:color w:val="auto"/>
              </w:rPr>
            </w:pPr>
            <w:r>
              <w:rPr>
                <w:rFonts w:ascii="Arial" w:cs="Arial" w:eastAsia="Arial" w:hAnsi="Arial"/>
                <w:sz w:val="14"/>
                <w:szCs w:val="14"/>
                <w:color w:val="auto"/>
              </w:rPr>
              <w:t>Interest and expense on credit facility and asset-backed debt</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3,173,664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1,416,006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expense on notes to members</w:t>
            </w:r>
          </w:p>
        </w:tc>
        <w:tc>
          <w:tcPr>
            <w:tcW w:w="28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3,554,315</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3,054,519</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0"/>
              <w:spacing w:after="0"/>
              <w:rPr>
                <w:sz w:val="20"/>
                <w:szCs w:val="20"/>
                <w:color w:val="auto"/>
              </w:rPr>
            </w:pPr>
            <w:r>
              <w:rPr>
                <w:rFonts w:ascii="Arial" w:cs="Arial" w:eastAsia="Arial" w:hAnsi="Arial"/>
                <w:sz w:val="14"/>
                <w:szCs w:val="14"/>
                <w:color w:val="auto"/>
              </w:rPr>
              <w:t>Administrative services expenses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280" w:type="dxa"/>
            <w:vAlign w:val="bottom"/>
            <w:tcBorders>
              <w:bottom w:val="single" w:sz="8" w:color="CCECFF"/>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288,967</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195,317</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0" w:type="dxa"/>
            <w:vAlign w:val="bottom"/>
          </w:tcPr>
          <w:p>
            <w:pPr>
              <w:ind w:left="20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7,316,946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4,965,842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280" w:type="dxa"/>
            <w:vAlign w:val="bottom"/>
            <w:tcBorders>
              <w:bottom w:val="single" w:sz="8" w:color="CCECFF"/>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4,504,759</w:t>
            </w:r>
          </w:p>
        </w:tc>
        <w:tc>
          <w:tcPr>
            <w:tcW w:w="2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CCECFF"/>
            </w:tcBorders>
            <w:shd w:val="clear" w:color="auto" w:fill="CCECFF"/>
          </w:tcPr>
          <w:p>
            <w:pPr>
              <w:spacing w:after="0"/>
              <w:rPr>
                <w:sz w:val="14"/>
                <w:szCs w:val="14"/>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1,937,481</w:t>
            </w:r>
          </w:p>
        </w:tc>
        <w:tc>
          <w:tcPr>
            <w:tcW w:w="6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w w:val="92"/>
              </w:rPr>
              <w:t>Realized and unrealized (loss) gain on investments and credit facility foreign currency translation currency translations:</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realized loss on investments</w:t>
            </w:r>
          </w:p>
        </w:tc>
        <w:tc>
          <w:tcPr>
            <w:tcW w:w="280" w:type="dxa"/>
            <w:vAlign w:val="bottom"/>
            <w:shd w:val="clear" w:color="auto" w:fill="CCECFF"/>
          </w:tcPr>
          <w:p>
            <w:pPr>
              <w:spacing w:after="0"/>
              <w:rPr>
                <w:sz w:val="15"/>
                <w:szCs w:val="15"/>
                <w:color w:val="auto"/>
              </w:rPr>
            </w:pPr>
          </w:p>
        </w:tc>
        <w:tc>
          <w:tcPr>
            <w:tcW w:w="164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(347,884 )</w:t>
            </w:r>
          </w:p>
        </w:tc>
        <w:tc>
          <w:tcPr>
            <w:tcW w:w="260" w:type="dxa"/>
            <w:vAlign w:val="bottom"/>
            <w:shd w:val="clear" w:color="auto" w:fill="CCECFF"/>
          </w:tcPr>
          <w:p>
            <w:pPr>
              <w:spacing w:after="0"/>
              <w:rPr>
                <w:sz w:val="15"/>
                <w:szCs w:val="15"/>
                <w:color w:val="auto"/>
              </w:rPr>
            </w:pPr>
          </w:p>
        </w:tc>
        <w:tc>
          <w:tcPr>
            <w:tcW w:w="16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(791,279 )</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Net change in unrealized (depreciation) appreciation on:</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Investments</w:t>
            </w:r>
          </w:p>
        </w:tc>
        <w:tc>
          <w:tcPr>
            <w:tcW w:w="280" w:type="dxa"/>
            <w:vAlign w:val="bottom"/>
            <w:shd w:val="clear" w:color="auto" w:fill="CCECFF"/>
          </w:tcPr>
          <w:p>
            <w:pPr>
              <w:spacing w:after="0"/>
              <w:rPr>
                <w:sz w:val="15"/>
                <w:szCs w:val="15"/>
                <w:color w:val="auto"/>
              </w:rPr>
            </w:pPr>
          </w:p>
        </w:tc>
        <w:tc>
          <w:tcPr>
            <w:tcW w:w="164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(3,203,772 )</w:t>
            </w:r>
          </w:p>
        </w:tc>
        <w:tc>
          <w:tcPr>
            <w:tcW w:w="260" w:type="dxa"/>
            <w:vAlign w:val="bottom"/>
            <w:shd w:val="clear" w:color="auto" w:fill="CCECFF"/>
          </w:tcPr>
          <w:p>
            <w:pPr>
              <w:spacing w:after="0"/>
              <w:rPr>
                <w:sz w:val="15"/>
                <w:szCs w:val="15"/>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4,184,101</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200"/>
              <w:spacing w:after="0"/>
              <w:rPr>
                <w:sz w:val="20"/>
                <w:szCs w:val="20"/>
                <w:color w:val="auto"/>
              </w:rPr>
            </w:pPr>
            <w:r>
              <w:rPr>
                <w:rFonts w:ascii="Arial" w:cs="Arial" w:eastAsia="Arial" w:hAnsi="Arial"/>
                <w:sz w:val="14"/>
                <w:szCs w:val="14"/>
                <w:color w:val="auto"/>
              </w:rPr>
              <w:t>Credit facility foreign currency translation</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(659,754 )</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400" w:type="dxa"/>
            <w:vAlign w:val="bottom"/>
            <w:shd w:val="clear" w:color="auto" w:fill="CCECFF"/>
          </w:tcPr>
          <w:p>
            <w:pPr>
              <w:ind w:left="20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w:t>
            </w:r>
          </w:p>
        </w:tc>
        <w:tc>
          <w:tcPr>
            <w:tcW w:w="280" w:type="dxa"/>
            <w:vAlign w:val="bottom"/>
            <w:shd w:val="clear" w:color="auto" w:fill="CCECFF"/>
          </w:tcPr>
          <w:p>
            <w:pPr>
              <w:spacing w:after="0"/>
              <w:rPr>
                <w:sz w:val="11"/>
                <w:szCs w:val="11"/>
                <w:color w:val="auto"/>
              </w:rPr>
            </w:pPr>
          </w:p>
        </w:tc>
        <w:tc>
          <w:tcPr>
            <w:tcW w:w="1640" w:type="dxa"/>
            <w:vAlign w:val="bottom"/>
            <w:gridSpan w:val="2"/>
            <w:vMerge w:val="restart"/>
            <w:shd w:val="clear" w:color="auto" w:fill="CCECFF"/>
          </w:tcPr>
          <w:p>
            <w:pPr>
              <w:jc w:val="right"/>
              <w:ind w:right="160"/>
              <w:spacing w:after="0"/>
              <w:rPr>
                <w:sz w:val="20"/>
                <w:szCs w:val="20"/>
                <w:color w:val="auto"/>
              </w:rPr>
            </w:pPr>
            <w:r>
              <w:rPr>
                <w:rFonts w:ascii="Arial" w:cs="Arial" w:eastAsia="Arial" w:hAnsi="Arial"/>
                <w:sz w:val="14"/>
                <w:szCs w:val="14"/>
                <w:color w:val="auto"/>
              </w:rPr>
              <w:t>(3,203,772 )</w:t>
            </w:r>
          </w:p>
        </w:tc>
        <w:tc>
          <w:tcPr>
            <w:tcW w:w="260" w:type="dxa"/>
            <w:vAlign w:val="bottom"/>
            <w:shd w:val="clear" w:color="auto" w:fill="CCECFF"/>
          </w:tcPr>
          <w:p>
            <w:pPr>
              <w:spacing w:after="0"/>
              <w:rPr>
                <w:sz w:val="11"/>
                <w:szCs w:val="11"/>
                <w:color w:val="auto"/>
              </w:rPr>
            </w:pPr>
          </w:p>
        </w:tc>
        <w:tc>
          <w:tcPr>
            <w:tcW w:w="160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3,524,347</w:t>
            </w:r>
          </w:p>
        </w:tc>
        <w:tc>
          <w:tcPr>
            <w:tcW w:w="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400" w:type="dxa"/>
            <w:vAlign w:val="bottom"/>
            <w:shd w:val="clear" w:color="auto" w:fill="CCECFF"/>
          </w:tcPr>
          <w:p>
            <w:pPr>
              <w:ind w:left="300"/>
              <w:spacing w:after="0"/>
              <w:rPr>
                <w:sz w:val="20"/>
                <w:szCs w:val="20"/>
                <w:color w:val="auto"/>
              </w:rPr>
            </w:pPr>
            <w:r>
              <w:rPr>
                <w:rFonts w:ascii="Arial" w:cs="Arial" w:eastAsia="Arial" w:hAnsi="Arial"/>
                <w:sz w:val="14"/>
                <w:szCs w:val="14"/>
                <w:b w:val="1"/>
                <w:bCs w:val="1"/>
                <w:color w:val="auto"/>
              </w:rPr>
              <w:t>facility foreign currency translations</w:t>
            </w:r>
          </w:p>
        </w:tc>
        <w:tc>
          <w:tcPr>
            <w:tcW w:w="280" w:type="dxa"/>
            <w:vAlign w:val="bottom"/>
            <w:shd w:val="clear" w:color="auto" w:fill="CCECFF"/>
          </w:tcPr>
          <w:p>
            <w:pPr>
              <w:spacing w:after="0"/>
              <w:rPr>
                <w:sz w:val="14"/>
                <w:szCs w:val="14"/>
                <w:color w:val="auto"/>
              </w:rPr>
            </w:pPr>
          </w:p>
        </w:tc>
        <w:tc>
          <w:tcPr>
            <w:tcW w:w="1640" w:type="dxa"/>
            <w:vAlign w:val="bottom"/>
            <w:gridSpan w:val="2"/>
            <w:vMerge w:val="continue"/>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600" w:type="dxa"/>
            <w:vAlign w:val="bottom"/>
            <w:vMerge w:val="continue"/>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0" w:type="dxa"/>
            <w:vAlign w:val="bottom"/>
            <w:shd w:val="clear" w:color="auto" w:fill="CCECFF"/>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4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Net realized and unrealized (loss) gain from investments and credit facility foreign</w:t>
            </w:r>
          </w:p>
        </w:tc>
        <w:tc>
          <w:tcPr>
            <w:tcW w:w="280" w:type="dxa"/>
            <w:vAlign w:val="bottom"/>
          </w:tcPr>
          <w:p>
            <w:pPr>
              <w:spacing w:after="0"/>
              <w:rPr>
                <w:sz w:val="11"/>
                <w:szCs w:val="11"/>
                <w:color w:val="auto"/>
              </w:rPr>
            </w:pP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(3,551,656 )</w:t>
            </w:r>
          </w:p>
        </w:tc>
        <w:tc>
          <w:tcPr>
            <w:tcW w:w="2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2,733,068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40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2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Net increase in members' equity resulting from operations</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953,103</w:t>
            </w:r>
          </w:p>
        </w:tc>
        <w:tc>
          <w:tcPr>
            <w:tcW w:w="220" w:type="dxa"/>
            <w:vAlign w:val="bottom"/>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4,670,549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-2023745</wp:posOffset>
            </wp:positionV>
            <wp:extent cx="4318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-2023745</wp:posOffset>
            </wp:positionV>
            <wp:extent cx="4318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-1337945</wp:posOffset>
            </wp:positionV>
            <wp:extent cx="43180"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-1337945</wp:posOffset>
            </wp:positionV>
            <wp:extent cx="43180"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-1097915</wp:posOffset>
            </wp:positionV>
            <wp:extent cx="4318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-1097915</wp:posOffset>
            </wp:positionV>
            <wp:extent cx="4318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-326390</wp:posOffset>
            </wp:positionV>
            <wp:extent cx="4318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-326390</wp:posOffset>
            </wp:positionV>
            <wp:extent cx="4318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tabs>
          <w:tab w:leader="none" w:pos="380" w:val="left"/>
        </w:tabs>
        <w:numPr>
          <w:ilvl w:val="0"/>
          <w:numId w:val="26"/>
        </w:numPr>
        <w:rPr>
          <w:rFonts w:ascii="Arial" w:cs="Arial" w:eastAsia="Arial" w:hAnsi="Arial"/>
          <w:sz w:val="14"/>
          <w:szCs w:val="14"/>
          <w:color w:val="auto"/>
          <w:vertAlign w:val="superscript"/>
        </w:rPr>
      </w:pPr>
      <w:r>
        <w:rPr>
          <w:rFonts w:ascii="Arial" w:cs="Arial" w:eastAsia="Arial" w:hAnsi="Arial"/>
          <w:sz w:val="11"/>
          <w:szCs w:val="11"/>
          <w:color w:val="auto"/>
        </w:rPr>
        <w:t>Currently, no management or incentive fees are payable by PSSL. If any fees were to be charged, they would be separately disclosed in the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63" w:lineRule="exact"/>
        <w:rPr>
          <w:sz w:val="20"/>
          <w:szCs w:val="20"/>
          <w:color w:val="auto"/>
        </w:rPr>
      </w:pPr>
    </w:p>
    <w:p>
      <w:pPr>
        <w:jc w:val="both"/>
        <w:ind w:right="140" w:firstLine="449"/>
        <w:spacing w:after="0" w:line="257"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31" w:lineRule="exact"/>
        <w:rPr>
          <w:sz w:val="20"/>
          <w:szCs w:val="20"/>
          <w:color w:val="auto"/>
        </w:rPr>
      </w:pPr>
    </w:p>
    <w:p>
      <w:pPr>
        <w:ind w:right="40" w:firstLine="449"/>
        <w:spacing w:after="0" w:line="249"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37" w:lineRule="exact"/>
        <w:rPr>
          <w:sz w:val="20"/>
          <w:szCs w:val="20"/>
          <w:color w:val="auto"/>
        </w:rPr>
      </w:pPr>
    </w:p>
    <w:p>
      <w:pPr>
        <w:ind w:right="20" w:firstLine="449"/>
        <w:spacing w:after="0" w:line="252" w:lineRule="auto"/>
        <w:rPr>
          <w:sz w:val="20"/>
          <w:szCs w:val="20"/>
          <w:color w:val="auto"/>
        </w:rPr>
      </w:pPr>
      <w:r>
        <w:rPr>
          <w:rFonts w:ascii="Arial" w:cs="Arial" w:eastAsia="Arial" w:hAnsi="Arial"/>
          <w:sz w:val="14"/>
          <w:szCs w:val="14"/>
          <w:color w:val="auto"/>
        </w:rPr>
        <w:t>During the three months ended December 31, 2021 and 2020, we declared distributions of $0.285 per share for total distributions of $11.1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63" w:lineRule="exact"/>
        <w:rPr>
          <w:sz w:val="20"/>
          <w:szCs w:val="20"/>
          <w:color w:val="auto"/>
        </w:rPr>
      </w:pPr>
    </w:p>
    <w:p>
      <w:pPr>
        <w:ind w:right="60" w:firstLine="449"/>
        <w:spacing w:after="0" w:line="252"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204" w:lineRule="exact"/>
        <w:rPr>
          <w:sz w:val="20"/>
          <w:szCs w:val="20"/>
          <w:color w:val="auto"/>
        </w:rPr>
      </w:pPr>
    </w:p>
    <w:p>
      <w:pPr>
        <w:ind w:right="180" w:firstLine="449"/>
        <w:spacing w:after="0" w:line="277" w:lineRule="auto"/>
        <w:rPr>
          <w:sz w:val="20"/>
          <w:szCs w:val="20"/>
          <w:color w:val="auto"/>
        </w:rPr>
      </w:pPr>
      <w:r>
        <w:rPr>
          <w:rFonts w:ascii="Arial" w:cs="Arial" w:eastAsia="Arial" w:hAnsi="Arial"/>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67" w:lineRule="exact"/>
        <w:rPr>
          <w:sz w:val="20"/>
          <w:szCs w:val="20"/>
          <w:color w:val="auto"/>
        </w:rPr>
      </w:pPr>
    </w:p>
    <w:p>
      <w:pPr>
        <w:ind w:right="20" w:firstLine="449"/>
        <w:spacing w:after="0" w:line="245" w:lineRule="auto"/>
        <w:rPr>
          <w:sz w:val="20"/>
          <w:szCs w:val="20"/>
          <w:color w:val="auto"/>
        </w:rPr>
      </w:pPr>
      <w:r>
        <w:rPr>
          <w:rFonts w:ascii="Arial" w:cs="Arial" w:eastAsia="Arial" w:hAnsi="Arial"/>
          <w:sz w:val="14"/>
          <w:szCs w:val="14"/>
          <w:color w:val="auto"/>
        </w:rPr>
        <w:t>We are subject to financial market risks, including changes in interest rates. As of December 31, 2021, our debt portfolio consisted of 99.9% variable-rate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1" w:name="page52"/>
    <w:bookmarkEnd w:id="51"/>
    <w:p>
      <w:pPr>
        <w:ind w:right="500" w:firstLine="449"/>
        <w:spacing w:after="0" w:line="27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Change in Interest Income,</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60" w:type="dxa"/>
            <w:vAlign w:val="bottom"/>
            <w:gridSpan w:val="2"/>
          </w:tcPr>
          <w:p>
            <w:pPr>
              <w:jc w:val="center"/>
              <w:ind w:right="488"/>
              <w:spacing w:after="0"/>
              <w:rPr>
                <w:sz w:val="20"/>
                <w:szCs w:val="20"/>
                <w:color w:val="auto"/>
              </w:rPr>
            </w:pPr>
            <w:r>
              <w:rPr>
                <w:rFonts w:ascii="Arial" w:cs="Arial" w:eastAsia="Arial" w:hAnsi="Arial"/>
                <w:sz w:val="14"/>
                <w:szCs w:val="14"/>
                <w:b w:val="1"/>
                <w:bCs w:val="1"/>
                <w:color w:val="auto"/>
                <w:w w:val="92"/>
              </w:rPr>
              <w:t>Change in Interest Income,</w:t>
            </w:r>
          </w:p>
        </w:tc>
        <w:tc>
          <w:tcPr>
            <w:tcW w:w="0" w:type="dxa"/>
            <w:vAlign w:val="bottom"/>
          </w:tcPr>
          <w:p>
            <w:pPr>
              <w:spacing w:after="0"/>
              <w:rPr>
                <w:sz w:val="1"/>
                <w:szCs w:val="1"/>
                <w:color w:val="auto"/>
              </w:rPr>
            </w:pPr>
          </w:p>
        </w:tc>
      </w:tr>
      <w:tr>
        <w:trPr>
          <w:trHeight w:val="148"/>
        </w:trPr>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60" w:type="dxa"/>
            <w:vAlign w:val="bottom"/>
          </w:tcPr>
          <w:p>
            <w:pPr>
              <w:spacing w:after="0"/>
              <w:rPr>
                <w:sz w:val="12"/>
                <w:szCs w:val="12"/>
                <w:color w:val="auto"/>
              </w:rPr>
            </w:pPr>
          </w:p>
        </w:tc>
        <w:tc>
          <w:tcPr>
            <w:tcW w:w="2840" w:type="dxa"/>
            <w:vAlign w:val="bottom"/>
          </w:tcPr>
          <w:p>
            <w:pPr>
              <w:jc w:val="center"/>
              <w:ind w:left="608"/>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60" w:type="dxa"/>
            <w:vAlign w:val="bottom"/>
            <w:gridSpan w:val="2"/>
          </w:tcPr>
          <w:p>
            <w:pPr>
              <w:jc w:val="center"/>
              <w:ind w:right="488"/>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tcPr>
          <w:p>
            <w:pPr>
              <w:jc w:val="center"/>
              <w:ind w:left="608"/>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60" w:type="dxa"/>
            <w:vAlign w:val="bottom"/>
            <w:gridSpan w:val="2"/>
          </w:tcPr>
          <w:p>
            <w:pPr>
              <w:jc w:val="center"/>
              <w:ind w:right="488"/>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w w:val="96"/>
              </w:rPr>
              <w:t>Down 1%</w:t>
            </w:r>
          </w:p>
        </w:tc>
        <w:tc>
          <w:tcPr>
            <w:tcW w:w="260" w:type="dxa"/>
            <w:vAlign w:val="bottom"/>
            <w:shd w:val="clear" w:color="auto" w:fill="CCECFF"/>
          </w:tcPr>
          <w:p>
            <w:pPr>
              <w:spacing w:after="0"/>
              <w:rPr>
                <w:sz w:val="14"/>
                <w:szCs w:val="14"/>
                <w:color w:val="auto"/>
              </w:rPr>
            </w:pPr>
          </w:p>
        </w:tc>
        <w:tc>
          <w:tcPr>
            <w:tcW w:w="2840" w:type="dxa"/>
            <w:vAlign w:val="bottom"/>
            <w:tcBorders>
              <w:top w:val="single" w:sz="8" w:color="auto"/>
            </w:tcBorders>
            <w:shd w:val="clear" w:color="auto" w:fill="CCECFF"/>
          </w:tcPr>
          <w:p>
            <w:pPr>
              <w:jc w:val="right"/>
              <w:ind w:right="268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(1,024</w:t>
            </w:r>
          </w:p>
        </w:tc>
        <w:tc>
          <w:tcPr>
            <w:tcW w:w="320" w:type="dxa"/>
            <w:vAlign w:val="bottom"/>
            <w:shd w:val="clear" w:color="auto" w:fill="CCECFF"/>
          </w:tcPr>
          <w:p>
            <w:pPr>
              <w:jc w:val="right"/>
              <w:ind w:right="188"/>
              <w:spacing w:after="0"/>
              <w:rPr>
                <w:sz w:val="20"/>
                <w:szCs w:val="20"/>
                <w:color w:val="auto"/>
              </w:rPr>
            </w:pPr>
            <w:r>
              <w:rPr>
                <w:rFonts w:ascii="Arial" w:cs="Arial" w:eastAsia="Arial" w:hAnsi="Arial"/>
                <w:sz w:val="14"/>
                <w:szCs w:val="14"/>
                <w:color w:val="auto"/>
                <w:w w:val="84"/>
              </w:rPr>
              <w:t>)</w:t>
            </w:r>
          </w:p>
        </w:tc>
        <w:tc>
          <w:tcPr>
            <w:tcW w:w="500" w:type="dxa"/>
            <w:vAlign w:val="bottom"/>
            <w:tcBorders>
              <w:top w:val="single" w:sz="8" w:color="auto"/>
            </w:tcBorders>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6"/>
        </w:trPr>
        <w:tc>
          <w:tcPr>
            <w:tcW w:w="3580" w:type="dxa"/>
            <w:vAlign w:val="bottom"/>
          </w:tcPr>
          <w:p>
            <w:pPr>
              <w:jc w:val="center"/>
              <w:spacing w:after="0"/>
              <w:rPr>
                <w:sz w:val="20"/>
                <w:szCs w:val="20"/>
                <w:color w:val="auto"/>
              </w:rPr>
            </w:pPr>
            <w:r>
              <w:rPr>
                <w:rFonts w:ascii="Arial" w:cs="Arial" w:eastAsia="Arial" w:hAnsi="Arial"/>
                <w:sz w:val="14"/>
                <w:szCs w:val="14"/>
                <w:color w:val="auto"/>
                <w:w w:val="99"/>
              </w:rPr>
              <w:t>Up 1%</w:t>
            </w:r>
          </w:p>
        </w:tc>
        <w:tc>
          <w:tcPr>
            <w:tcW w:w="2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0" w:type="dxa"/>
            <w:vAlign w:val="bottom"/>
            <w:gridSpan w:val="2"/>
          </w:tcPr>
          <w:p>
            <w:pPr>
              <w:jc w:val="right"/>
              <w:ind w:right="188"/>
              <w:spacing w:after="0"/>
              <w:rPr>
                <w:sz w:val="20"/>
                <w:szCs w:val="20"/>
                <w:color w:val="auto"/>
              </w:rPr>
            </w:pPr>
            <w:r>
              <w:rPr>
                <w:rFonts w:ascii="Arial" w:cs="Arial" w:eastAsia="Arial" w:hAnsi="Arial"/>
                <w:sz w:val="14"/>
                <w:szCs w:val="14"/>
                <w:color w:val="auto"/>
              </w:rPr>
              <w:t>(1,688 )</w:t>
            </w:r>
          </w:p>
        </w:tc>
        <w:tc>
          <w:tcPr>
            <w:tcW w:w="500" w:type="dxa"/>
            <w:vAlign w:val="bottom"/>
          </w:tcPr>
          <w:p>
            <w:pPr>
              <w:spacing w:after="0"/>
              <w:rPr>
                <w:sz w:val="15"/>
                <w:szCs w:val="15"/>
                <w:color w:val="auto"/>
              </w:rPr>
            </w:pPr>
          </w:p>
        </w:tc>
        <w:tc>
          <w:tcPr>
            <w:tcW w:w="3060" w:type="dxa"/>
            <w:vAlign w:val="bottom"/>
            <w:gridSpan w:val="2"/>
          </w:tcPr>
          <w:p>
            <w:pPr>
              <w:jc w:val="right"/>
              <w:spacing w:after="0"/>
              <w:rPr>
                <w:sz w:val="20"/>
                <w:szCs w:val="20"/>
                <w:color w:val="auto"/>
              </w:rPr>
            </w:pPr>
            <w:r>
              <w:rPr>
                <w:rFonts w:ascii="Arial" w:cs="Arial" w:eastAsia="Arial" w:hAnsi="Arial"/>
                <w:sz w:val="14"/>
                <w:szCs w:val="14"/>
                <w:color w:val="auto"/>
              </w:rPr>
              <w:t>(0.04 )</w:t>
            </w:r>
          </w:p>
        </w:tc>
        <w:tc>
          <w:tcPr>
            <w:tcW w:w="0" w:type="dxa"/>
            <w:vAlign w:val="bottom"/>
          </w:tcPr>
          <w:p>
            <w:pPr>
              <w:spacing w:after="0"/>
              <w:rPr>
                <w:sz w:val="1"/>
                <w:szCs w:val="1"/>
                <w:color w:val="auto"/>
              </w:rPr>
            </w:pPr>
          </w:p>
        </w:tc>
      </w:tr>
      <w:tr>
        <w:trPr>
          <w:trHeight w:val="175"/>
        </w:trPr>
        <w:tc>
          <w:tcPr>
            <w:tcW w:w="35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9"/>
              </w:rPr>
              <w:t>Up 2%</w:t>
            </w:r>
          </w:p>
        </w:tc>
        <w:tc>
          <w:tcPr>
            <w:tcW w:w="260" w:type="dxa"/>
            <w:vAlign w:val="bottom"/>
            <w:shd w:val="clear" w:color="auto" w:fill="CCECFF"/>
          </w:tcPr>
          <w:p>
            <w:pPr>
              <w:spacing w:after="0"/>
              <w:rPr>
                <w:sz w:val="15"/>
                <w:szCs w:val="15"/>
                <w:color w:val="auto"/>
              </w:rPr>
            </w:pPr>
          </w:p>
        </w:tc>
        <w:tc>
          <w:tcPr>
            <w:tcW w:w="28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3,974</w:t>
            </w: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jc w:val="center"/>
              <w:spacing w:after="0"/>
              <w:rPr>
                <w:sz w:val="20"/>
                <w:szCs w:val="20"/>
                <w:color w:val="auto"/>
              </w:rPr>
            </w:pPr>
            <w:r>
              <w:rPr>
                <w:rFonts w:ascii="Arial" w:cs="Arial" w:eastAsia="Arial" w:hAnsi="Arial"/>
                <w:sz w:val="14"/>
                <w:szCs w:val="14"/>
                <w:color w:val="auto"/>
                <w:w w:val="99"/>
              </w:rPr>
              <w:t>Up 3%</w:t>
            </w:r>
          </w:p>
        </w:tc>
        <w:tc>
          <w:tcPr>
            <w:tcW w:w="2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9,636</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9"/>
              </w:rPr>
              <w:t>Up 4%</w:t>
            </w:r>
          </w:p>
        </w:tc>
        <w:tc>
          <w:tcPr>
            <w:tcW w:w="3100" w:type="dxa"/>
            <w:vAlign w:val="bottom"/>
            <w:gridSpan w:val="2"/>
            <w:shd w:val="clear" w:color="auto" w:fill="CCECFF"/>
          </w:tcPr>
          <w:p>
            <w:pPr>
              <w:jc w:val="right"/>
              <w:ind w:right="26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15,298</w:t>
            </w: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0.39</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0" w:firstLine="449"/>
        <w:spacing w:after="0" w:line="257"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31" w:lineRule="exact"/>
        <w:rPr>
          <w:sz w:val="20"/>
          <w:szCs w:val="20"/>
          <w:color w:val="auto"/>
        </w:rPr>
      </w:pPr>
    </w:p>
    <w:p>
      <w:pPr>
        <w:jc w:val="both"/>
        <w:ind w:right="160" w:firstLine="449"/>
        <w:spacing w:after="0" w:line="257"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31" w:lineRule="exact"/>
        <w:rPr>
          <w:sz w:val="20"/>
          <w:szCs w:val="20"/>
          <w:color w:val="auto"/>
        </w:rPr>
      </w:pPr>
    </w:p>
    <w:p>
      <w:pPr>
        <w:ind w:right="40" w:firstLine="449"/>
        <w:spacing w:after="0" w:line="277"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67" w:lineRule="exact"/>
        <w:rPr>
          <w:sz w:val="20"/>
          <w:szCs w:val="20"/>
          <w:color w:val="auto"/>
        </w:rPr>
      </w:pPr>
    </w:p>
    <w:p>
      <w:pPr>
        <w:ind w:right="80" w:firstLine="449"/>
        <w:spacing w:after="0" w:line="268"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27" w:lineRule="exact"/>
        <w:rPr>
          <w:sz w:val="20"/>
          <w:szCs w:val="20"/>
          <w:color w:val="auto"/>
        </w:rPr>
      </w:pPr>
    </w:p>
    <w:p>
      <w:pPr>
        <w:ind w:right="320" w:firstLine="449"/>
        <w:spacing w:after="0" w:line="27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2021 that have materially affected, or are reasonably likely to materially affect, our internal control over financial reporting.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PART II – 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67" w:lineRule="exact"/>
        <w:rPr>
          <w:sz w:val="20"/>
          <w:szCs w:val="20"/>
          <w:color w:val="auto"/>
        </w:rPr>
      </w:pPr>
    </w:p>
    <w:p>
      <w:pPr>
        <w:ind w:right="60" w:firstLine="449"/>
        <w:spacing w:after="0" w:line="252"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67" w:lineRule="exact"/>
        <w:rPr>
          <w:sz w:val="20"/>
          <w:szCs w:val="20"/>
          <w:color w:val="auto"/>
        </w:rPr>
      </w:pPr>
    </w:p>
    <w:p>
      <w:pPr>
        <w:jc w:val="both"/>
        <w:ind w:right="20" w:firstLine="449"/>
        <w:spacing w:after="0" w:line="252"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2021 filed on November 17, 2021,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63" w:lineRule="exact"/>
        <w:rPr>
          <w:sz w:val="20"/>
          <w:szCs w:val="20"/>
          <w:color w:val="auto"/>
        </w:rPr>
      </w:pPr>
    </w:p>
    <w:p>
      <w:pPr>
        <w:ind w:firstLine="449"/>
        <w:spacing w:after="0" w:line="245" w:lineRule="auto"/>
        <w:rPr>
          <w:sz w:val="20"/>
          <w:szCs w:val="20"/>
          <w:color w:val="auto"/>
        </w:rPr>
      </w:pPr>
      <w:r>
        <w:rPr>
          <w:rFonts w:ascii="Arial" w:cs="Arial" w:eastAsia="Arial" w:hAnsi="Arial"/>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39" w:lineRule="exact"/>
        <w:rPr>
          <w:sz w:val="20"/>
          <w:szCs w:val="20"/>
          <w:color w:val="auto"/>
        </w:rPr>
      </w:pPr>
    </w:p>
    <w:p>
      <w:pPr>
        <w:ind w:right="340" w:firstLine="449"/>
        <w:spacing w:after="0" w:line="27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20" w:lineRule="exact"/>
        <w:rPr>
          <w:sz w:val="20"/>
          <w:szCs w:val="20"/>
          <w:color w:val="auto"/>
        </w:rPr>
      </w:pPr>
    </w:p>
    <w:p>
      <w:pPr>
        <w:jc w:val="both"/>
        <w:ind w:right="100" w:firstLine="449"/>
        <w:spacing w:after="0" w:line="257"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31" w:lineRule="exact"/>
        <w:rPr>
          <w:sz w:val="20"/>
          <w:szCs w:val="20"/>
          <w:color w:val="auto"/>
        </w:rPr>
      </w:pPr>
    </w:p>
    <w:p>
      <w:pPr>
        <w:ind w:right="80" w:firstLine="449"/>
        <w:spacing w:after="0" w:line="247"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60" w:firstLine="449"/>
        <w:spacing w:after="0" w:line="252"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63" w:lineRule="exact"/>
        <w:rPr>
          <w:sz w:val="20"/>
          <w:szCs w:val="20"/>
          <w:color w:val="auto"/>
        </w:rPr>
      </w:pPr>
    </w:p>
    <w:p>
      <w:pPr>
        <w:ind w:right="140" w:firstLine="449"/>
        <w:spacing w:after="0" w:line="265" w:lineRule="auto"/>
        <w:rPr>
          <w:sz w:val="20"/>
          <w:szCs w:val="20"/>
          <w:color w:val="auto"/>
        </w:rPr>
      </w:pPr>
      <w:r>
        <w:rPr>
          <w:rFonts w:ascii="Arial" w:cs="Arial" w:eastAsia="Arial" w:hAnsi="Arial"/>
          <w:sz w:val="13"/>
          <w:szCs w:val="13"/>
          <w:color w:val="auto"/>
        </w:rPr>
        <w:t>We have indebtedness outstanding pursuant to our Credit Facility, 2023 Notes, 2026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31" w:lineRule="exact"/>
        <w:rPr>
          <w:sz w:val="20"/>
          <w:szCs w:val="20"/>
          <w:color w:val="auto"/>
        </w:rPr>
      </w:pPr>
    </w:p>
    <w:p>
      <w:pPr>
        <w:ind w:right="320" w:firstLine="449"/>
        <w:spacing w:after="0" w:line="257"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2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9"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Item 6. Exhibits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77" w:lineRule="exact"/>
        <w:rPr>
          <w:sz w:val="20"/>
          <w:szCs w:val="20"/>
          <w:color w:val="auto"/>
        </w:rPr>
      </w:pPr>
    </w:p>
    <w:p>
      <w:pPr>
        <w:ind w:left="600" w:hanging="508"/>
        <w:spacing w:after="0" w:line="253" w:lineRule="auto"/>
        <w:tabs>
          <w:tab w:leader="none" w:pos="580" w:val="left"/>
        </w:tabs>
        <w:rPr>
          <w:rFonts w:ascii="Arial" w:cs="Arial" w:eastAsia="Arial" w:hAnsi="Arial"/>
          <w:sz w:val="14"/>
          <w:szCs w:val="14"/>
          <w:u w:val="single" w:color="auto"/>
          <w:color w:val="0000FF"/>
        </w:rPr>
      </w:pPr>
      <w:r>
        <w:rPr>
          <w:rFonts w:ascii="Arial" w:cs="Arial" w:eastAsia="Arial" w:hAnsi="Arial"/>
          <w:sz w:val="14"/>
          <w:szCs w:val="14"/>
          <w:color w:val="auto"/>
        </w:rPr>
        <w:t>3.1</w:t>
      </w:r>
      <w:r>
        <w:rPr>
          <w:sz w:val="20"/>
          <w:szCs w:val="20"/>
          <w:color w:val="auto"/>
        </w:rPr>
        <w:tab/>
      </w:r>
      <w:hyperlink r:id="rId619">
        <w:r>
          <w:rPr>
            <w:rFonts w:ascii="Arial" w:cs="Arial" w:eastAsia="Arial" w:hAnsi="Arial"/>
            <w:sz w:val="14"/>
            <w:szCs w:val="14"/>
            <w:u w:val="single" w:color="auto"/>
            <w:color w:val="0000FF"/>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FF"/>
        </w:rPr>
        <w:t xml:space="preserve"> </w:t>
      </w:r>
      <w:hyperlink r:id="rId619">
        <w:r>
          <w:rPr>
            <w:rFonts w:ascii="Arial" w:cs="Arial" w:eastAsia="Arial" w:hAnsi="Arial"/>
            <w:sz w:val="14"/>
            <w:szCs w:val="14"/>
            <w:u w:val="single" w:color="auto"/>
            <w:color w:val="0000FF"/>
          </w:rPr>
          <w:t>on Form N-2 (File No. 333-170243), filed on March 29, 2011).</w:t>
        </w:r>
      </w:hyperlink>
    </w:p>
    <w:p>
      <w:pPr>
        <w:spacing w:after="0" w:line="120" w:lineRule="exact"/>
        <w:rPr>
          <w:sz w:val="20"/>
          <w:szCs w:val="20"/>
          <w:color w:val="auto"/>
        </w:rPr>
      </w:pPr>
    </w:p>
    <w:p>
      <w:pPr>
        <w:ind w:left="600" w:right="200" w:hanging="508"/>
        <w:spacing w:after="0" w:line="253" w:lineRule="auto"/>
        <w:tabs>
          <w:tab w:leader="none" w:pos="580" w:val="left"/>
        </w:tabs>
        <w:rPr>
          <w:rFonts w:ascii="Arial" w:cs="Arial" w:eastAsia="Arial" w:hAnsi="Arial"/>
          <w:sz w:val="14"/>
          <w:szCs w:val="14"/>
          <w:u w:val="single" w:color="auto"/>
          <w:color w:val="0000FF"/>
        </w:rPr>
      </w:pPr>
      <w:r>
        <w:rPr>
          <w:rFonts w:ascii="Arial" w:cs="Arial" w:eastAsia="Arial" w:hAnsi="Arial"/>
          <w:sz w:val="14"/>
          <w:szCs w:val="14"/>
          <w:color w:val="auto"/>
        </w:rPr>
        <w:t>3.2</w:t>
      </w:r>
      <w:r>
        <w:rPr>
          <w:sz w:val="20"/>
          <w:szCs w:val="20"/>
          <w:color w:val="auto"/>
        </w:rPr>
        <w:tab/>
      </w:r>
      <w:hyperlink r:id="rId620">
        <w:r>
          <w:rPr>
            <w:rFonts w:ascii="Arial" w:cs="Arial" w:eastAsia="Arial" w:hAnsi="Arial"/>
            <w:sz w:val="14"/>
            <w:szCs w:val="14"/>
            <w:u w:val="single" w:color="auto"/>
            <w:color w:val="0000FF"/>
          </w:rPr>
          <w:t>Second Amended and Restated Bylaws of the Registrant (Incorporated by reference to Exhibit 3.2 to the Registrant's Quarterly Report on Form 10-Q (File No. 814-00891), filed on</w:t>
        </w:r>
      </w:hyperlink>
      <w:r>
        <w:rPr>
          <w:rFonts w:ascii="Arial" w:cs="Arial" w:eastAsia="Arial" w:hAnsi="Arial"/>
          <w:sz w:val="14"/>
          <w:szCs w:val="14"/>
          <w:u w:val="single" w:color="auto"/>
          <w:color w:val="0000FF"/>
        </w:rPr>
        <w:t xml:space="preserve"> </w:t>
      </w:r>
      <w:hyperlink r:id="rId620">
        <w:r>
          <w:rPr>
            <w:rFonts w:ascii="Arial" w:cs="Arial" w:eastAsia="Arial" w:hAnsi="Arial"/>
            <w:sz w:val="14"/>
            <w:szCs w:val="14"/>
            <w:u w:val="single" w:color="auto"/>
            <w:color w:val="0000FF"/>
          </w:rPr>
          <w:t>May 11, 2020).</w:t>
        </w:r>
      </w:hyperlink>
    </w:p>
    <w:p>
      <w:pPr>
        <w:spacing w:after="0" w:line="119" w:lineRule="exact"/>
        <w:rPr>
          <w:sz w:val="20"/>
          <w:szCs w:val="20"/>
          <w:color w:val="auto"/>
        </w:rPr>
      </w:pPr>
    </w:p>
    <w:p>
      <w:pPr>
        <w:ind w:left="10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4.1</w:t>
      </w:r>
      <w:r>
        <w:rPr>
          <w:sz w:val="20"/>
          <w:szCs w:val="20"/>
          <w:color w:val="auto"/>
        </w:rPr>
        <w:tab/>
      </w:r>
      <w:hyperlink r:id="rId621">
        <w:r>
          <w:rPr>
            <w:rFonts w:ascii="Arial" w:cs="Arial" w:eastAsia="Arial" w:hAnsi="Arial"/>
            <w:sz w:val="13"/>
            <w:szCs w:val="13"/>
            <w:u w:val="single" w:color="auto"/>
            <w:color w:val="0000FF"/>
          </w:rPr>
          <w:t>Form of Share Certificate (Incorporated by reference to Exhibit 99(D) to the Registrant's Pre-Effective Amendment No. 5 to the Registration Statement on Form N-2 (File No. 333-</w:t>
        </w:r>
      </w:hyperlink>
    </w:p>
    <w:p>
      <w:pPr>
        <w:ind w:left="600"/>
        <w:spacing w:after="0"/>
        <w:rPr>
          <w:rFonts w:ascii="Arial" w:cs="Arial" w:eastAsia="Arial" w:hAnsi="Arial"/>
          <w:sz w:val="14"/>
          <w:szCs w:val="14"/>
          <w:u w:val="single" w:color="auto"/>
          <w:color w:val="0000FF"/>
        </w:rPr>
      </w:pPr>
      <w:hyperlink r:id="rId621">
        <w:r>
          <w:rPr>
            <w:rFonts w:ascii="Arial" w:cs="Arial" w:eastAsia="Arial" w:hAnsi="Arial"/>
            <w:sz w:val="14"/>
            <w:szCs w:val="14"/>
            <w:u w:val="single" w:color="auto"/>
            <w:color w:val="0000FF"/>
          </w:rPr>
          <w:t>170243), filed on April 5, 2011).</w:t>
        </w:r>
      </w:hyperlink>
    </w:p>
    <w:p>
      <w:pPr>
        <w:spacing w:after="0" w:line="205"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31.1*</w:t>
      </w:r>
      <w:r>
        <w:rPr>
          <w:sz w:val="20"/>
          <w:szCs w:val="20"/>
          <w:color w:val="auto"/>
        </w:rPr>
        <w:tab/>
      </w:r>
      <w:hyperlink w:anchor="page57">
        <w:r>
          <w:rPr>
            <w:rFonts w:ascii="Arial" w:cs="Arial" w:eastAsia="Arial" w:hAnsi="Arial"/>
            <w:sz w:val="13"/>
            <w:szCs w:val="13"/>
            <w:u w:val="single" w:color="auto"/>
            <w:color w:val="0000FF"/>
          </w:rPr>
          <w:t>Certification of Chief Executive Officer pursuant to Rule 13a-14 of the Securities Exchange Act of 1934, as amended.</w:t>
        </w:r>
      </w:hyperlink>
    </w:p>
    <w:p>
      <w:pPr>
        <w:spacing w:after="0" w:line="15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31.2*</w:t>
      </w:r>
      <w:r>
        <w:rPr>
          <w:sz w:val="20"/>
          <w:szCs w:val="20"/>
          <w:color w:val="auto"/>
        </w:rPr>
        <w:tab/>
      </w:r>
      <w:hyperlink w:anchor="page58">
        <w:r>
          <w:rPr>
            <w:rFonts w:ascii="Arial" w:cs="Arial" w:eastAsia="Arial" w:hAnsi="Arial"/>
            <w:sz w:val="13"/>
            <w:szCs w:val="13"/>
            <w:u w:val="single" w:color="auto"/>
            <w:color w:val="0000FF"/>
          </w:rPr>
          <w:t>Certification of Chief Financial Officer pursuant to Rule 13a-14 of the Securities Exchange Act of 1934, as amended.</w:t>
        </w:r>
      </w:hyperlink>
    </w:p>
    <w:p>
      <w:pPr>
        <w:spacing w:after="0" w:line="15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32.1*</w:t>
      </w:r>
      <w:r>
        <w:rPr>
          <w:sz w:val="20"/>
          <w:szCs w:val="20"/>
          <w:color w:val="auto"/>
        </w:rPr>
        <w:tab/>
      </w:r>
      <w:hyperlink w:anchor="page59">
        <w:r>
          <w:rPr>
            <w:rFonts w:ascii="Arial" w:cs="Arial" w:eastAsia="Arial" w:hAnsi="Arial"/>
            <w:sz w:val="13"/>
            <w:szCs w:val="13"/>
            <w:u w:val="single" w:color="auto"/>
            <w:color w:val="0000FF"/>
          </w:rPr>
          <w:t>Certification of Chief Executive Officer pursuant to section 906 of The Sarbanes-Oxley Act of 2002.</w:t>
        </w:r>
      </w:hyperlink>
    </w:p>
    <w:p>
      <w:pPr>
        <w:spacing w:after="0" w:line="15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32.2*</w:t>
      </w:r>
      <w:r>
        <w:rPr>
          <w:sz w:val="20"/>
          <w:szCs w:val="20"/>
          <w:color w:val="auto"/>
        </w:rPr>
        <w:tab/>
      </w:r>
      <w:hyperlink w:anchor="page60">
        <w:r>
          <w:rPr>
            <w:rFonts w:ascii="Arial" w:cs="Arial" w:eastAsia="Arial" w:hAnsi="Arial"/>
            <w:sz w:val="13"/>
            <w:szCs w:val="13"/>
            <w:u w:val="single" w:color="auto"/>
            <w:color w:val="0000FF"/>
          </w:rPr>
          <w:t>Certification of Chief Financial Officer pursuant to section 906 of The Sarbanes-Oxley Act of 2002.</w:t>
        </w:r>
      </w:hyperlink>
    </w:p>
    <w:p>
      <w:pPr>
        <w:spacing w:after="0" w:line="15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99.1</w:t>
      </w:r>
      <w:r>
        <w:rPr>
          <w:sz w:val="20"/>
          <w:szCs w:val="20"/>
          <w:color w:val="auto"/>
        </w:rPr>
        <w:tab/>
      </w:r>
      <w:hyperlink r:id="rId622">
        <w:r>
          <w:rPr>
            <w:rFonts w:ascii="Arial" w:cs="Arial" w:eastAsia="Arial" w:hAnsi="Arial"/>
            <w:sz w:val="13"/>
            <w:szCs w:val="13"/>
            <w:u w:val="single" w:color="auto"/>
            <w:color w:val="0000FF"/>
          </w:rPr>
          <w:t>Privacy Policy of the Registrant (Incorporated by reference to Exhibit 99.1 to the Registrant’s Annual Report on Form 10-K (File No. 814-00891), filed on November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firstLine="449"/>
        <w:spacing w:after="0" w:line="27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February 9, 2022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February 9,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PENNANTPARK FLOATING RATE CAPITAL LTD.</w:t>
      </w:r>
    </w:p>
    <w:p>
      <w:pPr>
        <w:spacing w:after="0" w:line="23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3810</wp:posOffset>
            </wp:positionV>
            <wp:extent cx="322326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Arthur H. Penn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spacing w:after="0" w:line="4"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(Principal Executive Officer)</w:t>
      </w:r>
    </w:p>
    <w:p>
      <w:pPr>
        <w:spacing w:after="0" w:line="23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3810</wp:posOffset>
            </wp:positionV>
            <wp:extent cx="32232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Richard Cheung</w:t>
      </w:r>
    </w:p>
    <w:p>
      <w:pPr>
        <w:spacing w:after="0" w:line="18"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Chief Financial Officer and Treasurer</w:t>
      </w:r>
    </w:p>
    <w:p>
      <w:pPr>
        <w:jc w:val="center"/>
        <w:ind w:right="5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5100" w:space="720"/>
            <w:col w:w="200" w:space="700"/>
            <w:col w:w="4500"/>
          </w:cols>
          <w:pgMar w:left="320" w:top="279" w:right="359" w:bottom="1440" w:gutter="0" w:footer="0" w:header="0"/>
          <w:type w:val="continuous"/>
        </w:sectPr>
      </w:pP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4"/>
          <w:szCs w:val="14"/>
          <w:b w:val="1"/>
          <w:bCs w:val="1"/>
          <w:color w:val="auto"/>
        </w:rPr>
        <w:t>EXHIBIT 31.1</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63" w:lineRule="exact"/>
        <w:rPr>
          <w:sz w:val="20"/>
          <w:szCs w:val="20"/>
          <w:color w:val="auto"/>
        </w:rPr>
      </w:pPr>
    </w:p>
    <w:p>
      <w:pPr>
        <w:ind w:left="620" w:hanging="143"/>
        <w:spacing w:after="0"/>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63" w:lineRule="exact"/>
        <w:rPr>
          <w:rFonts w:ascii="Arial" w:cs="Arial" w:eastAsia="Arial" w:hAnsi="Arial"/>
          <w:sz w:val="14"/>
          <w:szCs w:val="14"/>
          <w:color w:val="auto"/>
        </w:rPr>
      </w:pPr>
    </w:p>
    <w:p>
      <w:pPr>
        <w:ind w:right="580" w:firstLine="477"/>
        <w:spacing w:after="0" w:line="273" w:lineRule="auto"/>
        <w:tabs>
          <w:tab w:leader="none" w:pos="6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right="460" w:firstLine="477"/>
        <w:spacing w:after="0" w:line="273" w:lineRule="auto"/>
        <w:tabs>
          <w:tab w:leader="none" w:pos="6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right="60" w:firstLine="477"/>
        <w:spacing w:after="0" w:line="273" w:lineRule="auto"/>
        <w:tabs>
          <w:tab w:leader="none" w:pos="6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4"/>
          <w:szCs w:val="14"/>
          <w:color w:val="auto"/>
        </w:rPr>
      </w:pPr>
    </w:p>
    <w:p>
      <w:pPr>
        <w:jc w:val="both"/>
        <w:ind w:right="480" w:firstLine="757"/>
        <w:spacing w:after="0" w:line="257" w:lineRule="auto"/>
        <w:tabs>
          <w:tab w:leader="none" w:pos="919"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4"/>
          <w:szCs w:val="14"/>
          <w:color w:val="auto"/>
        </w:rPr>
      </w:pPr>
    </w:p>
    <w:p>
      <w:pPr>
        <w:ind w:left="920" w:hanging="163"/>
        <w:spacing w:after="0"/>
        <w:tabs>
          <w:tab w:leader="none" w:pos="9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w:t>
      </w:r>
    </w:p>
    <w:p>
      <w:pPr>
        <w:spacing w:after="0" w:line="13" w:lineRule="exact"/>
        <w:rPr>
          <w:sz w:val="20"/>
          <w:szCs w:val="20"/>
          <w:color w:val="auto"/>
        </w:rPr>
      </w:pPr>
    </w:p>
    <w:p>
      <w:pPr>
        <w:ind w:right="740"/>
        <w:spacing w:after="0" w:line="255" w:lineRule="auto"/>
        <w:rPr>
          <w:sz w:val="20"/>
          <w:szCs w:val="20"/>
          <w:color w:val="auto"/>
        </w:rPr>
      </w:pPr>
      <w:r>
        <w:rPr>
          <w:rFonts w:ascii="Arial" w:cs="Arial" w:eastAsia="Arial" w:hAnsi="Arial"/>
          <w:sz w:val="14"/>
          <w:szCs w:val="14"/>
          <w:color w:val="auto"/>
        </w:rPr>
        <w:t>reasonable assurance regarding the reliability of financial reporting and the preparation of financial statements for external purposes in accordance with generally accepted accounting principles;</w:t>
      </w:r>
    </w:p>
    <w:p>
      <w:pPr>
        <w:spacing w:after="0" w:line="132" w:lineRule="exact"/>
        <w:rPr>
          <w:sz w:val="20"/>
          <w:szCs w:val="20"/>
          <w:color w:val="auto"/>
        </w:rPr>
      </w:pPr>
    </w:p>
    <w:p>
      <w:pPr>
        <w:ind w:right="260" w:firstLine="757"/>
        <w:spacing w:after="0" w:line="273" w:lineRule="auto"/>
        <w:tabs>
          <w:tab w:leader="none" w:pos="897"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ind w:right="380" w:firstLine="757"/>
        <w:spacing w:after="0" w:line="312" w:lineRule="auto"/>
        <w:tabs>
          <w:tab w:leader="none" w:pos="905" w:val="left"/>
        </w:tabs>
        <w:numPr>
          <w:ilvl w:val="1"/>
          <w:numId w:val="2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540" w:firstLine="477"/>
        <w:spacing w:after="0" w:line="273" w:lineRule="auto"/>
        <w:tabs>
          <w:tab w:leader="none" w:pos="613"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4"/>
          <w:szCs w:val="14"/>
          <w:color w:val="auto"/>
        </w:rPr>
      </w:pPr>
    </w:p>
    <w:p>
      <w:pPr>
        <w:ind w:right="420" w:firstLine="757"/>
        <w:spacing w:after="0" w:line="273" w:lineRule="auto"/>
        <w:tabs>
          <w:tab w:leader="none" w:pos="897"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right="620" w:firstLine="757"/>
        <w:spacing w:after="0" w:line="493" w:lineRule="auto"/>
        <w:tabs>
          <w:tab w:leader="none" w:pos="904" w:val="left"/>
        </w:tabs>
        <w:numPr>
          <w:ilvl w:val="1"/>
          <w:numId w:val="2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February 9, 2022</w:t>
      </w: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Arthur H. Penn</w:t>
            </w:r>
          </w:p>
        </w:tc>
        <w:tc>
          <w:tcPr>
            <w:tcW w:w="6760" w:type="dxa"/>
            <w:vAlign w:val="bottom"/>
          </w:tcPr>
          <w:p>
            <w:pPr>
              <w:spacing w:after="0"/>
              <w:rPr>
                <w:sz w:val="14"/>
                <w:szCs w:val="14"/>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180"/>
              <w:spacing w:after="0"/>
              <w:rPr>
                <w:sz w:val="20"/>
                <w:szCs w:val="20"/>
                <w:color w:val="auto"/>
              </w:rPr>
            </w:pPr>
            <w:r>
              <w:rPr>
                <w:rFonts w:ascii="Arial" w:cs="Arial" w:eastAsia="Arial" w:hAnsi="Arial"/>
                <w:sz w:val="14"/>
                <w:szCs w:val="14"/>
                <w:color w:val="auto"/>
              </w:rPr>
              <w:t>Chief Executive Officer</w:t>
            </w:r>
          </w:p>
        </w:tc>
        <w:tc>
          <w:tcPr>
            <w:tcW w:w="6760" w:type="dxa"/>
            <w:vAlign w:val="bottom"/>
          </w:tcPr>
          <w:p>
            <w:pPr>
              <w:spacing w:after="0"/>
              <w:rPr>
                <w:sz w:val="15"/>
                <w:szCs w:val="15"/>
                <w:color w:val="auto"/>
              </w:rPr>
            </w:pPr>
          </w:p>
        </w:tc>
      </w:tr>
      <w:tr>
        <w:trPr>
          <w:trHeight w:val="478"/>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b w:val="1"/>
          <w:bCs w:val="1"/>
          <w:color w:val="auto"/>
        </w:rPr>
        <w:t>EXHIBIT 31.2</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Richard Cheung, Chief Financial Officer of PennantPark Floating Rate Capital, Ltd., certify that:</w:t>
      </w:r>
    </w:p>
    <w:p>
      <w:pPr>
        <w:spacing w:after="0" w:line="163" w:lineRule="exact"/>
        <w:rPr>
          <w:sz w:val="20"/>
          <w:szCs w:val="20"/>
          <w:color w:val="auto"/>
        </w:rPr>
      </w:pPr>
    </w:p>
    <w:p>
      <w:pPr>
        <w:ind w:left="620" w:hanging="143"/>
        <w:spacing w:after="0"/>
        <w:tabs>
          <w:tab w:leader="none" w:pos="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63" w:lineRule="exact"/>
        <w:rPr>
          <w:rFonts w:ascii="Arial" w:cs="Arial" w:eastAsia="Arial" w:hAnsi="Arial"/>
          <w:sz w:val="14"/>
          <w:szCs w:val="14"/>
          <w:color w:val="auto"/>
        </w:rPr>
      </w:pPr>
    </w:p>
    <w:p>
      <w:pPr>
        <w:ind w:right="580" w:firstLine="477"/>
        <w:spacing w:after="0" w:line="273" w:lineRule="auto"/>
        <w:tabs>
          <w:tab w:leader="none" w:pos="613"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right="460" w:firstLine="477"/>
        <w:spacing w:after="0" w:line="273" w:lineRule="auto"/>
        <w:tabs>
          <w:tab w:leader="none" w:pos="613"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right="600" w:firstLine="476"/>
        <w:spacing w:after="0" w:line="273" w:lineRule="auto"/>
        <w:tabs>
          <w:tab w:leader="none" w:pos="61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4"/>
          <w:szCs w:val="14"/>
          <w:color w:val="auto"/>
        </w:rPr>
      </w:pPr>
    </w:p>
    <w:p>
      <w:pPr>
        <w:jc w:val="both"/>
        <w:ind w:right="480" w:firstLine="757"/>
        <w:spacing w:after="0" w:line="257" w:lineRule="auto"/>
        <w:tabs>
          <w:tab w:leader="none" w:pos="919"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4"/>
          <w:szCs w:val="14"/>
          <w:color w:val="auto"/>
        </w:rPr>
      </w:pPr>
    </w:p>
    <w:p>
      <w:pPr>
        <w:ind w:right="740" w:firstLine="757"/>
        <w:spacing w:after="0" w:line="257" w:lineRule="auto"/>
        <w:tabs>
          <w:tab w:leader="none" w:pos="905"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4"/>
          <w:szCs w:val="14"/>
          <w:color w:val="auto"/>
        </w:rPr>
      </w:pPr>
    </w:p>
    <w:p>
      <w:pPr>
        <w:ind w:right="260" w:firstLine="757"/>
        <w:spacing w:after="0" w:line="273" w:lineRule="auto"/>
        <w:tabs>
          <w:tab w:leader="none" w:pos="897"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ind w:right="380" w:firstLine="757"/>
        <w:spacing w:after="0" w:line="312" w:lineRule="auto"/>
        <w:tabs>
          <w:tab w:leader="none" w:pos="905" w:val="left"/>
        </w:tabs>
        <w:numPr>
          <w:ilvl w:val="1"/>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540" w:firstLine="477"/>
        <w:spacing w:after="0" w:line="273" w:lineRule="auto"/>
        <w:tabs>
          <w:tab w:leader="none" w:pos="613"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4"/>
          <w:szCs w:val="14"/>
          <w:color w:val="auto"/>
        </w:rPr>
      </w:pPr>
    </w:p>
    <w:p>
      <w:pPr>
        <w:ind w:right="420" w:firstLine="757"/>
        <w:spacing w:after="0" w:line="273" w:lineRule="auto"/>
        <w:tabs>
          <w:tab w:leader="none" w:pos="897"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right="620" w:firstLine="757"/>
        <w:spacing w:after="0" w:line="493" w:lineRule="auto"/>
        <w:tabs>
          <w:tab w:leader="none" w:pos="904"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February 9, 2022</w:t>
      </w:r>
    </w:p>
    <w:p>
      <w:pPr>
        <w:ind w:left="20"/>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Richard Cheung</w:t>
            </w:r>
          </w:p>
        </w:tc>
        <w:tc>
          <w:tcPr>
            <w:tcW w:w="6760" w:type="dxa"/>
            <w:vAlign w:val="bottom"/>
          </w:tcPr>
          <w:p>
            <w:pPr>
              <w:spacing w:after="0"/>
              <w:rPr>
                <w:sz w:val="14"/>
                <w:szCs w:val="14"/>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Financial Officer</w:t>
            </w:r>
          </w:p>
        </w:tc>
        <w:tc>
          <w:tcPr>
            <w:tcW w:w="6760" w:type="dxa"/>
            <w:vAlign w:val="bottom"/>
          </w:tcPr>
          <w:p>
            <w:pPr>
              <w:spacing w:after="0"/>
              <w:rPr>
                <w:sz w:val="15"/>
                <w:szCs w:val="15"/>
                <w:color w:val="auto"/>
              </w:rPr>
            </w:pPr>
          </w:p>
        </w:tc>
      </w:tr>
      <w:tr>
        <w:trPr>
          <w:trHeight w:val="478"/>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b w:val="1"/>
          <w:bCs w:val="1"/>
          <w:color w:val="auto"/>
        </w:rPr>
        <w:t>EXHIBIT 32.1</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51" w:lineRule="exact"/>
        <w:rPr>
          <w:sz w:val="20"/>
          <w:szCs w:val="20"/>
          <w:color w:val="auto"/>
        </w:rPr>
      </w:pPr>
    </w:p>
    <w:p>
      <w:pPr>
        <w:ind w:firstLine="488"/>
        <w:spacing w:after="0" w:line="273" w:lineRule="auto"/>
        <w:rPr>
          <w:sz w:val="20"/>
          <w:szCs w:val="20"/>
          <w:color w:val="auto"/>
        </w:rPr>
      </w:pPr>
      <w:r>
        <w:rPr>
          <w:rFonts w:ascii="Arial" w:cs="Arial" w:eastAsia="Arial" w:hAnsi="Arial"/>
          <w:sz w:val="14"/>
          <w:szCs w:val="14"/>
          <w:color w:val="auto"/>
        </w:rPr>
        <w:t>In connection with this Report on Form 10-Q for the three months ended December 31, 2021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120" w:lineRule="exact"/>
        <w:rPr>
          <w:sz w:val="20"/>
          <w:szCs w:val="20"/>
          <w:color w:val="auto"/>
        </w:rPr>
      </w:pPr>
    </w:p>
    <w:p>
      <w:pPr>
        <w:ind w:left="780" w:hanging="284"/>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63" w:lineRule="exact"/>
        <w:rPr>
          <w:rFonts w:ascii="Arial" w:cs="Arial" w:eastAsia="Arial" w:hAnsi="Arial"/>
          <w:sz w:val="14"/>
          <w:szCs w:val="14"/>
          <w:color w:val="auto"/>
        </w:rPr>
      </w:pPr>
    </w:p>
    <w:p>
      <w:pPr>
        <w:ind w:left="780" w:hanging="284"/>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Arthur H. Penn</w:t>
            </w:r>
          </w:p>
        </w:tc>
        <w:tc>
          <w:tcPr>
            <w:tcW w:w="6760" w:type="dxa"/>
            <w:vAlign w:val="bottom"/>
          </w:tcPr>
          <w:p>
            <w:pPr>
              <w:spacing w:after="0"/>
              <w:rPr>
                <w:sz w:val="14"/>
                <w:szCs w:val="14"/>
                <w:color w:val="auto"/>
              </w:rPr>
            </w:pPr>
          </w:p>
        </w:tc>
      </w:tr>
      <w:tr>
        <w:trPr>
          <w:trHeight w:val="176"/>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Executive Officer</w:t>
            </w:r>
          </w:p>
        </w:tc>
        <w:tc>
          <w:tcPr>
            <w:tcW w:w="6760" w:type="dxa"/>
            <w:vAlign w:val="bottom"/>
          </w:tcPr>
          <w:p>
            <w:pPr>
              <w:spacing w:after="0"/>
              <w:rPr>
                <w:sz w:val="15"/>
                <w:szCs w:val="15"/>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Date:</w:t>
            </w:r>
          </w:p>
        </w:tc>
        <w:tc>
          <w:tcPr>
            <w:tcW w:w="3880" w:type="dxa"/>
            <w:vAlign w:val="bottom"/>
          </w:tcPr>
          <w:p>
            <w:pPr>
              <w:ind w:left="200"/>
              <w:spacing w:after="0"/>
              <w:rPr>
                <w:sz w:val="20"/>
                <w:szCs w:val="20"/>
                <w:color w:val="auto"/>
              </w:rPr>
            </w:pPr>
            <w:r>
              <w:rPr>
                <w:rFonts w:ascii="Arial" w:cs="Arial" w:eastAsia="Arial" w:hAnsi="Arial"/>
                <w:sz w:val="14"/>
                <w:szCs w:val="14"/>
                <w:color w:val="auto"/>
              </w:rPr>
              <w:t>February 9, 2022</w:t>
            </w:r>
          </w:p>
        </w:tc>
        <w:tc>
          <w:tcPr>
            <w:tcW w:w="6760" w:type="dxa"/>
            <w:vAlign w:val="bottom"/>
          </w:tcPr>
          <w:p>
            <w:pPr>
              <w:spacing w:after="0"/>
              <w:rPr>
                <w:sz w:val="15"/>
                <w:szCs w:val="15"/>
                <w:color w:val="auto"/>
              </w:rPr>
            </w:pPr>
          </w:p>
        </w:tc>
      </w:tr>
      <w:tr>
        <w:trPr>
          <w:trHeight w:val="451"/>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51" w:lineRule="exact"/>
        <w:rPr>
          <w:sz w:val="20"/>
          <w:szCs w:val="20"/>
          <w:color w:val="auto"/>
        </w:rPr>
      </w:pPr>
    </w:p>
    <w:p>
      <w:pPr>
        <w:ind w:firstLine="488"/>
        <w:spacing w:after="0" w:line="273" w:lineRule="auto"/>
        <w:rPr>
          <w:sz w:val="20"/>
          <w:szCs w:val="20"/>
          <w:color w:val="auto"/>
        </w:rPr>
      </w:pPr>
      <w:r>
        <w:rPr>
          <w:rFonts w:ascii="Arial" w:cs="Arial" w:eastAsia="Arial" w:hAnsi="Arial"/>
          <w:sz w:val="14"/>
          <w:szCs w:val="14"/>
          <w:color w:val="auto"/>
        </w:rPr>
        <w:t>In connection with this Report on Form 10-Q for the three months ended December 31, 2021 (the “Report”) of PennantPark Floating Rate Capital, Ltd. (the “Registrant”), as filed with the Securities and Exchange Commission on the date hereof, I, Richard Cheung, Chief Financial Officer of the Registrant, hereby certify, to the best of my knowledge, that:</w:t>
      </w:r>
    </w:p>
    <w:p>
      <w:pPr>
        <w:spacing w:after="0" w:line="160" w:lineRule="exact"/>
        <w:rPr>
          <w:sz w:val="20"/>
          <w:szCs w:val="20"/>
          <w:color w:val="auto"/>
        </w:rPr>
      </w:pPr>
    </w:p>
    <w:p>
      <w:pPr>
        <w:ind w:left="780" w:hanging="284"/>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63" w:lineRule="exact"/>
        <w:rPr>
          <w:rFonts w:ascii="Arial" w:cs="Arial" w:eastAsia="Arial" w:hAnsi="Arial"/>
          <w:sz w:val="14"/>
          <w:szCs w:val="14"/>
          <w:color w:val="auto"/>
        </w:rPr>
      </w:pPr>
    </w:p>
    <w:p>
      <w:pPr>
        <w:ind w:left="780" w:hanging="284"/>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Richard Cheung</w:t>
            </w:r>
          </w:p>
        </w:tc>
        <w:tc>
          <w:tcPr>
            <w:tcW w:w="6760" w:type="dxa"/>
            <w:vAlign w:val="bottom"/>
          </w:tcPr>
          <w:p>
            <w:pPr>
              <w:spacing w:after="0"/>
              <w:rPr>
                <w:sz w:val="14"/>
                <w:szCs w:val="14"/>
                <w:color w:val="auto"/>
              </w:rPr>
            </w:pPr>
          </w:p>
        </w:tc>
      </w:tr>
      <w:tr>
        <w:trPr>
          <w:trHeight w:val="175"/>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Financial Officer</w:t>
            </w:r>
          </w:p>
        </w:tc>
        <w:tc>
          <w:tcPr>
            <w:tcW w:w="6760" w:type="dxa"/>
            <w:vAlign w:val="bottom"/>
          </w:tcPr>
          <w:p>
            <w:pPr>
              <w:spacing w:after="0"/>
              <w:rPr>
                <w:sz w:val="15"/>
                <w:szCs w:val="15"/>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Date:</w:t>
            </w:r>
          </w:p>
        </w:tc>
        <w:tc>
          <w:tcPr>
            <w:tcW w:w="3880" w:type="dxa"/>
            <w:vAlign w:val="bottom"/>
          </w:tcPr>
          <w:p>
            <w:pPr>
              <w:ind w:left="200"/>
              <w:spacing w:after="0"/>
              <w:rPr>
                <w:sz w:val="20"/>
                <w:szCs w:val="20"/>
                <w:color w:val="auto"/>
              </w:rPr>
            </w:pPr>
            <w:r>
              <w:rPr>
                <w:rFonts w:ascii="Arial" w:cs="Arial" w:eastAsia="Arial" w:hAnsi="Arial"/>
                <w:sz w:val="14"/>
                <w:szCs w:val="14"/>
                <w:color w:val="auto"/>
              </w:rPr>
              <w:t>February 9, 2022</w:t>
            </w:r>
          </w:p>
        </w:tc>
        <w:tc>
          <w:tcPr>
            <w:tcW w:w="6760" w:type="dxa"/>
            <w:vAlign w:val="bottom"/>
          </w:tcPr>
          <w:p>
            <w:pPr>
              <w:spacing w:after="0"/>
              <w:rPr>
                <w:sz w:val="15"/>
                <w:szCs w:val="15"/>
                <w:color w:val="auto"/>
              </w:rPr>
            </w:pPr>
          </w:p>
        </w:tc>
      </w:tr>
      <w:tr>
        <w:trPr>
          <w:trHeight w:val="478"/>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Letter"/>
      <w:start w:val="5"/>
    </w:lvl>
    <w:lvl w:ilvl="1">
      <w:lvlJc w:val="left"/>
      <w:lvlText w:val="%2."/>
      <w:numFmt w:val="decimal"/>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3"/>
    </w:lvl>
  </w:abstractNum>
  <w:abstractNum w:abstractNumId="28">
    <w:nsid w:val="1E7FF521"/>
    <w:multiLevelType w:val="hybridMultilevel"/>
    <w:lvl w:ilvl="0">
      <w:lvlJc w:val="left"/>
      <w:lvlText w:val="%1."/>
      <w:numFmt w:val="decimal"/>
      <w:start w:val="5"/>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23" Type="http://schemas.openxmlformats.org/officeDocument/2006/relationships/image" Target="media/image612.png"/><Relationship Id="rId624" Type="http://schemas.openxmlformats.org/officeDocument/2006/relationships/image" Target="media/image613.png"/><Relationship Id="rId625" Type="http://schemas.openxmlformats.org/officeDocument/2006/relationships/image" Target="media/image614.png"/><Relationship Id="rId626" Type="http://schemas.openxmlformats.org/officeDocument/2006/relationships/image" Target="media/image615.png"/><Relationship Id="rId627" Type="http://schemas.openxmlformats.org/officeDocument/2006/relationships/image" Target="media/image616.png"/><Relationship Id="rId628" Type="http://schemas.openxmlformats.org/officeDocument/2006/relationships/image" Target="media/image617.png"/><Relationship Id="rId629" Type="http://schemas.openxmlformats.org/officeDocument/2006/relationships/image" Target="media/image618.png"/><Relationship Id="rId630" Type="http://schemas.openxmlformats.org/officeDocument/2006/relationships/image" Target="media/image619.png"/><Relationship Id="rId631" Type="http://schemas.openxmlformats.org/officeDocument/2006/relationships/image" Target="media/image620.png"/><Relationship Id="rId632" Type="http://schemas.openxmlformats.org/officeDocument/2006/relationships/image" Target="media/image621.png"/><Relationship Id="rId633" Type="http://schemas.openxmlformats.org/officeDocument/2006/relationships/image" Target="media/image622.png"/><Relationship Id="rId634" Type="http://schemas.openxmlformats.org/officeDocument/2006/relationships/image" Target="media/image623.png"/><Relationship Id="rId635" Type="http://schemas.openxmlformats.org/officeDocument/2006/relationships/image" Target="media/image624.png"/><Relationship Id="rId619" Type="http://schemas.openxmlformats.org/officeDocument/2006/relationships/hyperlink" Target="https://www.sec.gov/Archives/edgar/data/1504619/000119312511080862/dex99a.htm" TargetMode="External"/><Relationship Id="rId620" Type="http://schemas.openxmlformats.org/officeDocument/2006/relationships/hyperlink" Target="https://www.sec.gov/Archives/edgar/data/1504619/000156459020024167/pflt-ex32_144.htm" TargetMode="External"/><Relationship Id="rId621" Type="http://schemas.openxmlformats.org/officeDocument/2006/relationships/hyperlink" Target="https://www.sec.gov/Archives/edgar/data/1504619/000119312511088977/dex99d.htm" TargetMode="External"/><Relationship Id="rId622"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2022-02-09T15:16:43Z</dcterms:created>
  <dcterms:modified xsi:type="dcterms:W3CDTF">2022-02-09T15:16:43Z</dcterms:modified>
</cp:coreProperties>
</file>