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flt-20231231.htm"/>
      <w:bookmarkStart w:id="1" w:name="kspflt20231231"/>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res</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FORM 10-Q</w:t>
      </w:r>
    </w:p>
    <w:p>
      <w:pPr>
        <w:pStyle w:val="TextBody"/>
        <w:bidi w:val="0"/>
        <w:spacing w:before="160" w:after="283"/>
        <w:jc w:val="left"/>
        <w:rPr>
          <w:rFonts w:ascii="Times New Roman" w:hAnsi="Times New Roman"/>
          <w:b/>
          <w:color w:val="000000"/>
          <w:sz w:val="13"/>
        </w:rPr>
      </w:pPr>
      <w:r>
        <w:rPr>
          <w:rFonts w:ascii="Times New Roman" w:hAnsi="Times New Roman"/>
          <w:b/>
          <w:color w:val="000000"/>
          <w:sz w:val="13"/>
        </w:rPr>
        <w:t>(Mark One)r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QUARTERLY PERIOD ENDED DECEMBER 31, 2023</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COMMISSION FILE NUMBER: 814-00891</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34"/>
        </w:rPr>
      </w:pPr>
      <w:r>
        <w:rPr>
          <w:rFonts w:ascii="Times New Roman" w:hAnsi="Times New Roman"/>
          <w:b/>
          <w:color w:val="000000"/>
          <w:sz w:val="34"/>
        </w:rPr>
        <w:t>PENNANTPARK FLOATING RATE CAPITAL LTD.</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111" w:type="dxa"/>
        <w:jc w:val="left"/>
        <w:tblInd w:w="0" w:type="dxa"/>
        <w:tblLayout w:type="fixed"/>
        <w:tblCellMar>
          <w:top w:w="28" w:type="dxa"/>
          <w:left w:w="28" w:type="dxa"/>
          <w:bottom w:w="28" w:type="dxa"/>
          <w:right w:w="28" w:type="dxa"/>
        </w:tblCellMar>
      </w:tblPr>
      <w:tblGrid>
        <w:gridCol w:w="3751"/>
        <w:gridCol w:w="109"/>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MARYLAND</w:t>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27-3794690</w:t>
            </w:r>
          </w:p>
        </w:tc>
      </w:tr>
      <w:tr>
        <w:trPr/>
        <w:tc>
          <w:tcPr>
            <w:tcW w:w="3751" w:type="dxa"/>
            <w:tcBorders/>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(I.R.S. Employer Identification No.)</w:t>
            </w:r>
          </w:p>
        </w:tc>
      </w:tr>
      <w:tr>
        <w:trPr/>
        <w:tc>
          <w:tcPr>
            <w:tcW w:w="3751"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1691 Michigan Avenue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Miami Beach, Florida</w:t>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33139</w:t>
            </w:r>
          </w:p>
        </w:tc>
      </w:tr>
      <w:tr>
        <w:trPr/>
        <w:tc>
          <w:tcPr>
            <w:tcW w:w="3751" w:type="dxa"/>
            <w:tcBorders/>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(Zip Code)</w:t>
            </w:r>
          </w:p>
        </w:tc>
      </w:tr>
    </w:tbl>
    <w:p>
      <w:pPr>
        <w:pStyle w:val="TextBody"/>
        <w:bidi w:val="0"/>
        <w:spacing w:before="160" w:after="283"/>
        <w:jc w:val="center"/>
        <w:rPr>
          <w:rFonts w:ascii="Times New Roman" w:hAnsi="Times New Roman"/>
          <w:b/>
          <w:color w:val="000000"/>
          <w:sz w:val="16"/>
        </w:rPr>
      </w:pPr>
      <w:r>
        <w:rPr>
          <w:rFonts w:ascii="Times New Roman" w:hAnsi="Times New Roman"/>
          <w:b/>
          <w:color w:val="000000"/>
          <w:sz w:val="16"/>
        </w:rPr>
        <w:t>(786) 297-9500</w:t>
      </w:r>
    </w:p>
    <w:p>
      <w:pPr>
        <w:pStyle w:val="TextBody"/>
        <w:bidi w:val="0"/>
        <w:jc w:val="center"/>
        <w:rPr>
          <w:rFonts w:ascii="Times New Roman" w:hAnsi="Times New Roman"/>
          <w:b/>
          <w:color w:val="000000"/>
          <w:sz w:val="13"/>
        </w:rPr>
      </w:pPr>
      <w:r>
        <w:rPr>
          <w:rFonts w:ascii="Times New Roman" w:hAnsi="Times New Roman"/>
          <w:b/>
          <w:color w:val="000000"/>
          <w:sz w:val="13"/>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None</w:t>
      </w:r>
    </w:p>
    <w:p>
      <w:pPr>
        <w:pStyle w:val="TextBody"/>
        <w:bidi w:val="0"/>
        <w:jc w:val="center"/>
        <w:rPr>
          <w:rFonts w:ascii="Times New Roman" w:hAnsi="Times New Roman"/>
          <w:b/>
          <w:color w:val="000000"/>
          <w:sz w:val="13"/>
        </w:rPr>
      </w:pPr>
      <w:r>
        <w:rPr>
          <w:rFonts w:ascii="Times New Roman" w:hAnsi="Times New Roman"/>
          <w:b/>
          <w:color w:val="000000"/>
          <w:sz w:val="13"/>
        </w:rPr>
        <w:t>(Former name, former address and former fiscal year, if changed since last report)</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both"/>
        <w:rPr/>
      </w:pPr>
      <w:r>
        <w:rPr/>
        <w:t> </w:t>
      </w:r>
    </w:p>
    <w:tbl>
      <w:tblPr>
        <w:tblW w:w="8073" w:type="dxa"/>
        <w:jc w:val="left"/>
        <w:tblInd w:w="0" w:type="dxa"/>
        <w:tblLayout w:type="fixed"/>
        <w:tblCellMar>
          <w:top w:w="28" w:type="dxa"/>
          <w:left w:w="28" w:type="dxa"/>
          <w:bottom w:w="28" w:type="dxa"/>
          <w:right w:w="28" w:type="dxa"/>
        </w:tblCellMar>
      </w:tblPr>
      <w:tblGrid>
        <w:gridCol w:w="3151"/>
        <w:gridCol w:w="1456"/>
        <w:gridCol w:w="3466"/>
      </w:tblGrid>
      <w:tr>
        <w:trPr/>
        <w:tc>
          <w:tcPr>
            <w:tcW w:w="31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4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PFLT</w:t>
            </w:r>
          </w:p>
        </w:tc>
        <w:tc>
          <w:tcPr>
            <w:tcW w:w="34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New York Stock Exchange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462"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160" w:after="283"/>
        <w:jc w:val="left"/>
        <w:rPr>
          <w:rFonts w:ascii="Times New Roman" w:hAnsi="Times New Roman"/>
          <w:sz w:val="20"/>
        </w:rPr>
      </w:pPr>
      <w:r>
        <w:rPr>
          <w:rFonts w:ascii="Times New Roman" w:hAnsi="Times New Roman"/>
          <w:color w:val="000000"/>
          <w:sz w:val="16"/>
        </w:rPr>
        <w:t>The number of shares of the registrant’s common stock, $0.001 par value per share, outstanding as of February 7, 2024 was</w:t>
      </w:r>
      <w:r>
        <w:rPr>
          <w:rFonts w:ascii="Times New Roman" w:hAnsi="Times New Roman"/>
          <w:color w:val="000000"/>
          <w:sz w:val="20"/>
        </w:rPr>
        <w:t xml:space="preserve"> </w:t>
      </w:r>
      <w:r>
        <w:rPr>
          <w:rFonts w:ascii="Times New Roman" w:hAnsi="Times New Roman"/>
          <w:color w:val="000000"/>
          <w:sz w:val="16"/>
        </w:rPr>
        <w:t>61,627,881.</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 w:name="toc"/>
      <w:bookmarkEnd w:id="2"/>
      <w:r>
        <w:rPr>
          <w:rFonts w:ascii="Times New Roman" w:hAnsi="Times New Roman"/>
          <w:b/>
          <w:color w:val="000000"/>
          <w:sz w:val="16"/>
        </w:rPr>
        <w:t>PENNANTPARK FLOATING RATE CAPITAL LTD.</w:t>
      </w:r>
    </w:p>
    <w:p>
      <w:pPr>
        <w:pStyle w:val="TextBody"/>
        <w:bidi w:val="0"/>
        <w:jc w:val="center"/>
        <w:rPr>
          <w:rFonts w:ascii="Times New Roman" w:hAnsi="Times New Roman"/>
          <w:b/>
          <w:color w:val="000000"/>
          <w:sz w:val="16"/>
        </w:rPr>
      </w:pPr>
      <w:r>
        <w:rPr>
          <w:rFonts w:ascii="Times New Roman" w:hAnsi="Times New Roman"/>
          <w:b/>
          <w:color w:val="000000"/>
          <w:sz w:val="16"/>
        </w:rPr>
        <w:t>FORM 10-Q FOR THE QUARTER ENDED DECEMBER 31, 2023</w:t>
      </w:r>
    </w:p>
    <w:p>
      <w:pPr>
        <w:pStyle w:val="TextBody"/>
        <w:bidi w:val="0"/>
        <w:jc w:val="center"/>
        <w:rPr>
          <w:rFonts w:ascii="Times New Roman" w:hAnsi="Times New Roman"/>
          <w:b/>
          <w:color w:val="000000"/>
          <w:sz w:val="16"/>
        </w:rPr>
      </w:pPr>
      <w:r>
        <w:rPr>
          <w:rFonts w:ascii="Times New Roman" w:hAnsi="Times New Roman"/>
          <w:b/>
          <w:color w:val="000000"/>
          <w:sz w:val="16"/>
        </w:rPr>
        <w:t>TABLE OF CONTENTS</w:t>
      </w:r>
    </w:p>
    <w:tbl>
      <w:tblPr>
        <w:tblW w:w="9224" w:type="dxa"/>
        <w:jc w:val="left"/>
        <w:tblInd w:w="0" w:type="dxa"/>
        <w:tblLayout w:type="fixed"/>
        <w:tblCellMar>
          <w:top w:w="28" w:type="dxa"/>
          <w:left w:w="28" w:type="dxa"/>
          <w:bottom w:w="28" w:type="dxa"/>
          <w:right w:w="28" w:type="dxa"/>
        </w:tblCellMar>
      </w:tblPr>
      <w:tblGrid>
        <w:gridCol w:w="8461"/>
        <w:gridCol w:w="188"/>
        <w:gridCol w:w="575"/>
      </w:tblGrid>
      <w:tr>
        <w:trPr/>
        <w:tc>
          <w:tcPr>
            <w:tcW w:w="84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jc w:val="center"/>
              <w:rPr/>
            </w:pPr>
            <w:hyperlink w:anchor="part_iconsolidated_financial_information">
              <w:r>
                <w:rPr>
                  <w:rStyle w:val="InternetLink"/>
                  <w:rFonts w:ascii="Times New Roman" w:hAnsi="Times New Roman"/>
                  <w:b/>
                  <w:color w:val="0000FF"/>
                  <w:sz w:val="16"/>
                  <w:u w:val="single"/>
                </w:rPr>
                <w:t>PART I. CONSOLIDATED FINANCIAL INFORMATION</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b/>
                  <w:color w:val="0000FF"/>
                  <w:sz w:val="16"/>
                  <w:u w:val="single"/>
                </w:rPr>
                <w:t>Item 1. Consolidated Financial Statements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consolidated_statements_assets_liabiliti">
              <w:r>
                <w:rPr>
                  <w:rStyle w:val="InternetLink"/>
                  <w:rFonts w:ascii="Times New Roman" w:hAnsi="Times New Roman"/>
                  <w:color w:val="0000FF"/>
                  <w:sz w:val="16"/>
                  <w:u w:val="single"/>
                </w:rPr>
                <w:t>Consolidated Statements of Assets and Liabilities as of December 31, 2023 (unaudited) and September 30, 2023</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consolidated_statements_operations">
              <w:r>
                <w:rPr>
                  <w:rStyle w:val="InternetLink"/>
                  <w:rFonts w:ascii="Times New Roman" w:hAnsi="Times New Roman"/>
                  <w:color w:val="0000FF"/>
                  <w:sz w:val="16"/>
                  <w:u w:val="single"/>
                </w:rPr>
                <w:t>Consolidated Statements of Operations for the three months ended December 31, 2023 and 2022 (unaudited)</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consolidated_statements_changes_in_net_a">
              <w:r>
                <w:rPr>
                  <w:rStyle w:val="InternetLink"/>
                  <w:rFonts w:ascii="Times New Roman" w:hAnsi="Times New Roman"/>
                  <w:color w:val="0000FF"/>
                  <w:sz w:val="16"/>
                  <w:u w:val="single"/>
                </w:rPr>
                <w:t>Consolidated Statements of Changes in Net Assets for the three months ended December 31, 2023 and 2022 (unaudited)</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consolidated_statements_cash_flows">
              <w:r>
                <w:rPr>
                  <w:rStyle w:val="InternetLink"/>
                  <w:rFonts w:ascii="Times New Roman" w:hAnsi="Times New Roman"/>
                  <w:color w:val="0000FF"/>
                  <w:sz w:val="16"/>
                  <w:u w:val="single"/>
                </w:rPr>
                <w:t>Consolidated Statements of Cash Flows for the three months ended December 31, 2023 and 2022</w:t>
              </w:r>
            </w:hyperlink>
            <w:hyperlink w:anchor="consolidated_statements_cash_flows">
              <w:r>
                <w:rPr>
                  <w:rStyle w:val="InternetLink"/>
                  <w:rFonts w:ascii="Times New Roman" w:hAnsi="Times New Roman"/>
                  <w:color w:val="0000FF"/>
                  <w:sz w:val="16"/>
                </w:rPr>
                <w:t xml:space="preserve"> </w:t>
              </w:r>
            </w:hyperlink>
            <w:hyperlink w:anchor="consolidated_statements_cash_flows">
              <w:r>
                <w:rPr>
                  <w:rStyle w:val="InternetLink"/>
                  <w:rFonts w:ascii="Times New Roman" w:hAnsi="Times New Roman"/>
                  <w:color w:val="0000FF"/>
                  <w:sz w:val="16"/>
                  <w:u w:val="single"/>
                </w:rPr>
                <w:t>(unaudited)</w:t>
              </w:r>
            </w:hyperlink>
            <w:hyperlink w:anchor="consolidated_statements_cash_flows">
              <w:r>
                <w:rPr>
                  <w:rStyle w:val="InternetLink"/>
                  <w:rFonts w:ascii="Times New Roman" w:hAnsi="Times New Roman"/>
                  <w:color w:val="0000FF"/>
                  <w:sz w:val="16"/>
                </w:rPr>
                <w:t xml:space="preserve"> </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consolidated_schedule_investments">
              <w:r>
                <w:rPr>
                  <w:rStyle w:val="InternetLink"/>
                  <w:rFonts w:ascii="Times New Roman" w:hAnsi="Times New Roman"/>
                  <w:color w:val="0000FF"/>
                  <w:sz w:val="16"/>
                  <w:u w:val="single"/>
                </w:rPr>
                <w:t>Consolidated Schedules of Investments as of December 31, 2023 (unaudited) and September 30, 2023</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notes_to_consolidated_financial_stmt_">
              <w:r>
                <w:rPr>
                  <w:rStyle w:val="InternetLink"/>
                  <w:rFonts w:ascii="Times New Roman" w:hAnsi="Times New Roman"/>
                  <w:color w:val="0000FF"/>
                  <w:sz w:val="16"/>
                  <w:u w:val="single"/>
                </w:rPr>
                <w:t>Notes to Consolidated Financial Statements (unaudited)</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r>
      <w:tr>
        <w:trPr/>
        <w:tc>
          <w:tcPr>
            <w:tcW w:w="84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418" w:right="0" w:hanging="154"/>
              <w:jc w:val="left"/>
              <w:rPr/>
            </w:pPr>
            <w:hyperlink w:anchor="report_independent_registered_public_acc">
              <w:r>
                <w:rPr>
                  <w:rStyle w:val="InternetLink"/>
                  <w:rFonts w:ascii="Times New Roman" w:hAnsi="Times New Roman"/>
                  <w:color w:val="0000FF"/>
                  <w:sz w:val="16"/>
                  <w:u w:val="single"/>
                </w:rPr>
                <w:t>Report of Independent Registered Public Accounting Firm (PCAOB ID 49)</w:t>
              </w:r>
            </w:hyperlink>
            <w:r>
              <w:rPr>
                <w:rFonts w:ascii="Times New Roman" w:hAnsi="Times New Roman"/>
                <w:color w:val="000000"/>
                <w:sz w:val="20"/>
              </w:rPr>
              <w:t xml:space="preserve">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2_managements_discussion_analysis_f">
              <w:r>
                <w:rPr>
                  <w:rStyle w:val="InternetLink"/>
                  <w:rFonts w:ascii="Times New Roman" w:hAnsi="Times New Roman"/>
                  <w:b/>
                  <w:color w:val="0000FF"/>
                  <w:sz w:val="16"/>
                  <w:u w:val="single"/>
                </w:rPr>
                <w:t>Item 2. Management’s Discussion and Analysis of Financial Condition and Results of Operations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3_quantitative_qualitative_disclosu">
              <w:r>
                <w:rPr>
                  <w:rStyle w:val="InternetLink"/>
                  <w:rFonts w:ascii="Times New Roman" w:hAnsi="Times New Roman"/>
                  <w:b/>
                  <w:color w:val="0000FF"/>
                  <w:sz w:val="16"/>
                  <w:u w:val="single"/>
                </w:rPr>
                <w:t>Item 3. Quantitative and Qualitative Disclosures About Market Risk</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4_controls_and_proc">
              <w:r>
                <w:rPr>
                  <w:rStyle w:val="InternetLink"/>
                  <w:rFonts w:ascii="Times New Roman" w:hAnsi="Times New Roman"/>
                  <w:b/>
                  <w:color w:val="0000FF"/>
                  <w:sz w:val="16"/>
                  <w:u w:val="single"/>
                </w:rPr>
                <w:t>Item 4. Controls and Procedures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16"/>
                  <w:u w:val="single"/>
                </w:rPr>
                <w:t>PART II. OTHER INFORMATION</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1_legal_proceedings">
              <w:r>
                <w:rPr>
                  <w:rStyle w:val="InternetLink"/>
                  <w:rFonts w:ascii="Times New Roman" w:hAnsi="Times New Roman"/>
                  <w:b/>
                  <w:color w:val="0000FF"/>
                  <w:sz w:val="16"/>
                  <w:u w:val="single"/>
                </w:rPr>
                <w:t>Item 1. Legal Proceedings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1a_risk_factors">
              <w:r>
                <w:rPr>
                  <w:rStyle w:val="InternetLink"/>
                  <w:rFonts w:ascii="Times New Roman" w:hAnsi="Times New Roman"/>
                  <w:b/>
                  <w:color w:val="0000FF"/>
                  <w:sz w:val="16"/>
                  <w:u w:val="single"/>
                </w:rPr>
                <w:t>Item 1A. Risk Factors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2_unregistered_sales_equity_securit">
              <w:r>
                <w:rPr>
                  <w:rStyle w:val="InternetLink"/>
                  <w:rFonts w:ascii="Times New Roman" w:hAnsi="Times New Roman"/>
                  <w:b/>
                  <w:color w:val="0000FF"/>
                  <w:sz w:val="16"/>
                  <w:u w:val="single"/>
                </w:rPr>
                <w:t>Item 2. Unregistered Sales of Equity Securities and Use of Proceeds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3_defaults_upon_senior_securities">
              <w:r>
                <w:rPr>
                  <w:rStyle w:val="InternetLink"/>
                  <w:rFonts w:ascii="Times New Roman" w:hAnsi="Times New Roman"/>
                  <w:b/>
                  <w:color w:val="0000FF"/>
                  <w:sz w:val="16"/>
                  <w:u w:val="single"/>
                </w:rPr>
                <w:t>Item 3. Defaults Upon Senior Securities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4_mine_safety_disclosures">
              <w:r>
                <w:rPr>
                  <w:rStyle w:val="InternetLink"/>
                  <w:rFonts w:ascii="Times New Roman" w:hAnsi="Times New Roman"/>
                  <w:b/>
                  <w:color w:val="0000FF"/>
                  <w:sz w:val="16"/>
                  <w:u w:val="single"/>
                </w:rPr>
                <w:t>Item 4. Mine Safety Disclosures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5_or_information">
              <w:r>
                <w:rPr>
                  <w:rStyle w:val="InternetLink"/>
                  <w:rFonts w:ascii="Times New Roman" w:hAnsi="Times New Roman"/>
                  <w:b/>
                  <w:color w:val="0000FF"/>
                  <w:sz w:val="16"/>
                  <w:u w:val="single"/>
                </w:rPr>
                <w:t>Item 5. Other Information</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item_6_exhibits">
              <w:r>
                <w:rPr>
                  <w:rStyle w:val="InternetLink"/>
                  <w:rFonts w:ascii="Times New Roman" w:hAnsi="Times New Roman"/>
                  <w:b/>
                  <w:color w:val="0000FF"/>
                  <w:sz w:val="16"/>
                  <w:u w:val="single"/>
                </w:rPr>
                <w:t>Item 6. Exhibits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pBdr/>
              <w:bidi w:val="0"/>
              <w:spacing w:before="0" w:after="283"/>
              <w:ind w:left="22" w:right="0" w:hanging="154"/>
              <w:jc w:val="left"/>
              <w:rPr/>
            </w:pPr>
            <w:hyperlink w:anchor="signatures">
              <w:r>
                <w:rPr>
                  <w:rStyle w:val="InternetLink"/>
                  <w:rFonts w:ascii="Times New Roman" w:hAnsi="Times New Roman"/>
                  <w:b/>
                  <w:color w:val="0000FF"/>
                  <w:sz w:val="16"/>
                  <w:u w:val="single"/>
                </w:rPr>
                <w:t>SIGNATURES</w:t>
              </w:r>
            </w:hyperlink>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r>
    </w:tbl>
    <w:p>
      <w:pPr>
        <w:pStyle w:val="TextBody"/>
        <w:bidi w:val="0"/>
        <w:jc w:val="left"/>
        <w:rPr/>
      </w:pPr>
      <w:r>
        <w:rPr/>
        <w:t> </w:t>
      </w:r>
    </w:p>
    <w:p>
      <w:pPr>
        <w:pStyle w:val="TextBody"/>
        <w:bidi w:val="0"/>
        <w:spacing w:before="200" w:after="283"/>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toc90073_1"/>
      <w:bookmarkStart w:id="4" w:name="part_1_2_1"/>
      <w:bookmarkEnd w:id="3"/>
      <w:bookmarkEnd w:id="4"/>
      <w:r>
        <w:rPr>
          <w:rFonts w:ascii="Times New Roman" w:hAnsi="Times New Roman"/>
          <w:b/>
          <w:color w:val="000000"/>
          <w:sz w:val="16"/>
        </w:rPr>
        <w:t xml:space="preserve">PART I—CONSOLIDATED </w:t>
      </w:r>
      <w:bookmarkStart w:id="5" w:name="part_iconsolidated_financial_information"/>
      <w:bookmarkEnd w:id="5"/>
      <w:r>
        <w:rPr>
          <w:rFonts w:ascii="Times New Roman" w:hAnsi="Times New Roman"/>
          <w:b/>
          <w:color w:val="000000"/>
          <w:sz w:val="16"/>
        </w:rPr>
        <w:t>FINANCIAL INFORMATION</w:t>
      </w:r>
    </w:p>
    <w:p>
      <w:pPr>
        <w:pStyle w:val="TextBody"/>
        <w:bidi w:val="0"/>
        <w:jc w:val="both"/>
        <w:rPr>
          <w:rFonts w:ascii="Times New Roman" w:hAnsi="Times New Roman"/>
          <w:sz w:val="20"/>
        </w:rPr>
      </w:pPr>
      <w:r>
        <w:rPr>
          <w:rFonts w:ascii="Times New Roman" w:hAnsi="Times New Roman"/>
          <w:color w:val="000000"/>
          <w:sz w:val="16"/>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w:t>
      </w:r>
      <w:r>
        <w:rPr>
          <w:rFonts w:ascii="Times New Roman" w:hAnsi="Times New Roman"/>
          <w:color w:val="000000"/>
          <w:sz w:val="20"/>
        </w:rPr>
        <w:t xml:space="preserve"> “</w:t>
      </w:r>
      <w:r>
        <w:rPr>
          <w:rFonts w:ascii="Times New Roman" w:hAnsi="Times New Roman"/>
          <w:color w:val="000000"/>
          <w:sz w:val="16"/>
        </w:rPr>
        <w:t>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noBreakHyphen/>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toc90073_2"/>
      <w:bookmarkEnd w:id="6"/>
      <w:r>
        <w:rPr>
          <w:rFonts w:ascii="Times New Roman" w:hAnsi="Times New Roman"/>
          <w:b/>
          <w:color w:val="000000"/>
          <w:sz w:val="16"/>
        </w:rPr>
        <w:t>Item 1. Consolidated</w:t>
      </w:r>
      <w:bookmarkStart w:id="7" w:name="item_1_consolidated_financial_statements"/>
      <w:bookmarkEnd w:id="7"/>
      <w:r>
        <w:rPr>
          <w:rFonts w:ascii="Times New Roman" w:hAnsi="Times New Roman"/>
          <w:color w:val="000000"/>
          <w:sz w:val="20"/>
        </w:rPr>
        <w:t xml:space="preserve"> </w:t>
      </w:r>
      <w:r>
        <w:rPr>
          <w:rFonts w:ascii="Times New Roman" w:hAnsi="Times New Roman"/>
          <w:b/>
          <w:color w:val="000000"/>
          <w:sz w:val="16"/>
        </w:rPr>
        <w:t>Financial Statements</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bookmarkStart w:id="8" w:name="consolidated_statements_assets_liabiliti"/>
      <w:bookmarkEnd w:id="8"/>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7"/>
        <w:gridCol w:w="146"/>
        <w:gridCol w:w="273"/>
        <w:gridCol w:w="1156"/>
        <w:gridCol w:w="166"/>
        <w:gridCol w:w="146"/>
        <w:gridCol w:w="281"/>
        <w:gridCol w:w="1187"/>
        <w:gridCol w:w="393"/>
      </w:tblGrid>
      <w:tr>
        <w:trPr/>
        <w:tc>
          <w:tcPr>
            <w:tcW w:w="6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4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CECFF" w:val="clear"/>
            <w:vAlign w:val="center"/>
          </w:tcPr>
          <w:p>
            <w:pPr>
              <w:pStyle w:val="TableContents"/>
              <w:bidi w:val="0"/>
              <w:spacing w:before="0" w:after="283"/>
              <w:jc w:val="left"/>
              <w:rPr/>
            </w:pPr>
            <w:r>
              <w:rPr/>
              <w:t> </w:t>
            </w:r>
          </w:p>
        </w:tc>
        <w:tc>
          <w:tcPr>
            <w:tcW w:w="1429"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8" w:type="dxa"/>
            <w:gridSpan w:val="2"/>
            <w:tcBorders/>
            <w:shd w:fill="CCECFF" w:val="clear"/>
            <w:vAlign w:val="center"/>
          </w:tcPr>
          <w:p>
            <w:pPr>
              <w:pStyle w:val="TableContents"/>
              <w:bidi w:val="0"/>
              <w:spacing w:before="0" w:after="283"/>
              <w:jc w:val="right"/>
              <w:rPr/>
            </w:pPr>
            <w:r>
              <w:rPr/>
              <w:t> </w:t>
            </w:r>
          </w:p>
        </w:tc>
        <w:tc>
          <w:tcPr>
            <w:tcW w:w="393" w:type="dxa"/>
            <w:tcBorders/>
            <w:shd w:fill="CCECFF" w:val="clear"/>
            <w:vAlign w:val="center"/>
          </w:tcPr>
          <w:p>
            <w:pPr>
              <w:pStyle w:val="TableContents"/>
              <w:bidi w:val="0"/>
              <w:spacing w:before="0" w:after="283"/>
              <w:jc w:val="righ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457" w:type="dxa"/>
            <w:tcBorders/>
            <w:shd w:fill="CCEC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Non-controlled, non-affiliated investments (amortized cost— $965,446</w:t>
            </w:r>
            <w:r>
              <w:rPr>
                <w:rFonts w:ascii="Times New Roman" w:hAnsi="Times New Roman"/>
                <w:color w:val="000000"/>
                <w:sz w:val="20"/>
              </w:rPr>
              <w:t>  </w:t>
            </w:r>
            <w:r>
              <w:rPr>
                <w:rFonts w:ascii="Times New Roman" w:hAnsi="Times New Roman"/>
                <w:color w:val="000000"/>
                <w:sz w:val="16"/>
              </w:rPr>
              <w:t>and $768,240, respectively)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974,595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772,178</w:t>
            </w:r>
          </w:p>
        </w:tc>
        <w:tc>
          <w:tcPr>
            <w:tcW w:w="393" w:type="dxa"/>
            <w:tcBorders/>
            <w:shd w:fill="CCECFF" w:val="clear"/>
            <w:vAlign w:val="center"/>
          </w:tcPr>
          <w:p>
            <w:pPr>
              <w:pStyle w:val="TableContents"/>
              <w:bidi w:val="0"/>
              <w:spacing w:before="0" w:after="283"/>
              <w:ind w:left="0" w:right="0" w:firstLine="200"/>
              <w:jc w:val="left"/>
              <w:rPr/>
            </w:pPr>
            <w:r>
              <w:rPr/>
              <w:t> </w:t>
            </w:r>
          </w:p>
        </w:tc>
      </w:tr>
      <w:tr>
        <w:trPr/>
        <w:tc>
          <w:tcPr>
            <w:tcW w:w="645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Controlled, affiliated investments (amortized cost— $325,032</w:t>
            </w:r>
            <w:r>
              <w:rPr>
                <w:rFonts w:ascii="Times New Roman" w:hAnsi="Times New Roman"/>
                <w:color w:val="000000"/>
                <w:sz w:val="20"/>
              </w:rPr>
              <w:t>  </w:t>
            </w:r>
            <w:r>
              <w:rPr>
                <w:rFonts w:ascii="Times New Roman" w:hAnsi="Times New Roman"/>
                <w:color w:val="000000"/>
                <w:sz w:val="16"/>
              </w:rPr>
              <w:t>and $324,639, respectively)</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294,996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57" w:type="dxa"/>
            <w:tcBorders/>
            <w:shd w:fill="CCEC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Total investments (amortized cost— $1,290,478</w:t>
            </w:r>
            <w:r>
              <w:rPr>
                <w:rFonts w:ascii="Times New Roman" w:hAnsi="Times New Roman"/>
                <w:color w:val="000000"/>
                <w:sz w:val="20"/>
              </w:rPr>
              <w:t>  </w:t>
            </w:r>
            <w:r>
              <w:rPr>
                <w:rFonts w:ascii="Times New Roman" w:hAnsi="Times New Roman"/>
                <w:color w:val="000000"/>
                <w:sz w:val="16"/>
              </w:rPr>
              <w:t>and $1,092,878, respectively)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1,270,927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1,067,174</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(cost— $75,809</w:t>
            </w:r>
            <w:r>
              <w:rPr>
                <w:rFonts w:ascii="Times New Roman" w:hAnsi="Times New Roman"/>
                <w:color w:val="000000"/>
                <w:sz w:val="20"/>
              </w:rPr>
              <w:t> </w:t>
            </w:r>
            <w:r>
              <w:rPr>
                <w:rFonts w:ascii="Times New Roman" w:hAnsi="Times New Roman"/>
                <w:color w:val="000000"/>
                <w:sz w:val="16"/>
              </w:rPr>
              <w:t>and $100,555, respectively)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10,423</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receivable</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affiliate</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color w:val="000000"/>
              </w:rPr>
            </w:pPr>
            <w:r>
              <w:rPr>
                <w:color w:val="000000"/>
              </w:rPr>
              <w:t>—</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57"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1,359,059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1,179,611</w:t>
            </w:r>
          </w:p>
        </w:tc>
        <w:tc>
          <w:tcPr>
            <w:tcW w:w="3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Credit Facility payable, at fair value (cost— $260,855</w:t>
            </w:r>
            <w:r>
              <w:rPr>
                <w:rFonts w:ascii="Times New Roman" w:hAnsi="Times New Roman"/>
                <w:color w:val="000000"/>
                <w:sz w:val="20"/>
              </w:rPr>
              <w:t> </w:t>
            </w:r>
            <w:r>
              <w:rPr>
                <w:rFonts w:ascii="Times New Roman" w:hAnsi="Times New Roman"/>
                <w:color w:val="000000"/>
                <w:sz w:val="16"/>
              </w:rPr>
              <w:t>and $9,400, respectively)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260,917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9,400</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 Asset-Backed Debt, net (par—$228,000)</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226,759</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 payable, net (par—$185,000)</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183,248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183,054</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debt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8,615</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payable</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investments purchased</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 payable</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4,628</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to affiliates</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2023 Notes payable, at fair value (par—$0</w:t>
            </w:r>
            <w:r>
              <w:rPr>
                <w:rFonts w:ascii="Times New Roman" w:hAnsi="Times New Roman"/>
                <w:color w:val="000000"/>
                <w:sz w:val="20"/>
              </w:rPr>
              <w:t> </w:t>
            </w:r>
            <w:r>
              <w:rPr>
                <w:rFonts w:ascii="Times New Roman" w:hAnsi="Times New Roman"/>
                <w:color w:val="000000"/>
                <w:sz w:val="16"/>
              </w:rPr>
              <w:t>and $76,219, respectively)</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57"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701,046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526,006</w:t>
            </w:r>
          </w:p>
        </w:tc>
        <w:tc>
          <w:tcPr>
            <w:tcW w:w="3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(See Note 11)</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CECFF" w:val="clear"/>
            <w:vAlign w:val="center"/>
          </w:tcPr>
          <w:p>
            <w:pPr>
              <w:pStyle w:val="TableContents"/>
              <w:bidi w:val="0"/>
              <w:spacing w:before="0" w:after="283"/>
              <w:jc w:val="left"/>
              <w:rPr/>
            </w:pPr>
            <w:r>
              <w:rPr/>
              <w:t> </w:t>
            </w:r>
          </w:p>
        </w:tc>
        <w:tc>
          <w:tcPr>
            <w:tcW w:w="1429"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8" w:type="dxa"/>
            <w:gridSpan w:val="2"/>
            <w:tcBorders/>
            <w:shd w:fill="CCECFF" w:val="clear"/>
            <w:vAlign w:val="center"/>
          </w:tcPr>
          <w:p>
            <w:pPr>
              <w:pStyle w:val="TableContents"/>
              <w:bidi w:val="0"/>
              <w:spacing w:before="0" w:after="283"/>
              <w:jc w:val="right"/>
              <w:rPr/>
            </w:pPr>
            <w:r>
              <w:rPr/>
              <w:t> </w:t>
            </w:r>
          </w:p>
        </w:tc>
        <w:tc>
          <w:tcPr>
            <w:tcW w:w="393" w:type="dxa"/>
            <w:tcBorders/>
            <w:shd w:fill="CCECFF" w:val="clear"/>
            <w:vAlign w:val="center"/>
          </w:tcPr>
          <w:p>
            <w:pPr>
              <w:pStyle w:val="TableContents"/>
              <w:bidi w:val="0"/>
              <w:spacing w:before="0" w:after="283"/>
              <w:jc w:val="righ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58,734,702</w:t>
            </w:r>
            <w:r>
              <w:rPr>
                <w:rFonts w:ascii="Times New Roman" w:hAnsi="Times New Roman"/>
                <w:color w:val="000000"/>
                <w:sz w:val="20"/>
              </w:rPr>
              <w:t> </w:t>
            </w:r>
            <w:r>
              <w:rPr>
                <w:rFonts w:ascii="Times New Roman" w:hAnsi="Times New Roman"/>
                <w:color w:val="000000"/>
                <w:sz w:val="16"/>
              </w:rPr>
              <w:t>and 58,734,702</w:t>
            </w:r>
            <w:r>
              <w:rPr>
                <w:rFonts w:ascii="Times New Roman" w:hAnsi="Times New Roman"/>
                <w:color w:val="000000"/>
                <w:sz w:val="20"/>
              </w:rPr>
              <w:t> </w:t>
            </w:r>
            <w:r>
              <w:rPr>
                <w:rFonts w:ascii="Times New Roman" w:hAnsi="Times New Roman"/>
                <w:color w:val="000000"/>
                <w:sz w:val="16"/>
              </w:rPr>
              <w:t>shares issued and outstanding, respectively</w:t>
              <w:br/>
              <w:t>   Par value $0.001</w:t>
            </w:r>
            <w:r>
              <w:rPr>
                <w:rFonts w:ascii="Times New Roman" w:hAnsi="Times New Roman"/>
                <w:color w:val="000000"/>
                <w:sz w:val="20"/>
              </w:rPr>
              <w:t> </w:t>
            </w:r>
            <w:r>
              <w:rPr>
                <w:rFonts w:ascii="Times New Roman" w:hAnsi="Times New Roman"/>
                <w:color w:val="000000"/>
                <w:sz w:val="16"/>
              </w:rPr>
              <w:t>per share and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93" w:type="dxa"/>
            <w:tcBorders/>
            <w:shd w:fill="FFFFFF" w:val="cle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Paid-in capital in excess of par value</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765,187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11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765,187</w:t>
            </w:r>
          </w:p>
        </w:tc>
        <w:tc>
          <w:tcPr>
            <w:tcW w:w="393" w:type="dxa"/>
            <w:tcBorders/>
            <w:shd w:fill="CCECFF" w:val="clear"/>
            <w:vAlign w:val="center"/>
          </w:tcPr>
          <w:p>
            <w:pPr>
              <w:pStyle w:val="TableContents"/>
              <w:bidi w:val="0"/>
              <w:spacing w:before="0" w:after="283"/>
              <w:jc w:val="left"/>
              <w:rPr/>
            </w:pPr>
            <w:r>
              <w:rPr/>
              <w:t> </w:t>
            </w:r>
          </w:p>
        </w:tc>
      </w:tr>
      <w:tr>
        <w:trPr/>
        <w:tc>
          <w:tcPr>
            <w:tcW w:w="64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(111,641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457" w:type="dxa"/>
            <w:tcBorders/>
            <w:shd w:fill="CCEC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658,013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653,605</w:t>
            </w:r>
          </w:p>
        </w:tc>
        <w:tc>
          <w:tcPr>
            <w:tcW w:w="3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57"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1,179,611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3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bookmarkStart w:id="9" w:name="consolidated_statements_operations"/>
      <w:bookmarkEnd w:id="9"/>
      <w:r>
        <w:rPr>
          <w:rFonts w:ascii="Times New Roman" w:hAnsi="Times New Roman"/>
          <w:b/>
          <w:color w:val="000000"/>
          <w:sz w:val="16"/>
        </w:rPr>
        <w:t>CONSOLIDATED STATEMENTS OF OPERATIONS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per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081" w:type="dxa"/>
        <w:jc w:val="left"/>
        <w:tblInd w:w="0" w:type="dxa"/>
        <w:tblLayout w:type="fixed"/>
        <w:tblCellMar>
          <w:top w:w="28" w:type="dxa"/>
          <w:left w:w="28" w:type="dxa"/>
          <w:bottom w:w="28" w:type="dxa"/>
          <w:right w:w="28" w:type="dxa"/>
        </w:tblCellMar>
      </w:tblPr>
      <w:tblGrid>
        <w:gridCol w:w="6886"/>
        <w:gridCol w:w="146"/>
        <w:gridCol w:w="263"/>
        <w:gridCol w:w="807"/>
        <w:gridCol w:w="222"/>
        <w:gridCol w:w="196"/>
        <w:gridCol w:w="263"/>
        <w:gridCol w:w="887"/>
        <w:gridCol w:w="411"/>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5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8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From non-controlled, non-affiliated investments:</w:t>
            </w:r>
          </w:p>
        </w:tc>
        <w:tc>
          <w:tcPr>
            <w:tcW w:w="146" w:type="dxa"/>
            <w:tcBorders/>
            <w:shd w:fill="CCECFF" w:val="clear"/>
            <w:vAlign w:val="center"/>
          </w:tcPr>
          <w:p>
            <w:pPr>
              <w:pStyle w:val="TableContents"/>
              <w:bidi w:val="0"/>
              <w:spacing w:before="0" w:after="283"/>
              <w:jc w:val="left"/>
              <w:rPr/>
            </w:pPr>
            <w:r>
              <w:rPr/>
              <w:t> </w:t>
            </w:r>
          </w:p>
        </w:tc>
        <w:tc>
          <w:tcPr>
            <w:tcW w:w="1070" w:type="dxa"/>
            <w:gridSpan w:val="2"/>
            <w:tcBorders/>
            <w:shd w:fill="CCECFF" w:val="clear"/>
            <w:vAlign w:val="center"/>
          </w:tcPr>
          <w:p>
            <w:pPr>
              <w:pStyle w:val="TableContents"/>
              <w:bidi w:val="0"/>
              <w:spacing w:before="0" w:after="283"/>
              <w:jc w:val="left"/>
              <w:rPr/>
            </w:pPr>
            <w:r>
              <w:rPr/>
              <w:t> </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1150"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23,768</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411" w:type="dxa"/>
            <w:tcBorders/>
            <w:shd w:fill="FFFFFF" w:val="clear"/>
            <w:vAlign w:val="center"/>
          </w:tcPr>
          <w:p>
            <w:pPr>
              <w:pStyle w:val="TableContents"/>
              <w:bidi w:val="0"/>
              <w:spacing w:before="0" w:after="283"/>
              <w:jc w:val="left"/>
              <w:rPr/>
            </w:pPr>
            <w:r>
              <w:rPr/>
              <w:t> </w:t>
            </w:r>
          </w:p>
        </w:tc>
      </w:tr>
      <w:tr>
        <w:trPr/>
        <w:tc>
          <w:tcPr>
            <w:tcW w:w="68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From controlled, affiliated investments:</w:t>
            </w:r>
          </w:p>
        </w:tc>
        <w:tc>
          <w:tcPr>
            <w:tcW w:w="146" w:type="dxa"/>
            <w:tcBorders/>
            <w:shd w:fill="CCECFF" w:val="clear"/>
            <w:vAlign w:val="center"/>
          </w:tcPr>
          <w:p>
            <w:pPr>
              <w:pStyle w:val="TableContents"/>
              <w:bidi w:val="0"/>
              <w:spacing w:before="0" w:after="283"/>
              <w:jc w:val="left"/>
              <w:rPr/>
            </w:pPr>
            <w:r>
              <w:rPr/>
              <w:t> </w:t>
            </w:r>
          </w:p>
        </w:tc>
        <w:tc>
          <w:tcPr>
            <w:tcW w:w="1070" w:type="dxa"/>
            <w:gridSpan w:val="2"/>
            <w:tcBorders/>
            <w:shd w:fill="CCECFF" w:val="clear"/>
            <w:vAlign w:val="center"/>
          </w:tcPr>
          <w:p>
            <w:pPr>
              <w:pStyle w:val="TableContents"/>
              <w:bidi w:val="0"/>
              <w:spacing w:before="0" w:after="283"/>
              <w:jc w:val="right"/>
              <w:rPr/>
            </w:pPr>
            <w:r>
              <w:rPr/>
              <w:t> </w:t>
            </w:r>
          </w:p>
        </w:tc>
        <w:tc>
          <w:tcPr>
            <w:tcW w:w="222"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1150"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8,434</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2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37,973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CECFF" w:val="clear"/>
            <w:vAlign w:val="center"/>
          </w:tcPr>
          <w:p>
            <w:pPr>
              <w:pStyle w:val="TableContents"/>
              <w:bidi w:val="0"/>
              <w:spacing w:before="0" w:after="283"/>
              <w:jc w:val="left"/>
              <w:rPr/>
            </w:pPr>
            <w:r>
              <w:rPr/>
              <w:t> </w:t>
            </w:r>
          </w:p>
        </w:tc>
        <w:tc>
          <w:tcPr>
            <w:tcW w:w="1070" w:type="dxa"/>
            <w:gridSpan w:val="2"/>
            <w:tcBorders/>
            <w:shd w:fill="CCECFF" w:val="clear"/>
            <w:vAlign w:val="center"/>
          </w:tcPr>
          <w:p>
            <w:pPr>
              <w:pStyle w:val="TableContents"/>
              <w:bidi w:val="0"/>
              <w:spacing w:before="0" w:after="283"/>
              <w:jc w:val="right"/>
              <w:rPr/>
            </w:pPr>
            <w:r>
              <w:rPr/>
              <w:t> </w:t>
            </w:r>
          </w:p>
        </w:tc>
        <w:tc>
          <w:tcPr>
            <w:tcW w:w="222"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1150"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and expenses on debt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8,942</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Performance-based incentive fee</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Administrative services expenses</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Expenses before provision for taxes</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18,370</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17,072</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taxes on net investment income</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expenses</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18,524</w:t>
            </w:r>
          </w:p>
        </w:tc>
        <w:tc>
          <w:tcPr>
            <w:tcW w:w="2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17,606</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19,449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 and debt:</w:t>
            </w:r>
          </w:p>
        </w:tc>
        <w:tc>
          <w:tcPr>
            <w:tcW w:w="146" w:type="dxa"/>
            <w:tcBorders/>
            <w:shd w:fill="CCECFF" w:val="clear"/>
            <w:vAlign w:val="center"/>
          </w:tcPr>
          <w:p>
            <w:pPr>
              <w:pStyle w:val="TableContents"/>
              <w:bidi w:val="0"/>
              <w:spacing w:before="0" w:after="283"/>
              <w:jc w:val="left"/>
              <w:rPr/>
            </w:pPr>
            <w:r>
              <w:rPr/>
              <w:t> </w:t>
            </w:r>
          </w:p>
        </w:tc>
        <w:tc>
          <w:tcPr>
            <w:tcW w:w="1070" w:type="dxa"/>
            <w:gridSpan w:val="2"/>
            <w:tcBorders/>
            <w:shd w:fill="CCECFF" w:val="clear"/>
            <w:vAlign w:val="center"/>
          </w:tcPr>
          <w:p>
            <w:pPr>
              <w:pStyle w:val="TableContents"/>
              <w:bidi w:val="0"/>
              <w:spacing w:before="0" w:after="283"/>
              <w:jc w:val="right"/>
              <w:rPr/>
            </w:pPr>
            <w:r>
              <w:rPr/>
              <w:t> </w:t>
            </w:r>
          </w:p>
        </w:tc>
        <w:tc>
          <w:tcPr>
            <w:tcW w:w="222"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1150"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jc w:val="right"/>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15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22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and controlled, affiliated investments</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realized gain (loss) on investments</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22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411" w:type="dxa"/>
            <w:tcBorders/>
            <w:shd w:fill="CCEC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15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5,228</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(12,693</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Controlled and non-controlled, affiliated investments</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taxes on unrealized appreciation (depreciation) on investments</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07" w:type="dxa"/>
            <w:tcBorders/>
            <w:shd w:fill="CCECFF" w:val="clear"/>
            <w:vAlign w:val="center"/>
          </w:tcPr>
          <w:p>
            <w:pPr>
              <w:pStyle w:val="TableContents"/>
              <w:bidi w:val="0"/>
              <w:spacing w:before="0" w:after="283"/>
              <w:jc w:val="right"/>
              <w:rPr>
                <w:color w:val="000000"/>
              </w:rPr>
            </w:pPr>
            <w:r>
              <w:rPr>
                <w:color w:val="000000"/>
              </w:rPr>
              <w:t>—</w:t>
            </w:r>
          </w:p>
        </w:tc>
        <w:tc>
          <w:tcPr>
            <w:tcW w:w="222"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8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Debt (appreciation) depreciation</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change in unrealized appreciation (depreciation) on investments and debt</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6,109</w:t>
            </w:r>
          </w:p>
        </w:tc>
        <w:tc>
          <w:tcPr>
            <w:tcW w:w="2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(15,415</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from investments and debt</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22,469</w:t>
            </w:r>
          </w:p>
        </w:tc>
        <w:tc>
          <w:tcPr>
            <w:tcW w:w="22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 per common share (See Note 7)</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common share</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22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bookmarkStart w:id="10" w:name="consolidated_statements_changes_in_net_a"/>
      <w:bookmarkEnd w:id="10"/>
      <w:r>
        <w:rPr>
          <w:rFonts w:ascii="Times New Roman" w:hAnsi="Times New Roman"/>
          <w:b/>
          <w:color w:val="000000"/>
          <w:sz w:val="16"/>
        </w:rPr>
        <w:t>CONSOLIDATED STATEMENTS OF CHANGES IN NET ASSETS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issue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9816" w:type="dxa"/>
        <w:jc w:val="left"/>
        <w:tblInd w:w="0" w:type="dxa"/>
        <w:tblLayout w:type="fixed"/>
        <w:tblCellMar>
          <w:top w:w="28" w:type="dxa"/>
          <w:left w:w="28" w:type="dxa"/>
          <w:bottom w:w="28" w:type="dxa"/>
          <w:right w:w="28" w:type="dxa"/>
        </w:tblCellMar>
      </w:tblPr>
      <w:tblGrid>
        <w:gridCol w:w="6621"/>
        <w:gridCol w:w="146"/>
        <w:gridCol w:w="248"/>
        <w:gridCol w:w="874"/>
        <w:gridCol w:w="210"/>
        <w:gridCol w:w="184"/>
        <w:gridCol w:w="248"/>
        <w:gridCol w:w="874"/>
        <w:gridCol w:w="411"/>
      </w:tblGrid>
      <w:tr>
        <w:trPr/>
        <w:tc>
          <w:tcPr>
            <w:tcW w:w="6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from operations:</w:t>
            </w:r>
          </w:p>
        </w:tc>
        <w:tc>
          <w:tcPr>
            <w:tcW w:w="146"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210" w:type="dxa"/>
            <w:tcBorders/>
            <w:shd w:fill="CCECFF" w:val="clear"/>
            <w:vAlign w:val="center"/>
          </w:tcPr>
          <w:p>
            <w:pPr>
              <w:pStyle w:val="TableContents"/>
              <w:bidi w:val="0"/>
              <w:spacing w:before="0" w:after="283"/>
              <w:jc w:val="right"/>
              <w:rPr/>
            </w:pPr>
            <w:r>
              <w:rPr/>
              <w:t> </w:t>
            </w:r>
          </w:p>
        </w:tc>
        <w:tc>
          <w:tcPr>
            <w:tcW w:w="184"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19,449</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21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6,171</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provision for taxes on unrealized appreciation (depreciation) on investments</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color w:val="000000"/>
              </w:rPr>
            </w:pPr>
            <w:r>
              <w:rPr>
                <w:color w:val="000000"/>
              </w:rPr>
              <w:t>—</w:t>
            </w:r>
          </w:p>
        </w:tc>
        <w:tc>
          <w:tcPr>
            <w:tcW w:w="210"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debt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22,469</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Distributions to stockholders: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Distribution of net investment income</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(18,061</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distributions to stockholders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transactions</w:t>
            </w:r>
          </w:p>
        </w:tc>
        <w:tc>
          <w:tcPr>
            <w:tcW w:w="146"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210" w:type="dxa"/>
            <w:tcBorders/>
            <w:shd w:fill="CCECFF" w:val="clear"/>
            <w:vAlign w:val="center"/>
          </w:tcPr>
          <w:p>
            <w:pPr>
              <w:pStyle w:val="TableContents"/>
              <w:bidi w:val="0"/>
              <w:spacing w:before="0" w:after="283"/>
              <w:jc w:val="right"/>
              <w:rPr/>
            </w:pPr>
            <w:r>
              <w:rPr/>
              <w:t> </w:t>
            </w:r>
          </w:p>
        </w:tc>
        <w:tc>
          <w:tcPr>
            <w:tcW w:w="184"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Public offering</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Offering costs</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increase in net assets resulting from capital transactions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Beginning of period</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653,605</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527,092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End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658,013</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share activity:</w:t>
            </w:r>
          </w:p>
        </w:tc>
        <w:tc>
          <w:tcPr>
            <w:tcW w:w="146"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210" w:type="dxa"/>
            <w:tcBorders/>
            <w:shd w:fill="CCECFF" w:val="clear"/>
            <w:vAlign w:val="center"/>
          </w:tcPr>
          <w:p>
            <w:pPr>
              <w:pStyle w:val="TableContents"/>
              <w:bidi w:val="0"/>
              <w:spacing w:before="0" w:after="283"/>
              <w:jc w:val="right"/>
              <w:rPr/>
            </w:pPr>
            <w:r>
              <w:rPr/>
              <w:t> </w:t>
            </w:r>
          </w:p>
        </w:tc>
        <w:tc>
          <w:tcPr>
            <w:tcW w:w="184"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Shares issued from public offering</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bookmarkStart w:id="11" w:name="consolidated_statements_cash_flows"/>
      <w:bookmarkEnd w:id="11"/>
      <w:r>
        <w:rPr>
          <w:rFonts w:ascii="Times New Roman" w:hAnsi="Times New Roman"/>
          <w:b/>
          <w:color w:val="000000"/>
          <w:sz w:val="16"/>
        </w:rPr>
        <w:t>CONSOLIDATED STATEMENTS OF CASH FLOWS</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1"/>
        <w:gridCol w:w="146"/>
        <w:gridCol w:w="233"/>
        <w:gridCol w:w="897"/>
        <w:gridCol w:w="197"/>
        <w:gridCol w:w="174"/>
        <w:gridCol w:w="233"/>
        <w:gridCol w:w="789"/>
        <w:gridCol w:w="1015"/>
      </w:tblGrid>
      <w:tr>
        <w:trPr/>
        <w:tc>
          <w:tcPr>
            <w:tcW w:w="6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CECFF" w:val="clear"/>
            <w:vAlign w:val="center"/>
          </w:tcPr>
          <w:p>
            <w:pPr>
              <w:pStyle w:val="TableContents"/>
              <w:bidi w:val="0"/>
              <w:spacing w:before="0" w:after="283"/>
              <w:jc w:val="left"/>
              <w:rPr/>
            </w:pPr>
            <w:r>
              <w:rPr/>
              <w:t> </w:t>
            </w:r>
          </w:p>
        </w:tc>
        <w:tc>
          <w:tcPr>
            <w:tcW w:w="1130" w:type="dxa"/>
            <w:gridSpan w:val="2"/>
            <w:tcBorders/>
            <w:shd w:fill="CCECFF" w:val="clear"/>
            <w:vAlign w:val="center"/>
          </w:tcPr>
          <w:p>
            <w:pPr>
              <w:pStyle w:val="TableContents"/>
              <w:bidi w:val="0"/>
              <w:spacing w:before="0" w:after="283"/>
              <w:jc w:val="right"/>
              <w:rPr/>
            </w:pPr>
            <w:r>
              <w:rPr/>
              <w:t> </w:t>
            </w:r>
          </w:p>
        </w:tc>
        <w:tc>
          <w:tcPr>
            <w:tcW w:w="197" w:type="dxa"/>
            <w:tcBorders/>
            <w:shd w:fill="CCECFF" w:val="clear"/>
            <w:vAlign w:val="center"/>
          </w:tcPr>
          <w:p>
            <w:pPr>
              <w:pStyle w:val="TableContents"/>
              <w:bidi w:val="0"/>
              <w:spacing w:before="0" w:after="283"/>
              <w:jc w:val="right"/>
              <w:rPr/>
            </w:pPr>
            <w:r>
              <w:rPr/>
              <w:t> </w:t>
            </w:r>
          </w:p>
        </w:tc>
        <w:tc>
          <w:tcPr>
            <w:tcW w:w="174" w:type="dxa"/>
            <w:tcBorders/>
            <w:shd w:fill="CCECFF" w:val="clear"/>
            <w:vAlign w:val="center"/>
          </w:tcPr>
          <w:p>
            <w:pPr>
              <w:pStyle w:val="TableContents"/>
              <w:bidi w:val="0"/>
              <w:spacing w:before="0" w:after="283"/>
              <w:jc w:val="left"/>
              <w:rPr/>
            </w:pPr>
            <w:r>
              <w:rPr/>
              <w:t> </w:t>
            </w:r>
          </w:p>
        </w:tc>
        <w:tc>
          <w:tcPr>
            <w:tcW w:w="1022" w:type="dxa"/>
            <w:gridSpan w:val="2"/>
            <w:tcBorders/>
            <w:shd w:fill="CCECFF" w:val="clear"/>
            <w:vAlign w:val="center"/>
          </w:tcPr>
          <w:p>
            <w:pPr>
              <w:pStyle w:val="TableContents"/>
              <w:bidi w:val="0"/>
              <w:spacing w:before="0" w:after="283"/>
              <w:jc w:val="right"/>
              <w:rPr/>
            </w:pPr>
            <w:r>
              <w:rPr/>
              <w:t> </w:t>
            </w:r>
          </w:p>
        </w:tc>
        <w:tc>
          <w:tcPr>
            <w:tcW w:w="1015" w:type="dxa"/>
            <w:tcBorders/>
            <w:shd w:fill="CCECFF" w:val="clear"/>
            <w:vAlign w:val="center"/>
          </w:tcPr>
          <w:p>
            <w:pPr>
              <w:pStyle w:val="TableContents"/>
              <w:bidi w:val="0"/>
              <w:spacing w:before="0" w:after="283"/>
              <w:ind w:left="0" w:right="0" w:firstLine="400"/>
              <w:jc w:val="right"/>
              <w:rPr/>
            </w:pPr>
            <w:r>
              <w:rPr/>
              <w:t> </w:t>
            </w:r>
          </w:p>
        </w:tc>
      </w:tr>
      <w:tr>
        <w:trPr/>
        <w:tc>
          <w:tcPr>
            <w:tcW w:w="65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22,469</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015"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w:t>
              <w:br/>
              <w:t>   provided by (used in) operating activities:</w:t>
            </w:r>
          </w:p>
        </w:tc>
        <w:tc>
          <w:tcPr>
            <w:tcW w:w="146" w:type="dxa"/>
            <w:tcBorders/>
            <w:shd w:fill="CCECFF" w:val="clear"/>
            <w:vAlign w:val="center"/>
          </w:tcPr>
          <w:p>
            <w:pPr>
              <w:pStyle w:val="TableContents"/>
              <w:bidi w:val="0"/>
              <w:spacing w:before="0" w:after="283"/>
              <w:jc w:val="left"/>
              <w:rPr/>
            </w:pPr>
            <w:r>
              <w:rPr/>
              <w:t> </w:t>
            </w:r>
          </w:p>
        </w:tc>
        <w:tc>
          <w:tcPr>
            <w:tcW w:w="1130" w:type="dxa"/>
            <w:gridSpan w:val="2"/>
            <w:tcBorders/>
            <w:shd w:fill="CCECFF" w:val="clear"/>
            <w:vAlign w:val="center"/>
          </w:tcPr>
          <w:p>
            <w:pPr>
              <w:pStyle w:val="TableContents"/>
              <w:bidi w:val="0"/>
              <w:spacing w:before="0" w:after="283"/>
              <w:jc w:val="right"/>
              <w:rPr/>
            </w:pPr>
            <w:r>
              <w:rPr/>
              <w:t> </w:t>
            </w:r>
          </w:p>
        </w:tc>
        <w:tc>
          <w:tcPr>
            <w:tcW w:w="197" w:type="dxa"/>
            <w:tcBorders/>
            <w:shd w:fill="CCECFF" w:val="clear"/>
            <w:vAlign w:val="center"/>
          </w:tcPr>
          <w:p>
            <w:pPr>
              <w:pStyle w:val="TableContents"/>
              <w:bidi w:val="0"/>
              <w:spacing w:before="0" w:after="283"/>
              <w:jc w:val="right"/>
              <w:rPr/>
            </w:pPr>
            <w:r>
              <w:rPr/>
              <w:t> </w:t>
            </w:r>
          </w:p>
        </w:tc>
        <w:tc>
          <w:tcPr>
            <w:tcW w:w="174" w:type="dxa"/>
            <w:tcBorders/>
            <w:shd w:fill="CCECFF" w:val="clear"/>
            <w:vAlign w:val="center"/>
          </w:tcPr>
          <w:p>
            <w:pPr>
              <w:pStyle w:val="TableContents"/>
              <w:bidi w:val="0"/>
              <w:spacing w:before="0" w:after="283"/>
              <w:jc w:val="left"/>
              <w:rPr/>
            </w:pPr>
            <w:r>
              <w:rPr/>
              <w:t> </w:t>
            </w:r>
          </w:p>
        </w:tc>
        <w:tc>
          <w:tcPr>
            <w:tcW w:w="1022" w:type="dxa"/>
            <w:gridSpan w:val="2"/>
            <w:tcBorders/>
            <w:shd w:fill="CCECFF" w:val="clear"/>
            <w:vAlign w:val="center"/>
          </w:tcPr>
          <w:p>
            <w:pPr>
              <w:pStyle w:val="TableContents"/>
              <w:bidi w:val="0"/>
              <w:spacing w:before="0" w:after="283"/>
              <w:jc w:val="right"/>
              <w:rPr/>
            </w:pPr>
            <w:r>
              <w:rPr/>
              <w:t> </w:t>
            </w:r>
          </w:p>
        </w:tc>
        <w:tc>
          <w:tcPr>
            <w:tcW w:w="1015" w:type="dxa"/>
            <w:tcBorders/>
            <w:shd w:fill="CCECFF" w:val="clear"/>
            <w:vAlign w:val="center"/>
          </w:tcPr>
          <w:p>
            <w:pPr>
              <w:pStyle w:val="TableContents"/>
              <w:bidi w:val="0"/>
              <w:spacing w:before="0" w:after="283"/>
              <w:ind w:left="0" w:right="0" w:firstLine="600"/>
              <w:jc w:val="right"/>
              <w:rPr/>
            </w:pPr>
            <w:r>
              <w:rPr/>
              <w:t> </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(6,171</w:t>
            </w:r>
          </w:p>
        </w:tc>
        <w:tc>
          <w:tcPr>
            <w:tcW w:w="1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16,757</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change in unrealized (appreciation) depreciation on debt</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015" w:type="dxa"/>
            <w:tcBorders/>
            <w:shd w:fill="CCEC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accretion of discount and amortization of premium</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w:t>
            </w:r>
          </w:p>
        </w:tc>
        <w:tc>
          <w:tcPr>
            <w:tcW w:w="19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w:t>
            </w:r>
          </w:p>
        </w:tc>
        <w:tc>
          <w:tcPr>
            <w:tcW w:w="1015" w:type="dxa"/>
            <w:tcBorders/>
            <w:shd w:fill="CCEC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(302,598</w:t>
            </w:r>
          </w:p>
        </w:tc>
        <w:tc>
          <w:tcPr>
            <w:tcW w:w="1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(65,587</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19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015" w:type="dxa"/>
            <w:tcBorders/>
            <w:shd w:fill="CCEC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Proceeds from dispositions of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103,803</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62,998</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015" w:type="dxa"/>
            <w:tcBorders/>
            <w:shd w:fill="CCECFF" w:val="clear"/>
            <w:vAlign w:val="center"/>
          </w:tcPr>
          <w:p>
            <w:pPr>
              <w:pStyle w:val="TableContents"/>
              <w:bidi w:val="0"/>
              <w:spacing w:before="0" w:after="283"/>
              <w:ind w:left="0" w:right="0" w:firstLine="600"/>
              <w:jc w:val="left"/>
              <w:rPr/>
            </w:pPr>
            <w:r>
              <w:rPr/>
              <w:t> </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(Increase) decrease in:</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800"/>
              <w:jc w:val="right"/>
              <w:rPr/>
            </w:pPr>
            <w:r>
              <w:rPr/>
              <w:t> </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9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015" w:type="dxa"/>
            <w:tcBorders/>
            <w:shd w:fill="CCEC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Distribution receivable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1015"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Receivable for investments sold</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color w:val="000000"/>
              </w:rPr>
            </w:pPr>
            <w:r>
              <w:rPr>
                <w:color w:val="000000"/>
              </w:rPr>
              <w:t>—</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(8,912</w:t>
            </w:r>
          </w:p>
        </w:tc>
        <w:tc>
          <w:tcPr>
            <w:tcW w:w="1015" w:type="dxa"/>
            <w:tcBorders/>
            <w:shd w:fill="CCEC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015"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Due from affiliate</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9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color w:val="000000"/>
              </w:rPr>
            </w:pPr>
            <w:r>
              <w:rPr>
                <w:color w:val="000000"/>
              </w:rPr>
              <w:t>—</w:t>
            </w:r>
          </w:p>
        </w:tc>
        <w:tc>
          <w:tcPr>
            <w:tcW w:w="1015" w:type="dxa"/>
            <w:tcBorders/>
            <w:shd w:fill="CCECFF" w:val="clear"/>
            <w:vAlign w:val="center"/>
          </w:tcPr>
          <w:p>
            <w:pPr>
              <w:pStyle w:val="TableContents"/>
              <w:bidi w:val="0"/>
              <w:spacing w:before="0" w:after="283"/>
              <w:ind w:left="0" w:right="0" w:firstLine="600"/>
              <w:jc w:val="left"/>
              <w:rPr/>
            </w:pPr>
            <w:r>
              <w:rPr/>
              <w:t> </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Increase (decrease) in:</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800"/>
              <w:jc w:val="right"/>
              <w:rPr/>
            </w:pPr>
            <w:r>
              <w:rPr/>
              <w:t> </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Payable for investments purchased</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9,990</w:t>
            </w:r>
          </w:p>
        </w:tc>
        <w:tc>
          <w:tcPr>
            <w:tcW w:w="1015" w:type="dxa"/>
            <w:tcBorders/>
            <w:shd w:fill="CCECFF" w:val="clear"/>
            <w:vAlign w:val="center"/>
          </w:tcPr>
          <w:p>
            <w:pPr>
              <w:pStyle w:val="TableContents"/>
              <w:bidi w:val="0"/>
              <w:spacing w:before="0" w:after="283"/>
              <w:ind w:left="0" w:right="0" w:firstLine="800"/>
              <w:jc w:val="left"/>
              <w:rPr/>
            </w:pPr>
            <w:r>
              <w:rPr/>
              <w:t> </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Interest payable on debt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w:t>
            </w:r>
          </w:p>
        </w:tc>
        <w:tc>
          <w:tcPr>
            <w:tcW w:w="1015"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Base management fee payable</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015" w:type="dxa"/>
            <w:tcBorders/>
            <w:shd w:fill="CCEC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Incentive fee payable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015" w:type="dxa"/>
            <w:tcBorders/>
            <w:shd w:fill="FFFFFF" w:val="clear"/>
            <w:vAlign w:val="center"/>
          </w:tcPr>
          <w:p>
            <w:pPr>
              <w:pStyle w:val="TableContents"/>
              <w:bidi w:val="0"/>
              <w:spacing w:before="0" w:after="283"/>
              <w:ind w:left="0" w:right="0" w:firstLine="800"/>
              <w:jc w:val="left"/>
              <w:rPr/>
            </w:pPr>
            <w:r>
              <w:rPr/>
              <w:t> </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color w:val="000000"/>
              </w:rPr>
            </w:pPr>
            <w:r>
              <w:rPr>
                <w:color w:val="000000"/>
              </w:rPr>
              <w:t>—</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1015" w:type="dxa"/>
            <w:tcBorders/>
            <w:shd w:fill="CCECFF" w:val="clear"/>
            <w:vAlign w:val="center"/>
          </w:tcPr>
          <w:p>
            <w:pPr>
              <w:pStyle w:val="TableContents"/>
              <w:bidi w:val="0"/>
              <w:spacing w:before="0" w:after="283"/>
              <w:ind w:left="0" w:right="0" w:firstLine="800"/>
              <w:jc w:val="left"/>
              <w:rPr/>
            </w:pPr>
            <w:r>
              <w:rPr/>
              <w:t> </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Due to affiliates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(1,486</w:t>
            </w:r>
          </w:p>
        </w:tc>
        <w:tc>
          <w:tcPr>
            <w:tcW w:w="1015"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Account payable and accrued expenses</w:t>
            </w:r>
          </w:p>
        </w:tc>
        <w:tc>
          <w:tcPr>
            <w:tcW w:w="146" w:type="dxa"/>
            <w:tcBorders/>
            <w:shd w:fill="CCECFF" w:val="clear"/>
            <w:vAlign w:val="center"/>
          </w:tcPr>
          <w:p>
            <w:pPr>
              <w:pStyle w:val="TableContents"/>
              <w:bidi w:val="0"/>
              <w:spacing w:before="0" w:after="283"/>
              <w:jc w:val="left"/>
              <w:rPr/>
            </w:pPr>
            <w:r>
              <w:rPr/>
              <w:t> </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015"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(181,921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6,277</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CECFF" w:val="clear"/>
            <w:vAlign w:val="center"/>
          </w:tcPr>
          <w:p>
            <w:pPr>
              <w:pStyle w:val="TableContents"/>
              <w:bidi w:val="0"/>
              <w:spacing w:before="0" w:after="283"/>
              <w:jc w:val="left"/>
              <w:rPr/>
            </w:pPr>
            <w:r>
              <w:rPr/>
              <w:t> </w:t>
            </w:r>
          </w:p>
        </w:tc>
        <w:tc>
          <w:tcPr>
            <w:tcW w:w="1130" w:type="dxa"/>
            <w:gridSpan w:val="2"/>
            <w:tcBorders/>
            <w:shd w:fill="CCECFF" w:val="clear"/>
            <w:vAlign w:val="center"/>
          </w:tcPr>
          <w:p>
            <w:pPr>
              <w:pStyle w:val="TableContents"/>
              <w:bidi w:val="0"/>
              <w:spacing w:before="0" w:after="283"/>
              <w:jc w:val="right"/>
              <w:rPr/>
            </w:pPr>
            <w:r>
              <w:rPr/>
              <w:t> </w:t>
            </w:r>
          </w:p>
        </w:tc>
        <w:tc>
          <w:tcPr>
            <w:tcW w:w="197" w:type="dxa"/>
            <w:tcBorders/>
            <w:shd w:fill="CCECFF" w:val="clear"/>
            <w:vAlign w:val="center"/>
          </w:tcPr>
          <w:p>
            <w:pPr>
              <w:pStyle w:val="TableContents"/>
              <w:bidi w:val="0"/>
              <w:spacing w:before="0" w:after="283"/>
              <w:jc w:val="right"/>
              <w:rPr/>
            </w:pPr>
            <w:r>
              <w:rPr/>
              <w:t> </w:t>
            </w:r>
          </w:p>
        </w:tc>
        <w:tc>
          <w:tcPr>
            <w:tcW w:w="174" w:type="dxa"/>
            <w:tcBorders/>
            <w:shd w:fill="CCECFF" w:val="clear"/>
            <w:vAlign w:val="center"/>
          </w:tcPr>
          <w:p>
            <w:pPr>
              <w:pStyle w:val="TableContents"/>
              <w:bidi w:val="0"/>
              <w:spacing w:before="0" w:after="283"/>
              <w:jc w:val="left"/>
              <w:rPr/>
            </w:pPr>
            <w:r>
              <w:rPr/>
              <w:t> </w:t>
            </w:r>
          </w:p>
        </w:tc>
        <w:tc>
          <w:tcPr>
            <w:tcW w:w="1022" w:type="dxa"/>
            <w:gridSpan w:val="2"/>
            <w:tcBorders/>
            <w:shd w:fill="CCECFF" w:val="clear"/>
            <w:vAlign w:val="center"/>
          </w:tcPr>
          <w:p>
            <w:pPr>
              <w:pStyle w:val="TableContents"/>
              <w:bidi w:val="0"/>
              <w:spacing w:before="0" w:after="283"/>
              <w:jc w:val="right"/>
              <w:rPr/>
            </w:pPr>
            <w:r>
              <w:rPr/>
              <w:t> </w:t>
            </w:r>
          </w:p>
        </w:tc>
        <w:tc>
          <w:tcPr>
            <w:tcW w:w="1015" w:type="dxa"/>
            <w:tcBorders/>
            <w:shd w:fill="CCECFF" w:val="clear"/>
            <w:vAlign w:val="center"/>
          </w:tcPr>
          <w:p>
            <w:pPr>
              <w:pStyle w:val="TableContents"/>
              <w:bidi w:val="0"/>
              <w:spacing w:before="0" w:after="283"/>
              <w:ind w:left="0" w:right="0" w:firstLine="600"/>
              <w:jc w:val="right"/>
              <w:rPr/>
            </w:pPr>
            <w:r>
              <w:rPr/>
              <w:t> </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Proceeds from public offering</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Offering costs</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color w:val="000000"/>
              </w:rPr>
            </w:pPr>
            <w:r>
              <w:rPr>
                <w:color w:val="000000"/>
              </w:rPr>
              <w:t>—</w:t>
            </w:r>
          </w:p>
        </w:tc>
        <w:tc>
          <w:tcPr>
            <w:tcW w:w="197"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015" w:type="dxa"/>
            <w:tcBorders/>
            <w:shd w:fill="CCEC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Distributions paid to stockholders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(18,061</w:t>
            </w:r>
          </w:p>
        </w:tc>
        <w:tc>
          <w:tcPr>
            <w:tcW w:w="1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(12,924</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Repayment of 2023 notes payable</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(76,219</w:t>
            </w:r>
          </w:p>
        </w:tc>
        <w:tc>
          <w:tcPr>
            <w:tcW w:w="19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(20,787</w:t>
            </w:r>
          </w:p>
        </w:tc>
        <w:tc>
          <w:tcPr>
            <w:tcW w:w="1015" w:type="dxa"/>
            <w:tcBorders/>
            <w:shd w:fill="CCEC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Borrowings under Credit Facility</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251,455</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521" w:type="dxa"/>
            <w:tcBorders/>
            <w:shd w:fill="CCEC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Repayments under Credit Facility</w:t>
            </w:r>
          </w:p>
        </w:tc>
        <w:tc>
          <w:tcPr>
            <w:tcW w:w="146" w:type="dxa"/>
            <w:tcBorders/>
            <w:shd w:fill="CCECFF" w:val="clear"/>
            <w:vAlign w:val="center"/>
          </w:tcPr>
          <w:p>
            <w:pPr>
              <w:pStyle w:val="TableContents"/>
              <w:bidi w:val="0"/>
              <w:spacing w:before="0" w:after="283"/>
              <w:jc w:val="left"/>
              <w:rPr/>
            </w:pPr>
            <w:r>
              <w:rPr/>
              <w:t> </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5"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2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157,175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89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(24,746</w:t>
            </w:r>
          </w:p>
        </w:tc>
        <w:tc>
          <w:tcPr>
            <w:tcW w:w="19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78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3,546</w:t>
            </w:r>
          </w:p>
        </w:tc>
        <w:tc>
          <w:tcPr>
            <w:tcW w:w="1015" w:type="dxa"/>
            <w:tcBorders/>
            <w:shd w:fill="CCECFF" w:val="clear"/>
            <w:vAlign w:val="center"/>
          </w:tcPr>
          <w:p>
            <w:pPr>
              <w:pStyle w:val="TableContents"/>
              <w:bidi w:val="0"/>
              <w:spacing w:before="0" w:after="283"/>
              <w:jc w:val="left"/>
              <w:rPr/>
            </w:pPr>
            <w:r>
              <w:rPr/>
              <w:t> </w:t>
            </w:r>
          </w:p>
        </w:tc>
      </w:tr>
      <w:tr>
        <w:trPr/>
        <w:tc>
          <w:tcPr>
            <w:tcW w:w="65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015" w:type="dxa"/>
            <w:tcBorders/>
            <w:shd w:fill="FFFFFF" w:val="clear"/>
            <w:vAlign w:val="center"/>
          </w:tcPr>
          <w:p>
            <w:pPr>
              <w:pStyle w:val="TableContents"/>
              <w:bidi w:val="0"/>
              <w:spacing w:before="0" w:after="283"/>
              <w:jc w:val="left"/>
              <w:rPr/>
            </w:pPr>
            <w:r>
              <w:rPr/>
              <w:t> </w:t>
            </w:r>
          </w:p>
        </w:tc>
      </w:tr>
      <w:tr>
        <w:trPr/>
        <w:tc>
          <w:tcPr>
            <w:tcW w:w="65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beginning of period</w:t>
            </w:r>
          </w:p>
        </w:tc>
        <w:tc>
          <w:tcPr>
            <w:tcW w:w="146" w:type="dxa"/>
            <w:tcBorders/>
            <w:shd w:fill="CCECFF" w:val="clear"/>
            <w:vAlign w:val="center"/>
          </w:tcPr>
          <w:p>
            <w:pPr>
              <w:pStyle w:val="TableContents"/>
              <w:bidi w:val="0"/>
              <w:spacing w:before="0" w:after="283"/>
              <w:jc w:val="left"/>
              <w:rPr/>
            </w:pPr>
            <w:r>
              <w:rPr/>
              <w:t> </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1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51,488</w:t>
            </w:r>
          </w:p>
        </w:tc>
        <w:tc>
          <w:tcPr>
            <w:tcW w:w="10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55,057</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CCECFF" w:val="clear"/>
            <w:vAlign w:val="center"/>
          </w:tcPr>
          <w:p>
            <w:pPr>
              <w:pStyle w:val="TableContents"/>
              <w:bidi w:val="0"/>
              <w:spacing w:before="0" w:after="283"/>
              <w:jc w:val="left"/>
              <w:rPr/>
            </w:pPr>
            <w:r>
              <w:rPr/>
              <w:t> </w:t>
            </w:r>
          </w:p>
        </w:tc>
        <w:tc>
          <w:tcPr>
            <w:tcW w:w="1130" w:type="dxa"/>
            <w:gridSpan w:val="2"/>
            <w:tcBorders/>
            <w:shd w:fill="CCECFF" w:val="clear"/>
            <w:vAlign w:val="center"/>
          </w:tcPr>
          <w:p>
            <w:pPr>
              <w:pStyle w:val="TableContents"/>
              <w:bidi w:val="0"/>
              <w:spacing w:before="0" w:after="283"/>
              <w:jc w:val="right"/>
              <w:rPr/>
            </w:pPr>
            <w:r>
              <w:rPr/>
              <w:t> </w:t>
            </w:r>
          </w:p>
        </w:tc>
        <w:tc>
          <w:tcPr>
            <w:tcW w:w="197" w:type="dxa"/>
            <w:tcBorders/>
            <w:shd w:fill="CCECFF" w:val="clear"/>
            <w:vAlign w:val="center"/>
          </w:tcPr>
          <w:p>
            <w:pPr>
              <w:pStyle w:val="TableContents"/>
              <w:bidi w:val="0"/>
              <w:spacing w:before="0" w:after="283"/>
              <w:jc w:val="right"/>
              <w:rPr/>
            </w:pPr>
            <w:r>
              <w:rPr/>
              <w:t> </w:t>
            </w:r>
          </w:p>
        </w:tc>
        <w:tc>
          <w:tcPr>
            <w:tcW w:w="174" w:type="dxa"/>
            <w:tcBorders/>
            <w:shd w:fill="CCECFF" w:val="clear"/>
            <w:vAlign w:val="center"/>
          </w:tcPr>
          <w:p>
            <w:pPr>
              <w:pStyle w:val="TableContents"/>
              <w:bidi w:val="0"/>
              <w:spacing w:before="0" w:after="283"/>
              <w:jc w:val="left"/>
              <w:rPr/>
            </w:pPr>
            <w:r>
              <w:rPr/>
              <w:t> </w:t>
            </w:r>
          </w:p>
        </w:tc>
        <w:tc>
          <w:tcPr>
            <w:tcW w:w="1022" w:type="dxa"/>
            <w:gridSpan w:val="2"/>
            <w:tcBorders/>
            <w:shd w:fill="CCECFF" w:val="clear"/>
            <w:vAlign w:val="center"/>
          </w:tcPr>
          <w:p>
            <w:pPr>
              <w:pStyle w:val="TableContents"/>
              <w:bidi w:val="0"/>
              <w:spacing w:before="0" w:after="283"/>
              <w:jc w:val="right"/>
              <w:rPr/>
            </w:pPr>
            <w:r>
              <w:rPr/>
              <w:t> </w:t>
            </w:r>
          </w:p>
        </w:tc>
        <w:tc>
          <w:tcPr>
            <w:tcW w:w="1015" w:type="dxa"/>
            <w:tcBorders/>
            <w:shd w:fill="CCECFF" w:val="clear"/>
            <w:vAlign w:val="center"/>
          </w:tcPr>
          <w:p>
            <w:pPr>
              <w:pStyle w:val="TableContents"/>
              <w:bidi w:val="0"/>
              <w:spacing w:before="0" w:after="283"/>
              <w:ind w:left="0" w:right="0" w:firstLine="200"/>
              <w:jc w:val="right"/>
              <w:rPr/>
            </w:pPr>
            <w:r>
              <w:rPr/>
              <w:t> </w:t>
            </w:r>
          </w:p>
        </w:tc>
      </w:tr>
      <w:tr>
        <w:trPr/>
        <w:tc>
          <w:tcPr>
            <w:tcW w:w="6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11,594</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CCECFF" w:val="clear"/>
            <w:vAlign w:val="center"/>
          </w:tcPr>
          <w:p>
            <w:pPr>
              <w:pStyle w:val="TableContents"/>
              <w:bidi w:val="0"/>
              <w:spacing w:before="0" w:after="283"/>
              <w:jc w:val="left"/>
              <w:rPr/>
            </w:pPr>
            <w:r>
              <w:rPr/>
              <w:t> </w:t>
            </w:r>
          </w:p>
        </w:tc>
        <w:tc>
          <w:tcPr>
            <w:tcW w:w="23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3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015"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exchanges and conversions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bookmarkStart w:id="12" w:name="consolidated_schedule_investments"/>
      <w:bookmarkEnd w:id="12"/>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482"/>
        <w:gridCol w:w="146"/>
        <w:gridCol w:w="624"/>
        <w:gridCol w:w="146"/>
        <w:gridCol w:w="2020"/>
        <w:gridCol w:w="146"/>
        <w:gridCol w:w="151"/>
        <w:gridCol w:w="390"/>
        <w:gridCol w:w="211"/>
        <w:gridCol w:w="146"/>
        <w:gridCol w:w="224"/>
        <w:gridCol w:w="533"/>
        <w:gridCol w:w="146"/>
        <w:gridCol w:w="146"/>
        <w:gridCol w:w="146"/>
        <w:gridCol w:w="436"/>
        <w:gridCol w:w="146"/>
        <w:gridCol w:w="146"/>
        <w:gridCol w:w="166"/>
        <w:gridCol w:w="436"/>
        <w:gridCol w:w="146"/>
        <w:gridCol w:w="146"/>
        <w:gridCol w:w="200"/>
        <w:gridCol w:w="526"/>
        <w:gridCol w:w="200"/>
      </w:tblGrid>
      <w:tr>
        <w:trPr/>
        <w:tc>
          <w:tcPr>
            <w:tcW w:w="2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8" w:type="dxa"/>
            <w:gridSpan w:val="5"/>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Non-Affiliated Portfolio Companies—148.1% </w:t>
            </w:r>
            <w:r>
              <w:rPr>
                <w:rFonts w:ascii="Times New Roman" w:hAnsi="Times New Roman"/>
                <w:b/>
                <w:color w:val="000000"/>
                <w:sz w:val="8"/>
              </w:rPr>
              <w:t>(3), (4)</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6" w:type="dxa"/>
            <w:gridSpan w:val="2"/>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Debt—129.2%</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1,509</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A1 Garage Merger Sub, LLC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 - Unfunded Term Loan</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Avenu Buyer,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10,055</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ACP Avenu Buyer,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Avenu Buyer, LLC - Unfunded Term Loan</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ACP Falcon Buyer,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08/01/2029</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4,851</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Acquisition,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Acquisition,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Aeronix,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48,265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Aeronix,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AFC Dell Holding Corp.</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04/09/2027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3,812</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AFC Dell Holding Corp. - Unfunded Term Loan</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04/09/2027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Amsive Holding Corporation (f/k/a Vision Purchaser Corporation)</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06/10/2025</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13,713</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 - Incremental Term Loan</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2,172</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LLC (f/k/a MeritDirect,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Energy Equipment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6,314</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Any Hour Services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Energy Equipment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9,260</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5,936</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Arcfield Acquisition Corp.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08/04/2028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BioDerm,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BioDerm,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5,236</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 - Unfunded Term Loan</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Blackhawk Industrial Distribution,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813</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Blackhawk Industrial Distribution, Inc.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BlueHalo Financing Holdings,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5,299</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12/04/2025</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3,302</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By Light Professional IT Services,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05/16/2025</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SOFR+688</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24,645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By Light Professional IT Services, LLC (Revolver) </w:t>
            </w:r>
            <w:r>
              <w:rPr>
                <w:rFonts w:ascii="Times New Roman" w:hAnsi="Times New Roman"/>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05/16/2025</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Carisk Buyer,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Carisk Buyer, Inc. - Unfunded Term Loan</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Carisk Buyer, Inc. (Revolver) </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13,043</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(Revolver) </w:t>
            </w:r>
            <w:r>
              <w:rPr>
                <w:rFonts w:ascii="Times New Roman" w:hAnsi="Times New Roman"/>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SOFR+619</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CF512,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 Holdings,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04/10/2025</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Industries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SOFR+461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Challenger Performance Optimization,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08/31/2024</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Compex Legal Services,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02/09/2026</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Compex Legal Services,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Compex Legal Services,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3,634</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Connatix Buyer, Inc.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Crane 1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SOFR+501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Crane 1 Services,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4,372</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Dr. Squatch,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15,817</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DRS Holdings III,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06/30/2024</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3,381</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ECL Entertainment,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08/31/2030</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4,991</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 - Unfunded Term Loan</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01/10/2029</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EDS Buyer,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Efficient Collaborative Retail Marketing Company,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06/15/2024</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SOFR+1050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ETE Intermediate II,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05/25/2029</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Exigo Intermediate II,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4,468</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 - DDTL B Unfunded</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Five Star Buyer,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 - Promissory Note</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05/19/2029</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03/16/2026</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3,107</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w:t>
            </w:r>
          </w:p>
        </w:tc>
        <w:tc>
          <w:tcPr>
            <w:tcW w:w="200" w:type="dxa"/>
            <w:tcBorders/>
            <w:shd w:fill="CCEC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Graffiti Buyer,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FFFFFF" w:val="clear"/>
            <w:vAlign w:val="center"/>
          </w:tcPr>
          <w:p>
            <w:pPr>
              <w:pStyle w:val="TableContents"/>
              <w:bidi w:val="0"/>
              <w:spacing w:before="0" w:after="283"/>
              <w:jc w:val="left"/>
              <w:rPr/>
            </w:pPr>
            <w:r>
              <w:rPr/>
              <w:t> </w:t>
            </w:r>
          </w:p>
        </w:tc>
        <w:tc>
          <w:tcPr>
            <w:tcW w:w="20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w:t>
            </w:r>
          </w:p>
        </w:tc>
        <w:tc>
          <w:tcPr>
            <w:tcW w:w="200" w:type="dxa"/>
            <w:tcBorders/>
            <w:shd w:fill="FFFFFF" w:val="clear"/>
            <w:vAlign w:val="center"/>
          </w:tcPr>
          <w:p>
            <w:pPr>
              <w:pStyle w:val="TableContents"/>
              <w:bidi w:val="0"/>
              <w:spacing w:before="0" w:after="283"/>
              <w:jc w:val="left"/>
              <w:rPr/>
            </w:pPr>
            <w:r>
              <w:rPr/>
              <w:t> </w:t>
            </w:r>
          </w:p>
        </w:tc>
      </w:tr>
      <w:tr>
        <w:trPr/>
        <w:tc>
          <w:tcPr>
            <w:tcW w:w="24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Graffiti Buyer,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4"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1"/>
        <w:gridCol w:w="146"/>
        <w:gridCol w:w="618"/>
        <w:gridCol w:w="146"/>
        <w:gridCol w:w="1836"/>
        <w:gridCol w:w="146"/>
        <w:gridCol w:w="180"/>
        <w:gridCol w:w="466"/>
        <w:gridCol w:w="211"/>
        <w:gridCol w:w="146"/>
        <w:gridCol w:w="207"/>
        <w:gridCol w:w="493"/>
        <w:gridCol w:w="146"/>
        <w:gridCol w:w="146"/>
        <w:gridCol w:w="181"/>
        <w:gridCol w:w="542"/>
        <w:gridCol w:w="146"/>
        <w:gridCol w:w="146"/>
        <w:gridCol w:w="166"/>
        <w:gridCol w:w="436"/>
        <w:gridCol w:w="146"/>
        <w:gridCol w:w="146"/>
        <w:gridCol w:w="195"/>
        <w:gridCol w:w="512"/>
        <w:gridCol w:w="20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4,005</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Roofing and Construction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Roofing and Construction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13,531</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Holdco Sands Intermediate,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8,865</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 (Revolver)</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HW Holdco,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IG Investments Holdings,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4,350</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IG Investments Holdings,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09/22/2027</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15,766</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 (CAD)</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3" w:type="dxa"/>
            <w:gridSpan w:val="2"/>
            <w:tcBorders/>
            <w:shd w:fill="CCECFF" w:val="clear"/>
            <w:vAlign w:val="center"/>
          </w:tcPr>
          <w:p>
            <w:pPr>
              <w:pStyle w:val="TableContents"/>
              <w:bidi w:val="0"/>
              <w:spacing w:before="0" w:after="283"/>
              <w:jc w:val="left"/>
              <w:rPr/>
            </w:pPr>
            <w:r>
              <w:rPr>
                <w:color w:val="000000"/>
              </w:rPr>
              <w:t>   </w:t>
            </w:r>
            <w:r>
              <w:rPr>
                <w:rFonts w:ascii="Times New Roman" w:hAnsi="Times New Roman"/>
                <w:color w:val="000000"/>
                <w:sz w:val="12"/>
              </w:rPr>
              <w:t>CAD 1,450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02/15/2024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 - 1st Amendment Unfunded Term Loan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11/17/2025</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Infinity Home Services Holdco,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2,940</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Integrative Nutrition,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01/31/2025</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14,468</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16,020</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08/31/2025</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Integrity Marketing Acquisition,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ITI Holdings,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SOFR+761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Inventus Power,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K2 Pure Solutions NoCal, L.P.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17,124</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Kinetic Purchaser, LLC -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10,326</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Lash OpCo,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2,076</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Lash OpCo,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12,816</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5.50%)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LAV Gear Holdings,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1,683</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5.50%)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7" w:type="dxa"/>
            <w:gridSpan w:val="2"/>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Ledge Lounger,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3,663</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Ledge Lounger, Inc. (Revolver)</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Ledge Lounger,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22,372</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Lightspeed Buyer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02/01/2030</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LJ Avalon Holdings,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01/31/2030</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19,022</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 (Revolver)</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1,842</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Loving Tan Intermediate II, Inc. (Revolver)</w:t>
            </w:r>
            <w:r>
              <w:rPr>
                <w:rFonts w:ascii="Times New Roman" w:hAnsi="Times New Roman"/>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First-out Term Loan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Last-out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3,499</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8,706</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Mars Acquisition Holdings Corp. (Revolver)</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684</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MBS Holdings, Inc. (Revolver)</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1,986</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MDI Buyer,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MDI Buyer,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1,914</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 - Term Loan II</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Acquirer,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Medina Health,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17,595</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Medina Health,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Medina Health,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Mission Critical Electronics,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0"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 +590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Mission Critical Electronics, Inc.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Mission Critical Electronics,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10/01/2027</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01" w:type="dxa"/>
            <w:tcBorders/>
            <w:shd w:fill="FFFFFF" w:val="clear"/>
            <w:vAlign w:val="center"/>
          </w:tcPr>
          <w:p>
            <w:pPr>
              <w:pStyle w:val="TableContents"/>
              <w:bidi w:val="0"/>
              <w:spacing w:before="0" w:after="283"/>
              <w:jc w:val="left"/>
              <w:rPr/>
            </w:pPr>
            <w:r>
              <w:rPr/>
              <w:t> </w:t>
            </w:r>
          </w:p>
        </w:tc>
      </w:tr>
      <w:tr>
        <w:trPr/>
        <w:tc>
          <w:tcPr>
            <w:tcW w:w="25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A</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12/16/2024</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B</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12/16/2024</w:t>
            </w:r>
          </w:p>
        </w:tc>
        <w:tc>
          <w:tcPr>
            <w:tcW w:w="146"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10/01/2027</w:t>
            </w:r>
          </w:p>
        </w:tc>
        <w:tc>
          <w:tcPr>
            <w:tcW w:w="146" w:type="dxa"/>
            <w:tcBorders/>
            <w:shd w:fill="CCECFF" w:val="clear"/>
            <w:vAlign w:val="center"/>
          </w:tcPr>
          <w:p>
            <w:pPr>
              <w:pStyle w:val="TableContents"/>
              <w:bidi w:val="0"/>
              <w:spacing w:before="0" w:after="283"/>
              <w:jc w:val="left"/>
              <w:rPr/>
            </w:pPr>
            <w:r>
              <w:rPr/>
              <w:t> </w:t>
            </w:r>
          </w:p>
        </w:tc>
        <w:tc>
          <w:tcPr>
            <w:tcW w:w="18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691"/>
        <w:gridCol w:w="146"/>
        <w:gridCol w:w="618"/>
        <w:gridCol w:w="146"/>
        <w:gridCol w:w="1877"/>
        <w:gridCol w:w="146"/>
        <w:gridCol w:w="151"/>
        <w:gridCol w:w="390"/>
        <w:gridCol w:w="211"/>
        <w:gridCol w:w="146"/>
        <w:gridCol w:w="212"/>
        <w:gridCol w:w="505"/>
        <w:gridCol w:w="146"/>
        <w:gridCol w:w="146"/>
        <w:gridCol w:w="146"/>
        <w:gridCol w:w="436"/>
        <w:gridCol w:w="146"/>
        <w:gridCol w:w="146"/>
        <w:gridCol w:w="166"/>
        <w:gridCol w:w="436"/>
        <w:gridCol w:w="146"/>
        <w:gridCol w:w="146"/>
        <w:gridCol w:w="195"/>
        <w:gridCol w:w="512"/>
        <w:gridCol w:w="199"/>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Neptune Flood Incorporated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NBH Group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19,651</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NORA Acquisition,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Omnia Exterior Solutions,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6,403</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Omnia Exterior Solutions, LLC - Unfunded Term Loan 1</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Omnia Exterior Solutions, LLC - Unfunded Term Loan 2</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Omnia Exterior Solutions,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8,493</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Acquisition,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4,154</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Acquisition,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OSP Embedded Purchaser,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12,674</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OSP Embedded Purchaser,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 - First-out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 - Last-out Term Loan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05/30/2028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SOFR+668</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SOFR+751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22,452</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Ox Two,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Pacific Purchaser,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4,925</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Pacific Purchaser, LLC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Pacific Purchaser, LLC -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Pequod Merger Sub,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PL Acquisitionco, LLC -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 Unfunded Term Loan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6,497</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Quantic Electronics,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Questex,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6,731</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Questex,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1,408</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Recteq,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Inc. and Dynata,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14,972</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7,856</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Riverpoint Medical,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Riverpoint Medical,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03/10/2025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SOFR+590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15,008</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Rural Sourcing Holdings, Inc. (HPA SPQ Merger Sub,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Sales Benchmark Index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 (Revolver)</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Sargent &amp; Greenleaf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 + 715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14,019</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Schlesinger Global,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1,849</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19,823</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Sigma Defense Systems,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Sigma Defense Systems,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Systems Holding Company</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Systems Holding Company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05/17/2028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2,128</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Smile Brands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Smile Brands Inc. 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4,643</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Solutionreach,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 + 565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2,034</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 (Revolver)</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Spendmend Holdings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4,704</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w:t>
              <w:br/>
              <w:t>    (f/k/a Management Consulting &amp; Research,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18,216</w:t>
            </w:r>
          </w:p>
        </w:tc>
        <w:tc>
          <w:tcPr>
            <w:tcW w:w="199"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145"/>
        <w:gridCol w:w="146"/>
        <w:gridCol w:w="181"/>
        <w:gridCol w:w="434"/>
        <w:gridCol w:w="146"/>
        <w:gridCol w:w="146"/>
        <w:gridCol w:w="1920"/>
        <w:gridCol w:w="146"/>
        <w:gridCol w:w="151"/>
        <w:gridCol w:w="390"/>
        <w:gridCol w:w="211"/>
        <w:gridCol w:w="196"/>
        <w:gridCol w:w="212"/>
        <w:gridCol w:w="506"/>
        <w:gridCol w:w="146"/>
        <w:gridCol w:w="146"/>
        <w:gridCol w:w="146"/>
        <w:gridCol w:w="586"/>
        <w:gridCol w:w="146"/>
        <w:gridCol w:w="146"/>
        <w:gridCol w:w="166"/>
        <w:gridCol w:w="496"/>
        <w:gridCol w:w="146"/>
        <w:gridCol w:w="146"/>
        <w:gridCol w:w="182"/>
        <w:gridCol w:w="547"/>
        <w:gridCol w:w="276"/>
      </w:tblGrid>
      <w:tr>
        <w:trPr/>
        <w:tc>
          <w:tcPr>
            <w:tcW w:w="2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System Planning and Analysis, Inc. (Revolver) </w:t>
            </w:r>
            <w:r>
              <w:rPr>
                <w:rFonts w:ascii="Times New Roman" w:hAnsi="Times New Roman"/>
                <w:color w:val="000000"/>
                <w:sz w:val="8"/>
              </w:rPr>
              <w:t>(9)</w:t>
            </w:r>
            <w:r>
              <w:rPr>
                <w:rFonts w:ascii="Times New Roman" w:hAnsi="Times New Roman"/>
                <w:color w:val="000000"/>
                <w:sz w:val="12"/>
              </w:rPr>
              <w:br/>
              <w:t>   (f/k/a Management Consulting &amp; Research,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S101 Holdings,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7,625</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S101 Holdings, Inc. - Unfunded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S101 Holdings, Inc. - Unfunded Term Loan 2</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5,704</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07/28/2026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Bluebird Group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07/28/2026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Plimpton &amp; Hills Corporation</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11/07/2029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16,771</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Plimpton &amp; Hills Corporation - Unfunded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11/07/2025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Vertex Companies,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 (Revolver)</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Vertex Companies,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Canada Parent, Inc. and TPC US Parent, LLC </w:t>
            </w:r>
            <w:r>
              <w:rPr>
                <w:rFonts w:ascii="Times New Roman" w:hAnsi="Times New Roman"/>
                <w:color w:val="000000"/>
                <w:sz w:val="8"/>
              </w:rPr>
              <w:t>(5), (10)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4,752</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TransGo,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39,400</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TransGo,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TWS Acquisition Corporation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Tyto Athene,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Tyto Athene,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LLC -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3,947</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Unfunded Term Loan</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Funded Junior Revolver</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Watchtower Intermediate,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18,865</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Watchtower Intermediate, LLC - Unfunded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Watchtower Intermediate, LLC - Funded Revolver</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Watchtower Intermediate,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12,499</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 - Unfunded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Buyerco,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12,951</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850,023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Debt—0.0%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9" w:type="dxa"/>
            <w:gridSpan w:val="2"/>
            <w:tcBorders/>
            <w:shd w:fill="CCECFF" w:val="clear"/>
            <w:vAlign w:val="center"/>
          </w:tcPr>
          <w:p>
            <w:pPr>
              <w:pStyle w:val="TableContents"/>
              <w:bidi w:val="0"/>
              <w:spacing w:before="0" w:after="283"/>
              <w:jc w:val="left"/>
              <w:rPr/>
            </w:pPr>
            <w:r>
              <w:rPr/>
              <w:t> </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Mailsouth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and Publishing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QuantiTech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SOFR+1,010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Preferred Equity— 2.0%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9"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Holdings,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(Preferred)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2,133</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Lash Coinvest LLC (Preferred)</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1,843</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Schlesinger Coinvest LLC (Preferred Equity)</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1,236,027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Magnolia Topco LP - Class A Preferred Equity</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Magnolia Topco LP - Class B Preferred Equity</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Mars Intermediate Holdings II,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NXOF Holdings, Inc. (Tyto Athene,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Holdco,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 (Preferred Equity)</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CR Intermediate Holdco,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Holding Company, LP </w:t>
            </w:r>
            <w:r>
              <w:rPr>
                <w:rFonts w:ascii="Times New Roman" w:hAnsi="Times New Roman"/>
                <w:color w:val="000000"/>
                <w:sz w:val="8"/>
              </w:rPr>
              <w:t>(5), (7), (10)</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TWD Parent Holdings, LLC (The Vertex Companies,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UniTek Global Services, Inc.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145"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Super Senior Preferred Equity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9"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UniTek Global Services, Inc. - Senior Preferred Equity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UniTek Global Services,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1,047,317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Equity/Warrants— 16.9%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9"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Equity,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647,943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718</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Holdings,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Affinion Group Holdings, Inc. (Warrants)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AFC Acquisitions, Inc.</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1,262,252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Aftermarket Drivetrain Products Holdings,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(7), (8), (9)</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Altamira Intermediate Company II,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Athletico Holdings, LLC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4,838</w:t>
            </w:r>
          </w:p>
        </w:tc>
        <w:tc>
          <w:tcPr>
            <w:tcW w:w="276"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519"/>
        <w:gridCol w:w="146"/>
        <w:gridCol w:w="173"/>
        <w:gridCol w:w="413"/>
        <w:gridCol w:w="146"/>
        <w:gridCol w:w="146"/>
        <w:gridCol w:w="1852"/>
        <w:gridCol w:w="146"/>
        <w:gridCol w:w="160"/>
        <w:gridCol w:w="381"/>
        <w:gridCol w:w="146"/>
        <w:gridCol w:w="146"/>
        <w:gridCol w:w="172"/>
        <w:gridCol w:w="410"/>
        <w:gridCol w:w="146"/>
        <w:gridCol w:w="146"/>
        <w:gridCol w:w="146"/>
        <w:gridCol w:w="646"/>
        <w:gridCol w:w="146"/>
        <w:gridCol w:w="146"/>
        <w:gridCol w:w="166"/>
        <w:gridCol w:w="436"/>
        <w:gridCol w:w="146"/>
        <w:gridCol w:w="146"/>
        <w:gridCol w:w="194"/>
        <w:gridCol w:w="510"/>
        <w:gridCol w:w="275"/>
      </w:tblGrid>
      <w:tr>
        <w:trPr/>
        <w:tc>
          <w:tcPr>
            <w:tcW w:w="2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Holdings, LP</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1,449</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Holdings,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Components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By Light Investco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10,924</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Carisk Parent,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Connatix Parent,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Consello Pacific Aggregator, LLC</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Crane 1 Acquisition Parent Holdings,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Delta InvestCo LP (Sigma Defense Systems,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Delta InvestCo LP (Sigma Defense Systems, LLC) </w:t>
            </w:r>
            <w:r>
              <w:rPr>
                <w:rFonts w:ascii="Times New Roman" w:hAnsi="Times New Roman"/>
                <w:color w:val="000000"/>
                <w:sz w:val="8"/>
              </w:rPr>
              <w:t>(7), (8),(9)</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eCommission Holding Corporation </w:t>
            </w:r>
            <w:r>
              <w:rPr>
                <w:rFonts w:ascii="Times New Roman" w:hAnsi="Times New Roman"/>
                <w:color w:val="000000"/>
                <w:sz w:val="8"/>
              </w:rPr>
              <w:t>(7), (10)</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Topco, LP</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LLC</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2,372</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(7),(8),(9)</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Parent Holdings,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655,714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Gauge Lash Coinvest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1,485,953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7,203</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Loving Tan,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2,481,781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2,111</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Gauge Schlesinger Coinvest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GCOM InvestCo LP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4,276</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GMP Hills, L.P.</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4,430,843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4,431</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Go Dawgs Capital III,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779</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519"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(American Insulated Glass,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Claims Consultants Investors,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HPA SPQ Aggregator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Icon Partners V C,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1,870,915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1,767</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Icon Partners V C, L.P.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629,085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IIN Group Holdings, LLC</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519"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(Integrative Nutrition,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 (Common)</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1,236,027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IHS Parent Holdngs,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Ironclad Holdco, LLC (Applied Technical Services,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ITC Infusion Co-invest, LP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1,377</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ITC Rumba, LLC (Cano Health, LLC)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Kentucky Racing Holdco, LLC</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1,734,775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2,175</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KL Stockton Co-Invest LP (Any Hour Services) </w:t>
            </w:r>
            <w:r>
              <w:rPr>
                <w:rFonts w:ascii="Times New Roman" w:hAnsi="Times New Roman"/>
                <w:color w:val="000000"/>
                <w:sz w:val="8"/>
              </w:rPr>
              <w:t>(7),(8)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Energy Equipment and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Lightspeed Investment Holdco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585,587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1,638,043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1,671</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2,062</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Magnolia Topco LP - Class A Common Equity</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Magnolia Topco LP - Class B Common Equity</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Mars Intermediate Holdings II,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Aggregator, LP</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956</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Title, LLC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MSpark,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and Publishing</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2,565</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NEPRT Parent Holdings, LLC (Recteq,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New Medina Health, LLC</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2,672,646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2,673</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NORA Parent Holdings, LLC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North Haven Saints Equity Holdings, LP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NXOF Holdings, Inc. (Tyto Athene,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OceanSound Discovery Equity, LP (Holdco Sands Intermediate,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4,584</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OHCP V BC COI, L.P.</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1,152,777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OHCP V BC COI,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Holdco,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OSP Embedded Aggregator, LP</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1,727,679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PennantPark-TSO Senior Loan Fund, LP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11,167,847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9,629</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LEP Pequod Holdings, LP</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Pink Lily Holdco, LLC (PL Acquisitions, LLC)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Quad (U.S.) Co-Invest, L.P.</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QuantiTech InvestCo LP </w:t>
            </w:r>
            <w:r>
              <w:rPr>
                <w:rFonts w:ascii="Times New Roman" w:hAnsi="Times New Roman"/>
                <w:color w:val="000000"/>
                <w:sz w:val="8"/>
              </w:rPr>
              <w:t>(7), (8), (9)</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QuantiTech InvestCo II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RFMG Parent, LP (Rancho Health MSO,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SBI Holdings Investments LLC (Sales Benchmark Index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Topco, LP</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CR Intermediate Holdco,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1,837</w:t>
            </w:r>
          </w:p>
        </w:tc>
        <w:tc>
          <w:tcPr>
            <w:tcW w:w="275" w:type="dxa"/>
            <w:tcBorders/>
            <w:shd w:fill="CCECFF"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 L2 Holdings, LLC (Ledge Lounger, Inc.)</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w:t>
            </w:r>
          </w:p>
        </w:tc>
        <w:tc>
          <w:tcPr>
            <w:tcW w:w="275" w:type="dxa"/>
            <w:tcBorders/>
            <w:shd w:fill="FFFFFF" w:val="clear"/>
            <w:vAlign w:val="center"/>
          </w:tcPr>
          <w:p>
            <w:pPr>
              <w:pStyle w:val="TableContents"/>
              <w:bidi w:val="0"/>
              <w:spacing w:before="0" w:after="283"/>
              <w:jc w:val="left"/>
              <w:rPr/>
            </w:pPr>
            <w:r>
              <w:rPr/>
              <w:t> </w:t>
            </w:r>
          </w:p>
        </w:tc>
      </w:tr>
      <w:tr>
        <w:trPr/>
        <w:tc>
          <w:tcPr>
            <w:tcW w:w="25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SSC Dominion Holdings, LLC</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2" w:type="dxa"/>
            <w:tcBorders/>
            <w:shd w:fill="CCECFF" w:val="clear"/>
            <w:vAlign w:val="center"/>
          </w:tcPr>
          <w:p>
            <w:pPr>
              <w:pStyle w:val="TableContents"/>
              <w:bidi w:val="0"/>
              <w:spacing w:before="0" w:after="283"/>
              <w:jc w:val="left"/>
              <w:rPr/>
            </w:pPr>
            <w:r>
              <w:rPr/>
              <w:t> </w:t>
            </w:r>
          </w:p>
        </w:tc>
        <w:tc>
          <w:tcPr>
            <w:tcW w:w="41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51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818</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519"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Class B (US Dominion,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586"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5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04"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9"/>
        <w:gridCol w:w="146"/>
        <w:gridCol w:w="181"/>
        <w:gridCol w:w="434"/>
        <w:gridCol w:w="146"/>
        <w:gridCol w:w="146"/>
        <w:gridCol w:w="1915"/>
        <w:gridCol w:w="146"/>
        <w:gridCol w:w="151"/>
        <w:gridCol w:w="390"/>
        <w:gridCol w:w="211"/>
        <w:gridCol w:w="146"/>
        <w:gridCol w:w="198"/>
        <w:gridCol w:w="473"/>
        <w:gridCol w:w="146"/>
        <w:gridCol w:w="146"/>
        <w:gridCol w:w="146"/>
        <w:gridCol w:w="586"/>
        <w:gridCol w:w="146"/>
        <w:gridCol w:w="146"/>
        <w:gridCol w:w="166"/>
        <w:gridCol w:w="586"/>
        <w:gridCol w:w="146"/>
        <w:gridCol w:w="146"/>
        <w:gridCol w:w="170"/>
        <w:gridCol w:w="603"/>
        <w:gridCol w:w="200"/>
      </w:tblGrid>
      <w:tr>
        <w:trPr/>
        <w:tc>
          <w:tcPr>
            <w:tcW w:w="2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StellPen Holdings, LLC (CF512,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SV Aero Holdings, LLC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605</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TAC LifePort Holdings, LLC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976</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Tower Arch Infolinks Media, LP (Infolinks Media Buyco, LLC)</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Tower Arch Infolinks Media, LP (Infolinks Media Buyco, LLC)</w:t>
            </w:r>
            <w:r>
              <w:rPr>
                <w:rFonts w:ascii="Times New Roman" w:hAnsi="Times New Roman"/>
                <w:color w:val="000000"/>
                <w:sz w:val="8"/>
              </w:rPr>
              <w:t>(8) (9)</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Holding Company, LP </w:t>
            </w:r>
            <w:r>
              <w:rPr>
                <w:rFonts w:ascii="Times New Roman" w:hAnsi="Times New Roman"/>
                <w:color w:val="000000"/>
                <w:sz w:val="8"/>
              </w:rPr>
              <w:t>(5), (7), (10)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TWD Parent Holdings, LLC (The Vertex Companies,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UniTek Global Services, Inc.(C)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UniTek Global Services, Inc. (W)</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UniVista Insurance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Partners Co., L.P.</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694,444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Holdco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Watchtower Holdings, LLC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1,241,935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1,261</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WCP IvyRehab QP CF Feeder, LP</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4,071</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WCP IvyRehab QP CF Feeder, LP </w:t>
            </w:r>
            <w:r>
              <w:rPr>
                <w:rFonts w:ascii="Times New Roman" w:hAnsi="Times New Roman"/>
                <w:color w:val="000000"/>
                <w:sz w:val="8"/>
              </w:rPr>
              <w:t>(8), (9)</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Parent, LP (Wildcat Buyerco,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Equity/Warrants</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90,895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111,192</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157"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Non-Affiliated Portfolio Companies</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974,595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7" w:type="dxa"/>
            <w:gridSpan w:val="7"/>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Controlled, Affiliated Portfolio Companies—45.0% </w:t>
            </w:r>
            <w:r>
              <w:rPr>
                <w:rFonts w:ascii="Times New Roman" w:hAnsi="Times New Roman"/>
                <w:b/>
                <w:color w:val="000000"/>
                <w:sz w:val="8"/>
              </w:rPr>
              <w:t>(3), (4)</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73"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Debt—36.5%</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3"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Marketplace Events, LLC - Super Priority First Lien Term Loan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Marketplace Events, LLC - Super Priority First Lien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26,771</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Secured Loan Fund I LLC </w:t>
            </w:r>
            <w:r>
              <w:rPr>
                <w:rFonts w:ascii="Times New Roman" w:hAnsi="Times New Roman"/>
                <w:color w:val="000000"/>
                <w:sz w:val="8"/>
              </w:rPr>
              <w:t>(7),</w:t>
            </w:r>
            <w:r>
              <w:rPr>
                <w:rFonts w:ascii="Times New Roman" w:hAnsi="Times New Roman"/>
                <w:color w:val="000000"/>
                <w:sz w:val="12"/>
              </w:rPr>
              <w:t xml:space="preserve"> </w:t>
            </w:r>
            <w:r>
              <w:rPr>
                <w:rFonts w:ascii="Times New Roman" w:hAnsi="Times New Roman"/>
                <w:color w:val="000000"/>
                <w:sz w:val="8"/>
              </w:rPr>
              <w:t>(9), (10)</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05/06/2024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234,994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240,441</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Equity Interests—8.5%</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3"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New MPE Holdings, LLC (Marketplace Events, LLC)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0" w:type="dxa"/>
            <w:tcBorders/>
            <w:shd w:fill="CCECFF" w:val="clear"/>
            <w:vAlign w:val="center"/>
          </w:tcPr>
          <w:p>
            <w:pPr>
              <w:pStyle w:val="TableContents"/>
              <w:bidi w:val="0"/>
              <w:spacing w:before="0" w:after="283"/>
              <w:jc w:val="left"/>
              <w:rPr/>
            </w:pPr>
            <w:r>
              <w:rPr/>
              <w:t> </w:t>
            </w:r>
          </w:p>
        </w:tc>
        <w:tc>
          <w:tcPr>
            <w:tcW w:w="60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3,762</w:t>
            </w:r>
          </w:p>
        </w:tc>
        <w:tc>
          <w:tcPr>
            <w:tcW w:w="200" w:type="dxa"/>
            <w:tcBorders/>
            <w:shd w:fill="CCECFF" w:val="cle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Secured Loan Fund I LLC </w:t>
            </w:r>
            <w:r>
              <w:rPr>
                <w:rFonts w:ascii="Times New Roman" w:hAnsi="Times New Roman"/>
                <w:color w:val="000000"/>
                <w:sz w:val="8"/>
              </w:rPr>
              <w:t>(7), (9), (10)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52,129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Equity Interests</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90,038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55,891</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157"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296,332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7" w:type="dxa"/>
            <w:gridSpan w:val="7"/>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Investments—193.1%</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1,290,478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1,270,927</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Equivalents—11.5%</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3"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Market - 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75,809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75,826</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Equivalents—204.7%</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1,366,287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1,346,753</w:t>
            </w:r>
          </w:p>
        </w:tc>
        <w:tc>
          <w:tcPr>
            <w:tcW w:w="2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Assets—(104.7)%</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(688,740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8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Assets—100.0%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658,013</w:t>
            </w:r>
          </w:p>
        </w:tc>
        <w:tc>
          <w:tcPr>
            <w:tcW w:w="2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color w:val="000000"/>
        </w:rPr>
      </w:pPr>
      <w:r>
        <w:rPr>
          <w:color w:val="000000"/>
        </w:rPr>
        <w:t>—————</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(1)</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(2)</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Valued based on our accounting policy. The value of all securities was determined using significant unobservable inputs.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(3)</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(4)</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(5)</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Non-U.S. company or principal place of business outside the United States.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(6)</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Non-income producing securities.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(7)</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securities, or a portion thereof, are not 1) pledged as collateral under the Credit Facility and held through Funding I; or, 2) securing the 2031 Asset-Backed Debt and held through PennantPark CLO I, Ltd.</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(8)</w:t>
      </w:r>
    </w:p>
    <w:p>
      <w:pPr>
        <w:pStyle w:val="TextBody"/>
        <w:bidi w:val="0"/>
        <w:spacing w:before="0" w:after="0"/>
        <w:jc w:val="left"/>
        <w:rPr/>
      </w:pPr>
      <w:r>
        <w:rPr>
          <w:rFonts w:ascii="Times New Roman" w:hAnsi="Times New Roman"/>
          <w:color w:val="000000"/>
          <w:sz w:val="13"/>
        </w:rPr>
        <w:t>Investment is held through our Taxable Subsidiary.</w:t>
      </w:r>
      <w:r>
        <w:rPr>
          <w:color w:val="000000"/>
        </w:rPr>
        <w:t xml:space="preserve"> </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(9)</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(10)</w:t>
      </w:r>
    </w:p>
    <w:p>
      <w:pPr>
        <w:pStyle w:val="TextBody"/>
        <w:bidi w:val="0"/>
        <w:jc w:val="left"/>
        <w:rPr>
          <w:rFonts w:ascii="Times New Roman" w:hAnsi="Times New Roman"/>
          <w:color w:val="000000"/>
          <w:sz w:val="13"/>
        </w:rPr>
      </w:pPr>
      <w:r>
        <w:rPr>
          <w:rFonts w:ascii="Times New Roman" w:hAnsi="Times New Roman"/>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80% of our total assets and non-qualifying assets represent 20% of our total assets.</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0"/>
        <w:gridCol w:w="146"/>
        <w:gridCol w:w="623"/>
        <w:gridCol w:w="146"/>
        <w:gridCol w:w="1989"/>
        <w:gridCol w:w="146"/>
        <w:gridCol w:w="185"/>
        <w:gridCol w:w="478"/>
        <w:gridCol w:w="211"/>
        <w:gridCol w:w="146"/>
        <w:gridCol w:w="210"/>
        <w:gridCol w:w="502"/>
        <w:gridCol w:w="146"/>
        <w:gridCol w:w="146"/>
        <w:gridCol w:w="146"/>
        <w:gridCol w:w="436"/>
        <w:gridCol w:w="146"/>
        <w:gridCol w:w="146"/>
        <w:gridCol w:w="166"/>
        <w:gridCol w:w="436"/>
        <w:gridCol w:w="146"/>
        <w:gridCol w:w="146"/>
        <w:gridCol w:w="199"/>
        <w:gridCol w:w="524"/>
        <w:gridCol w:w="200"/>
      </w:tblGrid>
      <w:tr>
        <w:trPr/>
        <w:tc>
          <w:tcPr>
            <w:tcW w:w="2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4" w:type="dxa"/>
            <w:gridSpan w:val="5"/>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Non-Affiliated Portfolio Companies—118.1% </w:t>
            </w:r>
            <w:r>
              <w:rPr>
                <w:rFonts w:ascii="Times New Roman" w:hAnsi="Times New Roman"/>
                <w:b/>
                <w:color w:val="000000"/>
                <w:sz w:val="8"/>
              </w:rPr>
              <w:t>(3), (4)</w:t>
            </w:r>
          </w:p>
        </w:tc>
        <w:tc>
          <w:tcPr>
            <w:tcW w:w="146" w:type="dxa"/>
            <w:tcBorders/>
            <w:shd w:fill="CCECFF" w:val="clear"/>
            <w:vAlign w:val="center"/>
          </w:tcPr>
          <w:p>
            <w:pPr>
              <w:pStyle w:val="TableContents"/>
              <w:bidi w:val="0"/>
              <w:spacing w:before="0" w:after="283"/>
              <w:jc w:val="left"/>
              <w:rPr/>
            </w:pPr>
            <w:r>
              <w:rPr/>
              <w:t> </w:t>
            </w:r>
          </w:p>
        </w:tc>
        <w:tc>
          <w:tcPr>
            <w:tcW w:w="663"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3" w:type="dxa"/>
            <w:gridSpan w:val="2"/>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Debt—101.9%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1,512</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 - Unfunded Term Loan</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A1 Garage Merger Sub, LLC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Acquisition,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Acquisition,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Amsive Holding Corporation (f/k/a Vision Purchaser Corporation)</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06/10/2025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13,749</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13,545</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 - Incremental Term Loan</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2,184</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LLC (f/k/a MeritDirect,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Energy Equipment and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6,267</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Any Hour Services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Energy Equipment and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6,145</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B</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12,793</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Apex Service Partners,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Apex Service Partners,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8,714</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(Unfunded Term Loan)</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08/03/2029</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6,461</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Arcfield Acquisition Corp.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08/04/2028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07/01/2029</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BioDerm,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BioDerm,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 - Unfunded Term Loan</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Blackhawk Industrial Distribution,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Blackhawk Industrial Distribution, Inc.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3,324</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By Light Professional IT Services,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05/16/2025</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25,224</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By Light Professional IT Services, LLC (Revolver) </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05/16/2025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Cadence Aerospace,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11/14/2023</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9.50%)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13,076</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(Revolver) </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5,860</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CF512,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 Holdings, Inc.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04/10/2025</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Industries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1,564</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Challenger Performance Optimization, Inc.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08/31/2024</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L+675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Compex Legal Services, Inc.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02/09/2026</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8,925</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Compex Legal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Compex Legal Services,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07/13/2027</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3,681</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Connatix Buyer, Inc.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07/13/2027</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Crane 1 Services,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Crane 1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4,383</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Dr. Squatch,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16,070</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DRS Holdings III,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06/30/2024</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ECL Entertainment, LLC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08/31/2030</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4,985</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eCommission Financial Services, Inc. </w:t>
            </w:r>
            <w:r>
              <w:rPr>
                <w:rFonts w:ascii="Times New Roman" w:hAnsi="Times New Roman"/>
                <w:color w:val="000000"/>
                <w:sz w:val="8"/>
              </w:rPr>
              <w:t>(10)</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10/05/2023</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4,599</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eCommission Financial Services, Inc. (Revolver) </w:t>
            </w:r>
            <w:r>
              <w:rPr>
                <w:rFonts w:ascii="Times New Roman" w:hAnsi="Times New Roman"/>
                <w:color w:val="000000"/>
                <w:sz w:val="8"/>
              </w:rPr>
              <w:t>(7), (9), (10)</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10/05/2023</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 - Unfunded Term Loan</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01/10/2029</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EDS Buyer,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01/10/2029</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Efficient Collaborative Retail Marketing Company, LLC</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06/15/2024</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5,352</w:t>
            </w:r>
          </w:p>
        </w:tc>
        <w:tc>
          <w:tcPr>
            <w:tcW w:w="200" w:type="dxa"/>
            <w:tcBorders/>
            <w:shd w:fill="FFFFFF" w:val="clear"/>
            <w:vAlign w:val="center"/>
          </w:tcPr>
          <w:p>
            <w:pPr>
              <w:pStyle w:val="TableContents"/>
              <w:bidi w:val="0"/>
              <w:spacing w:before="0" w:after="283"/>
              <w:jc w:val="left"/>
              <w:rPr/>
            </w:pPr>
            <w:r>
              <w:rPr/>
              <w:t> </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ETE Intermediate II,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05/25/2029</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Exigo Intermediate II,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200" w:type="dxa"/>
            <w:tcBorders/>
            <w:shd w:fill="CCEC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 - DDTL B Unfunded</w:t>
            </w:r>
          </w:p>
        </w:tc>
        <w:tc>
          <w:tcPr>
            <w:tcW w:w="146"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4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Five Star Buyer,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198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50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52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9"/>
        <w:gridCol w:w="146"/>
        <w:gridCol w:w="624"/>
        <w:gridCol w:w="146"/>
        <w:gridCol w:w="2012"/>
        <w:gridCol w:w="146"/>
        <w:gridCol w:w="185"/>
        <w:gridCol w:w="480"/>
        <w:gridCol w:w="211"/>
        <w:gridCol w:w="146"/>
        <w:gridCol w:w="223"/>
        <w:gridCol w:w="532"/>
        <w:gridCol w:w="146"/>
        <w:gridCol w:w="146"/>
        <w:gridCol w:w="146"/>
        <w:gridCol w:w="436"/>
        <w:gridCol w:w="146"/>
        <w:gridCol w:w="146"/>
        <w:gridCol w:w="166"/>
        <w:gridCol w:w="436"/>
        <w:gridCol w:w="146"/>
        <w:gridCol w:w="146"/>
        <w:gridCol w:w="200"/>
        <w:gridCol w:w="526"/>
        <w:gridCol w:w="199"/>
      </w:tblGrid>
      <w:tr>
        <w:trPr/>
        <w:tc>
          <w:tcPr>
            <w:tcW w:w="2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 - Promissory Note</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05/19/2029</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3,115</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Graffiti Buyer, Inc.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Graffiti Buyer,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Graffiti Buyer,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4,068</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Roofing and Construction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Roofing and Construction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Holdco Sands Intermediate,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8,865</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 (Revolver)</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HW Holdco,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IG Investments Holdings,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09/22/2028</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4,362</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IG Investments Holdings,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14,803</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 - Unfunded Term Loan</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12/28/2023</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Infinity Home Services Holdco,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3,178</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 Unfunded Term Loan</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11/01/2023</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Integrated Data Services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08/01/2029</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Integrative Nutrition,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01/31/2025</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14,590</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15,509</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 - Unfunded Term Loan</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08/31/2025</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Integrity Marketing Acquisition,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 (Revolver)</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ITI Holdings,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SOFR+761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Inventus Power,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K2 Pure Solutions NoCal, L.P.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16,995</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Kinetic Purchaser, LLC -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10,300</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Lash OpCo,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2,065</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Lash OpCo,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10/31/2024</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7,454</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5.50%)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LAV Gear Holdings,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10/31/2024</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6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5.50%)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6"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Ledge Lounger,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3,663</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Ledge Lounger,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22,317</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Lightspeed Buyer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02/01/2030</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 - Unfunded Term Loan</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07/31/2024</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LJ Avalon Holdings, LLC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01/31/2030</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18,974</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 (Revolver)</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Loving Tan Intermediate II, Inc. (Revolver)</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Lucky Bucks, LLC </w:t>
            </w:r>
            <w:r>
              <w:rPr>
                <w:rFonts w:ascii="Times New Roman" w:hAnsi="Times New Roman"/>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DIP</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10/20/2023</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SOFR+1000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3,481</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8,640</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Mars Acquisition Holdings Corp. (Revolver)</w:t>
            </w:r>
            <w:r>
              <w:rPr>
                <w:rFonts w:ascii="Times New Roman" w:hAnsi="Times New Roman"/>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 (Revolver)</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MBS Holdings, Inc. (Revolver)</w:t>
            </w:r>
            <w:r>
              <w:rPr>
                <w:rFonts w:ascii="Times New Roman" w:hAnsi="Times New Roman"/>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MDI Buyer,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MDI Buyer,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1,929</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Acquirer, LLC - Term Loan I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Acquirer, LLC - Term Loan II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Acquirer,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Mission Critical Electronics, Inc.</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 +515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3,553</w:t>
            </w:r>
          </w:p>
        </w:tc>
        <w:tc>
          <w:tcPr>
            <w:tcW w:w="199" w:type="dxa"/>
            <w:tcBorders/>
            <w:shd w:fill="FFFFFF" w:val="clear"/>
            <w:vAlign w:val="center"/>
          </w:tcPr>
          <w:p>
            <w:pPr>
              <w:pStyle w:val="TableContents"/>
              <w:bidi w:val="0"/>
              <w:spacing w:before="0" w:after="283"/>
              <w:jc w:val="left"/>
              <w:rPr/>
            </w:pPr>
            <w:r>
              <w:rPr/>
              <w:t> </w:t>
            </w:r>
          </w:p>
        </w:tc>
      </w:tr>
      <w:tr>
        <w:trPr/>
        <w:tc>
          <w:tcPr>
            <w:tcW w:w="236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Mission Critical Electronics, Inc.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Mission Critical Electronics,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10/01/2027</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5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199" w:type="dxa"/>
            <w:tcBorders/>
            <w:shd w:fill="CCECFF" w:val="clear"/>
            <w:vAlign w:val="center"/>
          </w:tcPr>
          <w:p>
            <w:pPr>
              <w:pStyle w:val="TableContents"/>
              <w:bidi w:val="0"/>
              <w:spacing w:before="0" w:after="283"/>
              <w:jc w:val="left"/>
              <w:rPr/>
            </w:pPr>
            <w:r>
              <w:rPr/>
              <w:t> </w:t>
            </w:r>
          </w:p>
        </w:tc>
      </w:tr>
      <w:tr>
        <w:trPr/>
        <w:tc>
          <w:tcPr>
            <w:tcW w:w="23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A</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06/16/2023</w:t>
            </w:r>
          </w:p>
        </w:tc>
        <w:tc>
          <w:tcPr>
            <w:tcW w:w="146"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B</w:t>
            </w:r>
          </w:p>
        </w:tc>
        <w:tc>
          <w:tcPr>
            <w:tcW w:w="146" w:type="dxa"/>
            <w:tcBorders/>
            <w:shd w:fill="CCECFF" w:val="clear"/>
            <w:vAlign w:val="center"/>
          </w:tcPr>
          <w:p>
            <w:pPr>
              <w:pStyle w:val="TableContents"/>
              <w:bidi w:val="0"/>
              <w:spacing w:before="0" w:after="283"/>
              <w:jc w:val="left"/>
              <w:rPr/>
            </w:pPr>
            <w:r>
              <w:rPr/>
              <w:t> </w:t>
            </w:r>
          </w:p>
        </w:tc>
        <w:tc>
          <w:tcPr>
            <w:tcW w:w="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12/16/2024</w:t>
            </w:r>
          </w:p>
        </w:tc>
        <w:tc>
          <w:tcPr>
            <w:tcW w:w="146" w:type="dxa"/>
            <w:tcBorders/>
            <w:shd w:fill="CCECFF" w:val="clear"/>
            <w:vAlign w:val="center"/>
          </w:tcPr>
          <w:p>
            <w:pPr>
              <w:pStyle w:val="TableContents"/>
              <w:bidi w:val="0"/>
              <w:spacing w:before="0" w:after="283"/>
              <w:jc w:val="left"/>
              <w:rPr/>
            </w:pPr>
            <w:r>
              <w:rPr/>
              <w:t> </w:t>
            </w:r>
          </w:p>
        </w:tc>
        <w:tc>
          <w:tcPr>
            <w:tcW w:w="201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691"/>
        <w:gridCol w:w="146"/>
        <w:gridCol w:w="618"/>
        <w:gridCol w:w="146"/>
        <w:gridCol w:w="1877"/>
        <w:gridCol w:w="146"/>
        <w:gridCol w:w="151"/>
        <w:gridCol w:w="390"/>
        <w:gridCol w:w="211"/>
        <w:gridCol w:w="146"/>
        <w:gridCol w:w="212"/>
        <w:gridCol w:w="505"/>
        <w:gridCol w:w="146"/>
        <w:gridCol w:w="146"/>
        <w:gridCol w:w="146"/>
        <w:gridCol w:w="436"/>
        <w:gridCol w:w="146"/>
        <w:gridCol w:w="146"/>
        <w:gridCol w:w="166"/>
        <w:gridCol w:w="436"/>
        <w:gridCol w:w="146"/>
        <w:gridCol w:w="146"/>
        <w:gridCol w:w="195"/>
        <w:gridCol w:w="512"/>
        <w:gridCol w:w="199"/>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 - Revolver Unfunded</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NBH Group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40,659</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NORA Acquisition,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8,516</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Acquisition,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6M SOFR+725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4,459</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Acquisition,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Output Services Group, Inc. </w:t>
            </w:r>
            <w:r>
              <w:rPr>
                <w:rFonts w:ascii="Times New Roman" w:hAnsi="Times New Roman"/>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06/27/2026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22,338</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Ox Two,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Pequod Merger Sub,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PL Acquisitionco, LLC -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3,248</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 Unfunded Term Loan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6,547</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Quantic Electronics,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Questex,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6,731</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Questex,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1,419</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Recteq,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Inc. and Dynata,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14,842</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7,828</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Riverpoint Medical,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Riverpoint Medical,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03/10/2025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SOFR+590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15,047</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 - Unfunded Term Loan</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Rural Sourcing Holdings, Inc. (HPA SPQ Merger Sub,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Sales Benchmark Index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3,405</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 (Revolver)</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Sargent &amp; Greenleaf Inc. (Revolver)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 + 715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14,019</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1,446</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Schlesinger Global,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1,863</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10,123</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Sigma Defense Systems,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Sigma Defense Systems,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Systems Holding Company</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L+665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9,708</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Systems Holding Company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05/17/2028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1,355</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Smile Brands Inc. 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01/17/2024</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4,638</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Solutionreach, Inc.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01/17/2024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 + 565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2,016</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 - Unfunded Term Loan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03/01/2024</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Spendmend Holdings LLC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4,657</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w:t>
              <w:br/>
              <w:t>    (f/k/a Management Consulting &amp; Research,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18,171</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System Planning and Analysis, Inc. (Revolver) </w:t>
            </w:r>
            <w:r>
              <w:rPr>
                <w:rFonts w:ascii="Times New Roman" w:hAnsi="Times New Roman"/>
                <w:color w:val="000000"/>
                <w:sz w:val="8"/>
              </w:rPr>
              <w:t>(9)</w:t>
            </w:r>
            <w:r>
              <w:rPr>
                <w:rFonts w:ascii="Times New Roman" w:hAnsi="Times New Roman"/>
                <w:color w:val="000000"/>
                <w:sz w:val="12"/>
              </w:rPr>
              <w:br/>
              <w:t>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07/18/2025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5,725</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Aegis Technologies Group, LLC</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5,340</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07/28/2026</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2,359</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Bluebird Group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07/28/2026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Vertex Companies,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1,961</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 (Revolver)</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Vertex Companies, LLC (Revolver)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Canada Parent, Inc. and TPC US Parent, LLC </w:t>
            </w:r>
            <w:r>
              <w:rPr>
                <w:rFonts w:ascii="Times New Roman" w:hAnsi="Times New Roman"/>
                <w:color w:val="000000"/>
                <w:sz w:val="8"/>
              </w:rPr>
              <w:t>(5), (10)</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4,813</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06/16/2025</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4,316</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TWS Acquisition Corporation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06/16/2025</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6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CCECFF" w:val="clear"/>
            <w:vAlign w:val="center"/>
          </w:tcPr>
          <w:p>
            <w:pPr>
              <w:pStyle w:val="TableContents"/>
              <w:bidi w:val="0"/>
              <w:spacing w:before="0" w:after="283"/>
              <w:jc w:val="left"/>
              <w:rPr/>
            </w:pPr>
            <w:r>
              <w:rPr/>
              <w:t> </w:t>
            </w:r>
          </w:p>
        </w:tc>
        <w:tc>
          <w:tcPr>
            <w:tcW w:w="61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04/01/2028</w:t>
            </w:r>
          </w:p>
        </w:tc>
        <w:tc>
          <w:tcPr>
            <w:tcW w:w="146" w:type="dxa"/>
            <w:tcBorders/>
            <w:shd w:fill="CCECFF" w:val="clear"/>
            <w:vAlign w:val="center"/>
          </w:tcPr>
          <w:p>
            <w:pPr>
              <w:pStyle w:val="TableContents"/>
              <w:bidi w:val="0"/>
              <w:spacing w:before="0" w:after="283"/>
              <w:jc w:val="left"/>
              <w:rPr/>
            </w:pPr>
            <w:r>
              <w:rPr/>
              <w:t> </w:t>
            </w:r>
          </w:p>
        </w:tc>
        <w:tc>
          <w:tcPr>
            <w:tcW w:w="187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c>
          <w:tcPr>
            <w:tcW w:w="51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10,879</w:t>
            </w:r>
          </w:p>
        </w:tc>
        <w:tc>
          <w:tcPr>
            <w:tcW w:w="199" w:type="dxa"/>
            <w:tcBorders/>
            <w:shd w:fill="CCECFF" w:val="cle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Tyto Athene, LLC (Revolver)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04/01/2026</w:t>
            </w:r>
          </w:p>
        </w:tc>
        <w:tc>
          <w:tcPr>
            <w:tcW w:w="146" w:type="dxa"/>
            <w:tcBorders/>
            <w:shd w:fill="FFFFFF" w:val="clear"/>
            <w:vAlign w:val="center"/>
          </w:tcPr>
          <w:p>
            <w:pPr>
              <w:pStyle w:val="TableContents"/>
              <w:bidi w:val="0"/>
              <w:spacing w:before="0" w:after="283"/>
              <w:jc w:val="left"/>
              <w:rPr/>
            </w:pPr>
            <w:r>
              <w:rPr/>
              <w:t> </w:t>
            </w:r>
          </w:p>
        </w:tc>
        <w:tc>
          <w:tcPr>
            <w:tcW w:w="187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45"/>
        <w:gridCol w:w="146"/>
        <w:gridCol w:w="181"/>
        <w:gridCol w:w="434"/>
        <w:gridCol w:w="146"/>
        <w:gridCol w:w="146"/>
        <w:gridCol w:w="1920"/>
        <w:gridCol w:w="146"/>
        <w:gridCol w:w="151"/>
        <w:gridCol w:w="390"/>
        <w:gridCol w:w="211"/>
        <w:gridCol w:w="196"/>
        <w:gridCol w:w="212"/>
        <w:gridCol w:w="506"/>
        <w:gridCol w:w="146"/>
        <w:gridCol w:w="146"/>
        <w:gridCol w:w="146"/>
        <w:gridCol w:w="586"/>
        <w:gridCol w:w="146"/>
        <w:gridCol w:w="146"/>
        <w:gridCol w:w="166"/>
        <w:gridCol w:w="496"/>
        <w:gridCol w:w="146"/>
        <w:gridCol w:w="146"/>
        <w:gridCol w:w="182"/>
        <w:gridCol w:w="547"/>
        <w:gridCol w:w="276"/>
      </w:tblGrid>
      <w:tr>
        <w:trPr/>
        <w:tc>
          <w:tcPr>
            <w:tcW w:w="2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LLC -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Funded Junior Revolver</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Unfunded Term Loan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7,570</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Buyerco, Inc. (Revolver)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12,818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683,940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665,725</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Debt—0.0%</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Mailsouth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and Publishing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(6)</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QuantiTech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SOFR+1,010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Preferred Equity— 1.8%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Holdings,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1,633</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(Preferred)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2,007</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Lash Coinvest LLC (Preferred)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1,319</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Schlesinger Coinvest LLC (Preferred Equity)</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A Preferred Equity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B Preferred Equity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Mars Intermediate Holdings II,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NXOF Holdings, Inc. (Tyto Athene,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Holdco,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 (Preferred Equity)</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CR Intermediate Holdco,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2,158</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Holding Company, LP </w:t>
            </w:r>
            <w:r>
              <w:rPr>
                <w:rFonts w:ascii="Times New Roman" w:hAnsi="Times New Roman"/>
                <w:color w:val="000000"/>
                <w:sz w:val="8"/>
              </w:rPr>
              <w:t>(5), (7), (8), (10)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598</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TWD Parent Holdings, LLC (The Vertex Companies,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UniTek Global Services, Inc.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276" w:type="dxa"/>
            <w:tcBorders/>
            <w:shd w:fill="FFFFFF" w:val="clear"/>
            <w:vAlign w:val="center"/>
          </w:tcPr>
          <w:p>
            <w:pPr>
              <w:pStyle w:val="TableContents"/>
              <w:bidi w:val="0"/>
              <w:spacing w:before="0" w:after="283"/>
              <w:ind w:left="0" w:right="0" w:firstLine="80"/>
              <w:jc w:val="left"/>
              <w:rPr/>
            </w:pPr>
            <w:r>
              <w:rPr/>
              <w:t> </w:t>
            </w:r>
          </w:p>
        </w:tc>
      </w:tr>
      <w:tr>
        <w:trPr/>
        <w:tc>
          <w:tcPr>
            <w:tcW w:w="2145"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Super Senior Preferred Equity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UniTek Global Services, Inc. - Senior Preferred Equity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448,851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UniTek Global Services,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1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11,571</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Equity/Warrants— 14.5%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A1 Garage Equity, LLC</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647,943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Holdings,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Affinion Group Holdings, Inc. (Warrants)</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(7), (8), (9)</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Altamira Intermediate Company II,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Athletico Holdings, LLC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4,516</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Holdings, LP</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1,514</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Holdings,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By Light Investco LP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11,610</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Connatix Parent,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Crane 1 Acquisition Parent Holdings,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Delta InvestCo LP (Sigma Defense Systems,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1,358</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Delta InvestCo LP (Sigma Defense Systems, LLC) </w:t>
            </w:r>
            <w:r>
              <w:rPr>
                <w:rFonts w:ascii="Times New Roman" w:hAnsi="Times New Roman"/>
                <w:color w:val="000000"/>
                <w:sz w:val="8"/>
              </w:rPr>
              <w:t>(7), (8),(9)</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eCommission Holding Corporation </w:t>
            </w:r>
            <w:r>
              <w:rPr>
                <w:rFonts w:ascii="Times New Roman" w:hAnsi="Times New Roman"/>
                <w:color w:val="000000"/>
                <w:sz w:val="8"/>
              </w:rPr>
              <w:t>(7), (10)</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Topco, LP</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3,062</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(7),(8),(9)</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Parent Holdings, LLC</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655,714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Gauge Lash Coinvest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1,485,953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6,810</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Loving Tan,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2,481,781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2,088</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Gauge Schlesinger Coinvest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Gauge TVC Coinvest, LLC (TVC Enterprises,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1,153</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GCOM InvestCo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Go Dawgs Capital III,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w:t>
            </w:r>
          </w:p>
        </w:tc>
        <w:tc>
          <w:tcPr>
            <w:tcW w:w="276" w:type="dxa"/>
            <w:tcBorders/>
            <w:shd w:fill="FFFFFF" w:val="clear"/>
            <w:vAlign w:val="center"/>
          </w:tcPr>
          <w:p>
            <w:pPr>
              <w:pStyle w:val="TableContents"/>
              <w:bidi w:val="0"/>
              <w:spacing w:before="0" w:after="283"/>
              <w:ind w:left="0" w:right="0" w:firstLine="80"/>
              <w:jc w:val="left"/>
              <w:rPr/>
            </w:pPr>
            <w:r>
              <w:rPr/>
              <w:t> </w:t>
            </w:r>
          </w:p>
        </w:tc>
      </w:tr>
      <w:tr>
        <w:trPr/>
        <w:tc>
          <w:tcPr>
            <w:tcW w:w="2145"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(American Insulated Glass,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Claims Consultants Investors,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HPA SPQ Aggregator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Icon Partners V C,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1,863,863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1,671</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Icon Partners V C, L.P.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636,137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IIN Group Holdings,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ind w:left="0" w:right="0" w:firstLine="80"/>
              <w:jc w:val="left"/>
              <w:rPr/>
            </w:pPr>
            <w:r>
              <w:rPr/>
              <w:t> </w:t>
            </w:r>
          </w:p>
        </w:tc>
      </w:tr>
      <w:tr>
        <w:trPr/>
        <w:tc>
          <w:tcPr>
            <w:tcW w:w="2145"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(Integrative Nutrition, LLC)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 (Common)</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1,236,027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IHS Parent Holdngs, L.P.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1,642</w:t>
            </w:r>
          </w:p>
        </w:tc>
        <w:tc>
          <w:tcPr>
            <w:tcW w:w="276" w:type="dxa"/>
            <w:tcBorders/>
            <w:shd w:fill="FFFFFF" w:val="clear"/>
            <w:vAlign w:val="center"/>
          </w:tcPr>
          <w:p>
            <w:pPr>
              <w:pStyle w:val="TableContents"/>
              <w:bidi w:val="0"/>
              <w:spacing w:before="0" w:after="283"/>
              <w:jc w:val="left"/>
              <w:rPr/>
            </w:pPr>
            <w:r>
              <w:rPr/>
              <w:t> </w:t>
            </w:r>
          </w:p>
        </w:tc>
      </w:tr>
      <w:tr>
        <w:trPr/>
        <w:tc>
          <w:tcPr>
            <w:tcW w:w="214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Ironclad Holdco, LLC (Applied Technical Services,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54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w:t>
            </w:r>
          </w:p>
        </w:tc>
        <w:tc>
          <w:tcPr>
            <w:tcW w:w="276" w:type="dxa"/>
            <w:tcBorders/>
            <w:shd w:fill="CCEC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9"/>
        <w:gridCol w:w="146"/>
        <w:gridCol w:w="180"/>
        <w:gridCol w:w="430"/>
        <w:gridCol w:w="146"/>
        <w:gridCol w:w="146"/>
        <w:gridCol w:w="1787"/>
        <w:gridCol w:w="146"/>
        <w:gridCol w:w="151"/>
        <w:gridCol w:w="390"/>
        <w:gridCol w:w="211"/>
        <w:gridCol w:w="146"/>
        <w:gridCol w:w="190"/>
        <w:gridCol w:w="453"/>
        <w:gridCol w:w="146"/>
        <w:gridCol w:w="146"/>
        <w:gridCol w:w="146"/>
        <w:gridCol w:w="646"/>
        <w:gridCol w:w="146"/>
        <w:gridCol w:w="146"/>
        <w:gridCol w:w="166"/>
        <w:gridCol w:w="586"/>
        <w:gridCol w:w="146"/>
        <w:gridCol w:w="146"/>
        <w:gridCol w:w="169"/>
        <w:gridCol w:w="600"/>
        <w:gridCol w:w="275"/>
      </w:tblGrid>
      <w:tr>
        <w:trPr/>
        <w:tc>
          <w:tcPr>
            <w:tcW w:w="2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ITC Infusion Co-invest, LP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1,268</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ITC Rumba, LLC (Cano Health, LLC) </w:t>
            </w:r>
            <w:r>
              <w:rPr>
                <w:rFonts w:ascii="Times New Roman" w:hAnsi="Times New Roman"/>
                <w:color w:val="000000"/>
                <w:sz w:val="8"/>
              </w:rPr>
              <w:t>(7),(8)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Kentucky Racing Holdco, LLC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Restaurants and Leisure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2,508</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KL Stockton Co-Invest LP (Any Hour Services)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Energy Equipment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382,353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Lightspeed Investment Holdco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1,588</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LP</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1,638,043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A Common Equity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B Common Equity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Mars Intermediate Holdings II,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Aggregator, LP</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Commodity Chemicals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Title, LLC </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MSpark, LLC</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and Publishing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2,230</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NEPRT Parent Holdings, LLC (Recteq,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Parent Holdings, LLC</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North Haven Saints Equity Holdings, LP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223,602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NXOF Holdings, Inc. (Tyto Athene,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OceanSound Discovery Equity, LP (Holdco Sands Intermediate, LLC) </w:t>
            </w:r>
            <w:r>
              <w:rPr>
                <w:rFonts w:ascii="Times New Roman" w:hAnsi="Times New Roman"/>
                <w:color w:val="000000"/>
                <w:sz w:val="8"/>
              </w:rPr>
              <w:t>(7), (8)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3,768</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OHCP V BC COI, L.P.</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743,750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650</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OHCP V BC COI,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Holdco,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PennantPark-TSO Senior Loan Fund,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11,167,847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9,345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LEP Pequod Holdings, LP</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1,006</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Pink Lily Holdco, LLC (PL Acquisitions, LLC) </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Quad (U.S.) Co-Invest, L.P.</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266,864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LP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QuantiTech InvestCo LP </w:t>
            </w:r>
            <w:r>
              <w:rPr>
                <w:rFonts w:ascii="Times New Roman" w:hAnsi="Times New Roman"/>
                <w:color w:val="000000"/>
                <w:sz w:val="8"/>
              </w:rPr>
              <w:t>(7), (8), (9)</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QuantiTech InvestCo II LP </w:t>
            </w:r>
            <w:r>
              <w:rPr>
                <w:rFonts w:ascii="Times New Roman" w:hAnsi="Times New Roman"/>
                <w:color w:val="000000"/>
                <w:sz w:val="8"/>
              </w:rPr>
              <w:t>(7), (8),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RFMG Parent, LP (Rancho Health MSO,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Equipment and Supplies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SBI Holdings Investments LLC (Sales Benchmark Index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Topco, LP</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CR Intermediate Holdco,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1,784</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 L2 Holdings, LLC (Ledge Lounger, Inc.)</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360,103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SSC Dominion Holdings, LLC</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219"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Class B (US Dominion,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StellPen Holdings, LLC (CF512, Inc.)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TAC LifePort Holdings, LLC </w:t>
            </w:r>
            <w:r>
              <w:rPr>
                <w:rFonts w:ascii="Times New Roman" w:hAnsi="Times New Roman"/>
                <w:color w:val="000000"/>
                <w:sz w:val="8"/>
              </w:rPr>
              <w:t>(7),(8)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Tower Arch Infolinks Media, LP (Infolinks Media Buyco, LLC)</w:t>
            </w:r>
            <w:r>
              <w:rPr>
                <w:rFonts w:ascii="Times New Roman" w:hAnsi="Times New Roman"/>
                <w:color w:val="000000"/>
                <w:sz w:val="8"/>
              </w:rPr>
              <w:t>(8)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Tower Arch Infolinks Media, LP (Infolinks Media Buyco, LLC)</w:t>
            </w:r>
            <w:r>
              <w:rPr>
                <w:rFonts w:ascii="Times New Roman" w:hAnsi="Times New Roman"/>
                <w:color w:val="000000"/>
                <w:sz w:val="8"/>
              </w:rPr>
              <w:t>(8) (9)</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Holding Company, LP </w:t>
            </w:r>
            <w:r>
              <w:rPr>
                <w:rFonts w:ascii="Times New Roman" w:hAnsi="Times New Roman"/>
                <w:color w:val="000000"/>
                <w:sz w:val="8"/>
              </w:rPr>
              <w:t>(5), (7), (8), (10)</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TWD Parent Holdings, LLC (The Vertex Companies,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&amp; Engineering</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UniTek Global Services, Inc.(C)</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213,739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UniTek Global Services, Inc. (W)</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UniVista Insurance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Partners Co., L.P.</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Holdco LLC</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WCP IvyRehab QP CF Feeder, LP</w:t>
            </w:r>
            <w:r>
              <w:rPr>
                <w:rFonts w:ascii="Times New Roman" w:hAnsi="Times New Roman"/>
                <w:color w:val="000000"/>
                <w:sz w:val="8"/>
              </w:rPr>
              <w:t>(8)</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4,319</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WCP IvyRehab QP CF Feeder, LP </w:t>
            </w:r>
            <w:r>
              <w:rPr>
                <w:rFonts w:ascii="Times New Roman" w:hAnsi="Times New Roman"/>
                <w:color w:val="000000"/>
                <w:sz w:val="8"/>
              </w:rPr>
              <w:t>(8), (9)</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Parent, LP (Wildcat Buyerco,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Equity/Warrants</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72,159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94,733</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54"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Non-Affiliated Portfolio Companies</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772,178</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4" w:type="dxa"/>
            <w:gridSpan w:val="7"/>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Controlled, Affiliated Portfolio Companies—45.1% </w:t>
            </w:r>
            <w:r>
              <w:rPr>
                <w:rFonts w:ascii="Times New Roman" w:hAnsi="Times New Roman"/>
                <w:b/>
                <w:color w:val="000000"/>
                <w:sz w:val="8"/>
              </w:rPr>
              <w:t>(3), (4)</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6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Debt—36.8%</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Marketplace Events, LLC - Super Priority First Lien Term Loan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3,582</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Marketplace Events, LLC - Super Priority First Lien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26,770</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Secured Loan Fund I LLC </w:t>
            </w:r>
            <w:r>
              <w:rPr>
                <w:rFonts w:ascii="Times New Roman" w:hAnsi="Times New Roman"/>
                <w:color w:val="000000"/>
                <w:sz w:val="8"/>
              </w:rPr>
              <w:t>(7),</w:t>
            </w:r>
            <w:r>
              <w:rPr>
                <w:rFonts w:ascii="Times New Roman" w:hAnsi="Times New Roman"/>
                <w:color w:val="000000"/>
                <w:sz w:val="12"/>
              </w:rPr>
              <w:t xml:space="preserve"> </w:t>
            </w:r>
            <w:r>
              <w:rPr>
                <w:rFonts w:ascii="Times New Roman" w:hAnsi="Times New Roman"/>
                <w:color w:val="000000"/>
                <w:sz w:val="8"/>
              </w:rPr>
              <w:t>(9), (10)</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05/06/2024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210,088</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234,601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240,440</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Equity Interests—8.3%</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New MPE Holdings, LLC (Marketplace Events, LLC) </w:t>
            </w:r>
            <w:r>
              <w:rPr>
                <w:rFonts w:ascii="Times New Roman" w:hAnsi="Times New Roman"/>
                <w:color w:val="000000"/>
                <w:sz w:val="8"/>
              </w:rPr>
              <w:t>(7),(8)</w:t>
            </w:r>
          </w:p>
        </w:tc>
        <w:tc>
          <w:tcPr>
            <w:tcW w:w="146" w:type="dxa"/>
            <w:tcBorders/>
            <w:shd w:fill="CCECFF" w:val="clear"/>
            <w:vAlign w:val="center"/>
          </w:tcPr>
          <w:p>
            <w:pPr>
              <w:pStyle w:val="TableContents"/>
              <w:bidi w:val="0"/>
              <w:spacing w:before="0" w:after="283"/>
              <w:jc w:val="left"/>
              <w:rPr/>
            </w:pPr>
            <w:r>
              <w:rPr/>
              <w:t> </w:t>
            </w:r>
          </w:p>
        </w:tc>
        <w:tc>
          <w:tcPr>
            <w:tcW w:w="180" w:type="dxa"/>
            <w:tcBorders/>
            <w:shd w:fill="CCECFF" w:val="clear"/>
            <w:vAlign w:val="center"/>
          </w:tcPr>
          <w:p>
            <w:pPr>
              <w:pStyle w:val="TableContents"/>
              <w:bidi w:val="0"/>
              <w:spacing w:before="0" w:after="283"/>
              <w:jc w:val="left"/>
              <w:rPr/>
            </w:pPr>
            <w:r>
              <w:rPr/>
              <w:t> </w:t>
            </w:r>
          </w:p>
        </w:tc>
        <w:tc>
          <w:tcPr>
            <w:tcW w:w="43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3,675</w:t>
            </w:r>
          </w:p>
        </w:tc>
        <w:tc>
          <w:tcPr>
            <w:tcW w:w="275" w:type="dxa"/>
            <w:tcBorders/>
            <w:shd w:fill="CCECFF" w:val="cle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Secured Loan Fund I LLC </w:t>
            </w:r>
            <w:r>
              <w:rPr>
                <w:rFonts w:ascii="Times New Roman" w:hAnsi="Times New Roman"/>
                <w:color w:val="000000"/>
                <w:sz w:val="8"/>
              </w:rPr>
              <w:t>(7), (9), (10)</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50,881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Equity Interests</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90,038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54,556</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54"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294,996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4" w:type="dxa"/>
            <w:gridSpan w:val="7"/>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Investments—163.3%</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1,092,878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1,067,174</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Equivalents—15.3%</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Market - 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100,555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100,555</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100,555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Equivalents—178.6%</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1,193,433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1,167,729</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1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Assets—(78.6)%</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(514,124</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1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Assets—100.0%</w:t>
            </w:r>
          </w:p>
        </w:tc>
        <w:tc>
          <w:tcPr>
            <w:tcW w:w="146" w:type="dxa"/>
            <w:tcBorders/>
            <w:shd w:fill="CCECFF" w:val="clear"/>
            <w:vAlign w:val="center"/>
          </w:tcPr>
          <w:p>
            <w:pPr>
              <w:pStyle w:val="TableContents"/>
              <w:bidi w:val="0"/>
              <w:spacing w:before="0" w:after="283"/>
              <w:jc w:val="left"/>
              <w:rPr/>
            </w:pPr>
            <w:r>
              <w:rPr/>
              <w:t> </w:t>
            </w:r>
          </w:p>
        </w:tc>
        <w:tc>
          <w:tcPr>
            <w:tcW w:w="61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8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653,605</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(1)</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Represents floating rate instruments that accrue interest at a predetermined spread relative to an index, typically the applicable Secured Overnight Financing Rate, or “SOFR”, or Prime rate, or “P, or</w:t>
        <w:br/>
        <w:t>Sterling Overnight Index Average, or “SONIA.” The spread may change based on the type of rate used. The terms in the Schedule of Investments disclose the actual interest rate in effect as of the reporting</w:t>
        <w:br/>
        <w:t>period. SOFR loans are typically indexed to a 30-day, 90-day or 180-day SOFR rates (1M S, 3M S, or 6M S, respectively) at the borrower’s option. SONIA loans are typically indexed daily for GBP loans</w:t>
        <w:br/>
        <w:t>with a quarterly frequency payment. All securities are subject to a SOFR or Prime rate floor where a spread is provided, unless noted. The spread provided includes PIK interest and other fee rates, if any.</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(2)</w:t>
      </w:r>
    </w:p>
    <w:p>
      <w:pPr>
        <w:pStyle w:val="TextBody"/>
        <w:bidi w:val="0"/>
        <w:jc w:val="left"/>
        <w:rPr>
          <w:rFonts w:ascii="Times New Roman" w:hAnsi="Times New Roman"/>
          <w:color w:val="000000"/>
          <w:sz w:val="13"/>
        </w:rPr>
      </w:pPr>
      <w:r>
        <w:rPr>
          <w:rFonts w:ascii="Times New Roman" w:hAnsi="Times New Roman"/>
          <w:color w:val="000000"/>
          <w:sz w:val="13"/>
        </w:rPr>
        <w:t>Valued based on our accounting policy. The value of all securities was determined using significant unobservable inputs.</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(3)</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provisions of the 1940 Act classify investments based on the level of control that we maintain in a particular portfolio company. As defined in the 1940 Act, a company is generally presumed to be</w:t>
        <w:br/>
        <w:t>“non-controlled” when we own 25% or less of the portfolio company’s voting securities and “controlled” when we own more than 25% of the portfolio company’s voting securities.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(4)</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provisions of the 1940 Act classify investments further based on the level of ownership that we maintain in a particular portfolio company. As defined in the 1940 Act, a company is generally deemed</w:t>
        <w:br/>
        <w:t>as “non-affiliated” when we own less than 5% of a portfolio company’s voting securities and “affiliated” when we own 5% or more of a portfolio company’s voting securities.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(5)</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Non-U.S. company or principal place of business outside the United States.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(6)</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Non-income producing securities.</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(7)</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securities, or a portion thereof, are not 1) pledged as collateral under the Credit Facility and held through Funding I; or 2) securing the 2031 Asset-Backed Debt and held through</w:t>
        <w:br/>
        <w:t>PennantPark CLO I, Ltd.</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(8)</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Investment is held through our Taxable Subsidiary.</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(9)</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Represents the purchase of a security with delayed settlement or a revolving line of credit that is currently an unfunded investment. This security does not earn a basis point spread above an index while it is</w:t>
        <w:br/>
        <w:t>unfunded.</w:t>
      </w:r>
    </w:p>
    <w:p>
      <w:pPr>
        <w:pStyle w:val="TextBody"/>
        <w:bidi w:val="0"/>
        <w:spacing w:before="20" w:after="283"/>
        <w:jc w:val="left"/>
        <w:rPr>
          <w:rFonts w:ascii="Times New Roman" w:hAnsi="Times New Roman"/>
          <w:color w:val="000000"/>
          <w:sz w:val="13"/>
        </w:rPr>
      </w:pPr>
      <w:r>
        <w:rPr>
          <w:rFonts w:ascii="Times New Roman" w:hAnsi="Times New Roman"/>
          <w:color w:val="000000"/>
          <w:sz w:val="13"/>
        </w:rPr>
        <w:t>(10)</w:t>
      </w:r>
    </w:p>
    <w:p>
      <w:pPr>
        <w:pStyle w:val="TextBody"/>
        <w:bidi w:val="0"/>
        <w:spacing w:before="20" w:after="283"/>
        <w:jc w:val="left"/>
        <w:rPr>
          <w:rFonts w:ascii="Times New Roman" w:hAnsi="Times New Roman"/>
          <w:color w:val="000000"/>
          <w:sz w:val="13"/>
        </w:rPr>
      </w:pPr>
      <w:r>
        <w:rPr>
          <w:rFonts w:ascii="Times New Roman" w:hAnsi="Times New Roman"/>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76% of our total assets and non-qualifying assets represent 24% of our total assets.</w:t>
      </w:r>
    </w:p>
    <w:p>
      <w:pPr>
        <w:pStyle w:val="TextBody"/>
        <w:bidi w:val="0"/>
        <w:spacing w:before="20" w:after="283"/>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bookmarkStart w:id="13" w:name="notes_to_consolidated_financial_stmt_"/>
      <w:bookmarkEnd w:id="13"/>
      <w:r>
        <w:rPr>
          <w:rFonts w:ascii="Times New Roman" w:hAnsi="Times New Roman"/>
          <w:b/>
          <w:color w:val="000000"/>
          <w:sz w:val="16"/>
        </w:rPr>
        <w:t>NOTES TO CONSOLIDATED FINANCIAL STATEMENTS</w:t>
      </w:r>
    </w:p>
    <w:p>
      <w:pPr>
        <w:pStyle w:val="TextBody"/>
        <w:bidi w:val="0"/>
        <w:jc w:val="center"/>
        <w:rPr>
          <w:rFonts w:ascii="Times New Roman" w:hAnsi="Times New Roman"/>
          <w:b/>
          <w:caps/>
          <w:color w:val="000000"/>
          <w:sz w:val="16"/>
        </w:rPr>
      </w:pPr>
      <w:r>
        <w:rPr>
          <w:rFonts w:ascii="Times New Roman" w:hAnsi="Times New Roman"/>
          <w:b/>
          <w:caps/>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1. ORGANIZATION</w:t>
      </w:r>
    </w:p>
    <w:p>
      <w:pPr>
        <w:pStyle w:val="TextBody"/>
        <w:bidi w:val="0"/>
        <w:ind w:left="0" w:right="0" w:firstLine="49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PennantPark Floating Rate Capital Ltd. was organized as a Maryland corporation in October 2010. We are a closed-end, externally managed, non-diversified investment company that has elected to be treated as a BDC under the 1940 Act.</w:t>
      </w:r>
      <w:r>
        <w:rPr>
          <w:rFonts w:ascii="Times New Roman" w:hAnsi="Times New Roman"/>
          <w:color w:val="000000"/>
          <w:sz w:val="20"/>
        </w:rPr>
        <w:t xml:space="preserve"> </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w:t>
      </w:r>
      <w:r>
        <w:rPr>
          <w:rFonts w:ascii="Times New Roman" w:hAnsi="Times New Roman"/>
          <w:color w:val="000000"/>
          <w:sz w:val="20"/>
        </w:rPr>
        <w:t xml:space="preserve"> </w:t>
      </w:r>
      <w:r>
        <w:rPr>
          <w:rFonts w:ascii="Times New Roman" w:hAnsi="Times New Roman"/>
          <w:color w:val="000000"/>
          <w:sz w:val="16"/>
        </w:rPr>
        <w:t>determined periodically, on the basis of a floating base lending rate such as SOFR,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pStyle w:val="TextBody"/>
        <w:bidi w:val="0"/>
        <w:ind w:left="0" w:right="0" w:firstLine="49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have entered into an investment management agreement, or (the "Investment Management Agreement"), with PennantPark Investment Advisers LLC (the "Investment Adviser"), an external adviser that manages our day-to-day operations. We have also entered into an administration agreement, or (the "Administration Agreement"), with PennantPark Investment Administration LLC (the "Administrator"), which provides the administrative services necessary for us to operate.</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Funding I, our wholly-owned subsidiary and a special purpose entity, was organized in Delaware as a limited liability company in May 2011. We formed Funding I in order to establish a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November 2017, we issued $138.6</w:t>
      </w:r>
      <w:r>
        <w:rPr>
          <w:rFonts w:ascii="Times New Roman" w:hAnsi="Times New Roman"/>
          <w:color w:val="000000"/>
          <w:sz w:val="20"/>
        </w:rPr>
        <w:t xml:space="preserve"> </w:t>
      </w:r>
      <w:r>
        <w:rPr>
          <w:rFonts w:ascii="Times New Roman" w:hAnsi="Times New Roman"/>
          <w:color w:val="000000"/>
          <w:sz w:val="16"/>
        </w:rPr>
        <w:t>million of our 2023 Notes. The principal on the 2023 Notes were payable in four annual installments</w:t>
      </w:r>
      <w:r>
        <w:rPr>
          <w:rFonts w:ascii="Times New Roman" w:hAnsi="Times New Roman"/>
          <w:color w:val="000000"/>
          <w:sz w:val="20"/>
        </w:rPr>
        <w:t xml:space="preserve"> </w:t>
      </w:r>
      <w:r>
        <w:rPr>
          <w:rFonts w:ascii="Times New Roman" w:hAnsi="Times New Roman"/>
          <w:color w:val="000000"/>
          <w:sz w:val="16"/>
        </w:rPr>
        <w:t>as follows: 15% of the original principal amount on December 15, 2020, 15% of the original principal amount on December 15, 2021, 15% of the original principal amount on December 15, 2022 and 55% on December 15, 2023. On December 15, 2023, the remaining 2023 Notes were repaid in full. The 2023 Notes were general, unsecured obligations and ranked equal in right of payment with all of our existing and future senior unsecured indebtedness. The 2023 Notes were listed on the TASE. In connection with this offering, we have dual listed our common stock on the TASE.</w:t>
        <w:br/>
      </w:r>
      <w:r>
        <w:rPr>
          <w:rFonts w:ascii="Times New Roman" w:hAnsi="Times New Roman"/>
          <w:color w:val="000000"/>
          <w:sz w:val="20"/>
        </w:rPr>
        <w:t> </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br/>
      </w:r>
      <w:r>
        <w:rPr>
          <w:rFonts w:ascii="Times New Roman" w:hAnsi="Times New Roman"/>
          <w:color w:val="000000"/>
          <w:sz w:val="20"/>
        </w:rPr>
        <w:t> </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March 2021 and October 2021, we issued $100.0</w:t>
      </w:r>
      <w:r>
        <w:rPr>
          <w:rFonts w:ascii="Times New Roman" w:hAnsi="Times New Roman"/>
          <w:color w:val="000000"/>
          <w:sz w:val="20"/>
        </w:rPr>
        <w:t xml:space="preserve"> </w:t>
      </w:r>
      <w:r>
        <w:rPr>
          <w:rFonts w:ascii="Times New Roman" w:hAnsi="Times New Roman"/>
          <w:color w:val="000000"/>
          <w:sz w:val="16"/>
        </w:rPr>
        <w:t>million and $85.0</w:t>
      </w:r>
      <w:r>
        <w:rPr>
          <w:rFonts w:ascii="Times New Roman" w:hAnsi="Times New Roman"/>
          <w:color w:val="000000"/>
          <w:sz w:val="20"/>
        </w:rPr>
        <w:t xml:space="preserve"> </w:t>
      </w:r>
      <w:r>
        <w:rPr>
          <w:rFonts w:ascii="Times New Roman" w:hAnsi="Times New Roman"/>
          <w:color w:val="000000"/>
          <w:sz w:val="16"/>
        </w:rPr>
        <w:t>million, respectively, in aggregate principal amount of our 2026 Notes at a public offering price per note of 99.4% and 101.5% respectively. Interest on the 2026 Notes is paid semi-annually</w:t>
      </w:r>
      <w:r>
        <w:rPr>
          <w:rFonts w:ascii="Times New Roman" w:hAnsi="Times New Roman"/>
          <w:color w:val="000000"/>
          <w:sz w:val="20"/>
        </w:rPr>
        <w:t xml:space="preserve"> </w:t>
      </w:r>
      <w:r>
        <w:rPr>
          <w:rFonts w:ascii="Times New Roman" w:hAnsi="Times New Roman"/>
          <w:color w:val="000000"/>
          <w:sz w:val="16"/>
        </w:rPr>
        <w:t>on April 1 and October 1 of each year, at a rate of 4.25% per year, commencing October 1, 2021. The 2026 Notes mature on April 1, 2026</w:t>
      </w:r>
      <w:r>
        <w:rPr>
          <w:rFonts w:ascii="Times New Roman" w:hAnsi="Times New Roman"/>
          <w:color w:val="000000"/>
          <w:sz w:val="20"/>
        </w:rPr>
        <w:t xml:space="preserve"> </w:t>
      </w:r>
      <w:r>
        <w:rPr>
          <w:rFonts w:ascii="Times New Roman" w:hAnsi="Times New Roman"/>
          <w:color w:val="000000"/>
          <w:sz w:val="16"/>
        </w:rPr>
        <w:t>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pStyle w:val="TextBody"/>
        <w:bidi w:val="0"/>
        <w:ind w:left="0" w:right="0" w:firstLine="432"/>
        <w:jc w:val="both"/>
        <w:rPr/>
      </w:pPr>
      <w:r>
        <w:rPr/>
        <w:t> </w:t>
      </w:r>
    </w:p>
    <w:p>
      <w:pPr>
        <w:pStyle w:val="TextBody"/>
        <w:bidi w:val="0"/>
        <w:jc w:val="both"/>
        <w:rPr>
          <w:rFonts w:ascii="Times New Roman" w:hAnsi="Times New Roman"/>
          <w:sz w:val="20"/>
        </w:rPr>
      </w:pPr>
      <w:r>
        <w:rPr>
          <w:rFonts w:ascii="Times New Roman" w:hAnsi="Times New Roman"/>
          <w:color w:val="000000"/>
          <w:sz w:val="16"/>
        </w:rPr>
        <w:t>In April 2021, we formed PennantPark-TSO Senior Loan Fund LP ("PTSF"), an unconsolidated limited partnership, organized as a Delaware limited liability partnership. We sold $81.4</w:t>
      </w:r>
      <w:r>
        <w:rPr>
          <w:rFonts w:ascii="Times New Roman" w:hAnsi="Times New Roman"/>
          <w:color w:val="000000"/>
          <w:sz w:val="20"/>
        </w:rPr>
        <w:t xml:space="preserve"> </w:t>
      </w:r>
      <w:r>
        <w:rPr>
          <w:rFonts w:ascii="Times New Roman" w:hAnsi="Times New Roman"/>
          <w:color w:val="000000"/>
          <w:sz w:val="16"/>
        </w:rPr>
        <w:t>million in investments to a wholly-owned subsidiary of PTSF in exchange for cash in the amount of $69.5</w:t>
      </w:r>
      <w:r>
        <w:rPr>
          <w:rFonts w:ascii="Times New Roman" w:hAnsi="Times New Roman"/>
          <w:color w:val="000000"/>
          <w:sz w:val="20"/>
        </w:rPr>
        <w:t xml:space="preserve"> </w:t>
      </w:r>
      <w:r>
        <w:rPr>
          <w:rFonts w:ascii="Times New Roman" w:hAnsi="Times New Roman"/>
          <w:color w:val="000000"/>
          <w:sz w:val="16"/>
        </w:rPr>
        <w:t>million and an $11.9</w:t>
      </w:r>
      <w:r>
        <w:rPr>
          <w:rFonts w:ascii="Times New Roman" w:hAnsi="Times New Roman"/>
          <w:color w:val="000000"/>
          <w:sz w:val="20"/>
        </w:rPr>
        <w:t xml:space="preserve"> </w:t>
      </w:r>
      <w:r>
        <w:rPr>
          <w:rFonts w:ascii="Times New Roman" w:hAnsi="Times New Roman"/>
          <w:color w:val="000000"/>
          <w:sz w:val="16"/>
        </w:rPr>
        <w:t>million equity interest in PTSF representing 23.08% of the total outstanding Class A Units of PTSF. We recognized $0.4</w:t>
      </w:r>
      <w:r>
        <w:rPr>
          <w:rFonts w:ascii="Times New Roman" w:hAnsi="Times New Roman"/>
          <w:color w:val="000000"/>
          <w:sz w:val="20"/>
        </w:rPr>
        <w:t xml:space="preserve"> </w:t>
      </w:r>
      <w:r>
        <w:rPr>
          <w:rFonts w:ascii="Times New Roman" w:hAnsi="Times New Roman"/>
          <w:color w:val="000000"/>
          <w:sz w:val="16"/>
        </w:rPr>
        <w:t>million of realized gain upon the formation of PTSF. As of December 31, 2023, our capital commitment of $15.3</w:t>
      </w:r>
      <w:r>
        <w:rPr>
          <w:rFonts w:ascii="Times New Roman" w:hAnsi="Times New Roman"/>
          <w:color w:val="000000"/>
          <w:sz w:val="20"/>
        </w:rPr>
        <w:t xml:space="preserve"> </w:t>
      </w:r>
      <w:r>
        <w:rPr>
          <w:rFonts w:ascii="Times New Roman" w:hAnsi="Times New Roman"/>
          <w:color w:val="000000"/>
          <w:sz w:val="16"/>
        </w:rPr>
        <w:t>million is fully funded and we hold 23.08% of the total outstanding Class A Units of PTSF and a 4.99% voting interest in the general partner which manages PTSF.</w:t>
      </w:r>
    </w:p>
    <w:p>
      <w:pPr>
        <w:pStyle w:val="TextBody"/>
        <w:bidi w:val="0"/>
        <w:jc w:val="both"/>
        <w:rPr/>
      </w:pPr>
      <w:r>
        <w:rPr/>
        <w:t> </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160" w:after="283"/>
        <w:jc w:val="left"/>
        <w:rPr>
          <w:rFonts w:ascii="Times New Roman" w:hAnsi="Times New Roman"/>
          <w:b/>
          <w:color w:val="000000"/>
          <w:sz w:val="16"/>
        </w:rPr>
      </w:pPr>
      <w:r>
        <w:rPr>
          <w:rFonts w:ascii="Times New Roman" w:hAnsi="Times New Roman"/>
          <w:b/>
          <w:color w:val="000000"/>
          <w:sz w:val="16"/>
        </w:rPr>
        <w:t>2. SIGNIFICANT ACCOUNTING POLICIES</w:t>
      </w:r>
    </w:p>
    <w:p>
      <w:pPr>
        <w:pStyle w:val="TextBody"/>
        <w:bidi w:val="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r>
        <w:rPr>
          <w:rFonts w:ascii="Times New Roman" w:hAnsi="Times New Roman"/>
          <w:color w:val="000000"/>
          <w:sz w:val="20"/>
        </w:rPr>
        <w:t xml:space="preserve"> </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6"/>
        </w:rPr>
        <w:t>Restatement of Previously Issued Financial Statements</w:t>
      </w:r>
      <w:r>
        <w:rPr>
          <w:rFonts w:ascii="Times New Roman" w:hAnsi="Times New Roman"/>
          <w:color w:val="000000"/>
          <w:sz w:val="20"/>
        </w:rPr>
        <w:t xml:space="preserve"> </w:t>
      </w:r>
    </w:p>
    <w:p>
      <w:pPr>
        <w:pStyle w:val="TextBody"/>
        <w:bidi w:val="0"/>
        <w:spacing w:before="120" w:after="283"/>
        <w:ind w:left="0" w:right="0" w:firstLine="432"/>
        <w:jc w:val="both"/>
        <w:rPr>
          <w:rFonts w:ascii="Times New Roman" w:hAnsi="Times New Roman"/>
          <w:sz w:val="20"/>
        </w:rPr>
      </w:pPr>
      <w:r>
        <w:rPr>
          <w:rFonts w:ascii="Times New Roman" w:hAnsi="Times New Roman"/>
          <w:color w:val="000000"/>
          <w:sz w:val="16"/>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PSSL and PTSF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December 31, 2022, and the impact of the error correction is reflected on the consolidated statement of cash flows for the three months ended December 31, 2022 as an increase to cash and cash equivalents, beginning of period totaling $3.6</w:t>
      </w:r>
      <w:r>
        <w:rPr>
          <w:rFonts w:ascii="Times New Roman" w:hAnsi="Times New Roman"/>
          <w:color w:val="000000"/>
          <w:sz w:val="20"/>
        </w:rPr>
        <w:t xml:space="preserve"> </w:t>
      </w:r>
      <w:r>
        <w:rPr>
          <w:rFonts w:ascii="Times New Roman" w:hAnsi="Times New Roman"/>
          <w:color w:val="000000"/>
          <w:sz w:val="16"/>
        </w:rPr>
        <w:t>million, an increase to cash and cash equivalents, end of period totaling $2.1</w:t>
      </w:r>
      <w:r>
        <w:rPr>
          <w:rFonts w:ascii="Times New Roman" w:hAnsi="Times New Roman"/>
          <w:color w:val="000000"/>
          <w:sz w:val="20"/>
        </w:rPr>
        <w:t xml:space="preserve"> </w:t>
      </w:r>
      <w:r>
        <w:rPr>
          <w:rFonts w:ascii="Times New Roman" w:hAnsi="Times New Roman"/>
          <w:color w:val="000000"/>
          <w:sz w:val="16"/>
        </w:rPr>
        <w:t>million, and decrease in due to affiliates of $1.5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120" w:after="283"/>
        <w:ind w:left="0" w:right="0" w:firstLine="432"/>
        <w:jc w:val="both"/>
        <w:rPr>
          <w:rFonts w:ascii="Times New Roman" w:hAnsi="Times New Roman"/>
          <w:color w:val="000000"/>
          <w:sz w:val="16"/>
        </w:rPr>
      </w:pPr>
      <w:r>
        <w:rPr>
          <w:rFonts w:ascii="Times New Roman" w:hAnsi="Times New Roman"/>
          <w:color w:val="000000"/>
          <w:sz w:val="16"/>
        </w:rPr>
        <w:t>There was no impact from the error correction to total net assets and net asset value per share as reported on the consolidated statement of assets and liabilities as of December 31, 2022. The corrections related to the prior year comparative cash flow statement amounts were reported in the quarter ended December 31, 2022.</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Our significant accounting policies consistently applied are as follows:</w:t>
      </w:r>
    </w:p>
    <w:p>
      <w:pPr>
        <w:pStyle w:val="TextBody"/>
        <w:bidi w:val="0"/>
        <w:jc w:val="both"/>
        <w:rPr/>
      </w:pPr>
      <w:r>
        <w:rPr/>
        <w:t> </w:t>
      </w:r>
    </w:p>
    <w:p>
      <w:pPr>
        <w:pStyle w:val="TextBody"/>
        <w:bidi w:val="0"/>
        <w:jc w:val="left"/>
        <w:rPr/>
      </w:pPr>
      <w:r>
        <w:rPr/>
        <w:t> </w:t>
      </w:r>
    </w:p>
    <w:p>
      <w:pPr>
        <w:pStyle w:val="TextBody"/>
        <w:bidi w:val="0"/>
        <w:ind w:left="245" w:right="0" w:hanging="0"/>
        <w:jc w:val="left"/>
        <w:rPr>
          <w:rFonts w:ascii="Times New Roman" w:hAnsi="Times New Roman"/>
          <w:b/>
          <w:i/>
          <w:color w:val="000000"/>
          <w:sz w:val="16"/>
        </w:rPr>
      </w:pPr>
      <w:r>
        <w:rPr>
          <w:rFonts w:ascii="Times New Roman" w:hAnsi="Times New Roman"/>
          <w:b/>
          <w:i/>
          <w:color w:val="000000"/>
          <w:sz w:val="16"/>
        </w:rPr>
        <w:t>(a) Investment Valuations</w:t>
      </w:r>
    </w:p>
    <w:p>
      <w:pPr>
        <w:pStyle w:val="TextBody"/>
        <w:bidi w:val="0"/>
        <w:jc w:val="left"/>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Our quarterly valuation process begins with each portfolio company or investment being initially valued by the investment professionals of our Investment Adviser responsible for the portfolio investment;</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 xml:space="preserve">Preliminary valuation conclusions are then documented and discussed with the management of the Investment Adviser; </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color w:val="000000"/>
          <w:sz w:val="16"/>
        </w:rPr>
      </w:pPr>
      <w:r>
        <w:rPr>
          <w:rFonts w:ascii="Times New Roman" w:hAnsi="Times New Roman"/>
          <w:color w:val="000000"/>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r>
        <w:rPr>
          <w:rFonts w:ascii="Times New Roman" w:hAnsi="Times New Roman"/>
          <w:color w:val="000000"/>
          <w:sz w:val="20"/>
        </w:rPr>
        <w:t xml:space="preserve"> </w:t>
      </w:r>
    </w:p>
    <w:p>
      <w:pPr>
        <w:pStyle w:val="TextBody"/>
        <w:bidi w:val="0"/>
        <w:jc w:val="both"/>
        <w:rPr/>
      </w:pPr>
      <w:r>
        <w:rPr/>
        <w:t> </w:t>
      </w:r>
    </w:p>
    <w:p>
      <w:pPr>
        <w:pStyle w:val="TextBody"/>
        <w:bidi w:val="0"/>
        <w:ind w:left="245" w:right="0" w:hanging="0"/>
        <w:jc w:val="left"/>
        <w:rPr>
          <w:rFonts w:ascii="Times New Roman" w:hAnsi="Times New Roman"/>
          <w:b/>
          <w:i/>
          <w:color w:val="000000"/>
          <w:sz w:val="16"/>
        </w:rPr>
      </w:pPr>
      <w:r>
        <w:rPr>
          <w:rFonts w:ascii="Times New Roman" w:hAnsi="Times New Roman"/>
          <w:b/>
          <w:i/>
          <w:color w:val="000000"/>
          <w:sz w:val="16"/>
        </w:rPr>
        <w:t>(b) Security Transactions, Revenue Recognition, and Realized/Unrealized Gains or Losses</w:t>
      </w:r>
    </w:p>
    <w:p>
      <w:pPr>
        <w:pStyle w:val="TextBody"/>
        <w:bidi w:val="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both"/>
        <w:rPr>
          <w:rFonts w:ascii="Times New Roman" w:hAnsi="Times New Roman"/>
          <w:color w:val="000000"/>
          <w:sz w:val="16"/>
        </w:rPr>
      </w:pPr>
      <w:r>
        <w:rPr>
          <w:rFonts w:ascii="Times New Roman" w:hAnsi="Times New Roman"/>
          <w:color w:val="000000"/>
          <w:sz w:val="16"/>
        </w:rPr>
        <w:t>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 Litigation settlements are accounted for in accordance with the gain contingency provisions of ASC Subtopic 450-30, Gain Contingencies, or ASC 450-30.</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2023, we had</w:t>
      </w:r>
      <w:r>
        <w:rPr>
          <w:rFonts w:ascii="Times New Roman" w:hAnsi="Times New Roman"/>
          <w:color w:val="000000"/>
          <w:sz w:val="20"/>
        </w:rPr>
        <w:t xml:space="preserve"> </w:t>
      </w:r>
      <w:r>
        <w:rPr>
          <w:rFonts w:ascii="Times New Roman" w:hAnsi="Times New Roman"/>
          <w:color w:val="000000"/>
          <w:sz w:val="16"/>
        </w:rPr>
        <w:t>one</w:t>
      </w:r>
      <w:r>
        <w:rPr>
          <w:rFonts w:ascii="Times New Roman" w:hAnsi="Times New Roman"/>
          <w:color w:val="000000"/>
          <w:sz w:val="20"/>
        </w:rPr>
        <w:t xml:space="preserve"> </w:t>
      </w:r>
      <w:r>
        <w:rPr>
          <w:rFonts w:ascii="Times New Roman" w:hAnsi="Times New Roman"/>
          <w:color w:val="000000"/>
          <w:sz w:val="16"/>
        </w:rPr>
        <w:t>portfolio company on non-accrual, representing 0.1% and zero</w:t>
      </w:r>
      <w:r>
        <w:rPr>
          <w:rFonts w:ascii="Times New Roman" w:hAnsi="Times New Roman"/>
          <w:color w:val="000000"/>
          <w:sz w:val="20"/>
        </w:rPr>
        <w:t xml:space="preserve"> </w:t>
      </w:r>
      <w:r>
        <w:rPr>
          <w:rFonts w:ascii="Times New Roman" w:hAnsi="Times New Roman"/>
          <w:color w:val="000000"/>
          <w:sz w:val="16"/>
        </w:rPr>
        <w:t>percent</w:t>
      </w:r>
      <w:r>
        <w:rPr>
          <w:rFonts w:ascii="Times New Roman" w:hAnsi="Times New Roman"/>
          <w:color w:val="000000"/>
          <w:sz w:val="20"/>
        </w:rPr>
        <w:t xml:space="preserve"> </w:t>
      </w:r>
      <w:r>
        <w:rPr>
          <w:rFonts w:ascii="Times New Roman" w:hAnsi="Times New Roman"/>
          <w:color w:val="000000"/>
          <w:sz w:val="16"/>
        </w:rPr>
        <w:t>of our overall portfolio on a cost and fair value basis, respectively. As of September 30, 2023, we had three</w:t>
      </w:r>
      <w:r>
        <w:rPr>
          <w:rFonts w:ascii="Times New Roman" w:hAnsi="Times New Roman"/>
          <w:color w:val="000000"/>
          <w:sz w:val="20"/>
        </w:rPr>
        <w:t xml:space="preserve"> </w:t>
      </w:r>
      <w:r>
        <w:rPr>
          <w:rFonts w:ascii="Times New Roman" w:hAnsi="Times New Roman"/>
          <w:color w:val="000000"/>
          <w:sz w:val="16"/>
        </w:rPr>
        <w:t>portfolio companies on non-accrual, representing 0.9% and 0.2% of our overall portfolio on a cost and fair value basis, respectively.</w:t>
      </w:r>
    </w:p>
    <w:p>
      <w:pPr>
        <w:pStyle w:val="TextBody"/>
        <w:bidi w:val="0"/>
        <w:jc w:val="left"/>
        <w:rPr/>
      </w:pPr>
      <w:r>
        <w:rPr/>
        <w:t> </w:t>
      </w:r>
    </w:p>
    <w:p>
      <w:pPr>
        <w:pStyle w:val="TextBody"/>
        <w:bidi w:val="0"/>
        <w:ind w:left="245" w:right="0" w:hanging="0"/>
        <w:jc w:val="left"/>
        <w:rPr>
          <w:rFonts w:ascii="Times New Roman" w:hAnsi="Times New Roman"/>
          <w:b/>
          <w:i/>
          <w:color w:val="000000"/>
          <w:sz w:val="16"/>
        </w:rPr>
      </w:pPr>
      <w:r>
        <w:rPr>
          <w:rFonts w:ascii="Times New Roman" w:hAnsi="Times New Roman"/>
          <w:b/>
          <w:i/>
          <w:color w:val="000000"/>
          <w:sz w:val="16"/>
        </w:rPr>
        <w:t>(c) Income Taxes</w:t>
      </w:r>
    </w:p>
    <w:p>
      <w:pPr>
        <w:pStyle w:val="TextBody"/>
        <w:bidi w:val="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both the three months ended December 31, 2023 and 2022, we recorded a provision for taxes on net investment income of</w:t>
      </w:r>
      <w:r>
        <w:rPr>
          <w:rFonts w:ascii="Times New Roman" w:hAnsi="Times New Roman"/>
          <w:color w:val="000000"/>
          <w:sz w:val="20"/>
        </w:rPr>
        <w:t xml:space="preserve"> </w:t>
      </w:r>
      <w:r>
        <w:rPr>
          <w:rFonts w:ascii="Times New Roman" w:hAnsi="Times New Roman"/>
          <w:color w:val="000000"/>
          <w:sz w:val="16"/>
        </w:rPr>
        <w:t>$0.2</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million, respectively, pertaining to federal excise tax.</w:t>
      </w:r>
      <w:r>
        <w:rPr>
          <w:rFonts w:ascii="Times New Roman" w:hAnsi="Times New Roman"/>
          <w:color w:val="000000"/>
          <w:sz w:val="20"/>
        </w:rPr>
        <w:t xml:space="preserve"> </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Taxable Subsidiary (PFLT Investment Holdings, LLC, a second tier wholly-owned subsidiary of the Company), is subject to U.S. federal, state and local corporate income taxes. The income tax expense and related tax liabilities of the Taxable Subsidiary are reflected in the Company’s consolidated financial statements.</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For the three months ended December 31, 2023, the Company recognized a provision for taxes of zero</w:t>
      </w:r>
      <w:r>
        <w:rPr>
          <w:rFonts w:ascii="Times New Roman" w:hAnsi="Times New Roman"/>
          <w:color w:val="000000"/>
          <w:sz w:val="20"/>
        </w:rPr>
        <w:t xml:space="preserve"> </w:t>
      </w:r>
      <w:r>
        <w:rPr>
          <w:rFonts w:ascii="Times New Roman" w:hAnsi="Times New Roman"/>
          <w:color w:val="000000"/>
          <w:sz w:val="16"/>
        </w:rPr>
        <w:t>on unrealized appreciation (depreciation) on investments by the Taxable Subsidiary. For the three months ended December 31, 2022 the Company recognized a provision for taxes of $0.7</w:t>
      </w:r>
      <w:r>
        <w:rPr>
          <w:rFonts w:ascii="Times New Roman" w:hAnsi="Times New Roman"/>
          <w:color w:val="000000"/>
          <w:sz w:val="20"/>
        </w:rPr>
        <w:t xml:space="preserve"> </w:t>
      </w:r>
      <w:r>
        <w:rPr>
          <w:rFonts w:ascii="Times New Roman" w:hAnsi="Times New Roman"/>
          <w:color w:val="000000"/>
          <w:sz w:val="16"/>
        </w:rPr>
        <w:t>million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December 31, 2023 and September 30, 2023, $1.8</w:t>
      </w:r>
      <w:r>
        <w:rPr>
          <w:rFonts w:ascii="Times New Roman" w:hAnsi="Times New Roman"/>
          <w:color w:val="000000"/>
          <w:sz w:val="20"/>
        </w:rPr>
        <w:t xml:space="preserve"> </w:t>
      </w:r>
      <w:r>
        <w:rPr>
          <w:rFonts w:ascii="Times New Roman" w:hAnsi="Times New Roman"/>
          <w:color w:val="000000"/>
          <w:sz w:val="16"/>
        </w:rPr>
        <w:t>and $1.8</w:t>
      </w:r>
      <w:r>
        <w:rPr>
          <w:rFonts w:ascii="Times New Roman" w:hAnsi="Times New Roman"/>
          <w:color w:val="000000"/>
          <w:sz w:val="20"/>
        </w:rPr>
        <w:t xml:space="preserve"> </w:t>
      </w:r>
      <w:r>
        <w:rPr>
          <w:rFonts w:ascii="Times New Roman" w:hAnsi="Times New Roman"/>
          <w:color w:val="000000"/>
          <w:sz w:val="16"/>
        </w:rPr>
        <w:t>million, respectively, was accrued as a deferred tax liability on the Consolidated Statements of Assets and Liabilities relating to unrealized gain on investments held by the Taxable Subsidiary. As of December 31, 2023 and September 30, 2023, zero</w:t>
      </w:r>
      <w:r>
        <w:rPr>
          <w:rFonts w:ascii="Times New Roman" w:hAnsi="Times New Roman"/>
          <w:color w:val="000000"/>
          <w:sz w:val="20"/>
        </w:rPr>
        <w:t xml:space="preserve"> </w:t>
      </w:r>
      <w:r>
        <w:rPr>
          <w:rFonts w:ascii="Times New Roman" w:hAnsi="Times New Roman"/>
          <w:color w:val="000000"/>
          <w:sz w:val="16"/>
        </w:rPr>
        <w:t>and $0.3</w:t>
      </w:r>
      <w:r>
        <w:rPr>
          <w:rFonts w:ascii="Times New Roman" w:hAnsi="Times New Roman"/>
          <w:color w:val="000000"/>
          <w:sz w:val="20"/>
        </w:rPr>
        <w:t xml:space="preserve"> </w:t>
      </w:r>
      <w:r>
        <w:rPr>
          <w:rFonts w:ascii="Times New Roman" w:hAnsi="Times New Roman"/>
          <w:color w:val="000000"/>
          <w:sz w:val="16"/>
        </w:rPr>
        <w:t>million, respectively, was accrued as a provision for taxes on the Consolidated Statements of Operations relating to realized gain on investments held by the Taxable Subsidiary. During the three months ended December 31, 2023 and 2022, the Company paid zero</w:t>
      </w:r>
      <w:r>
        <w:rPr>
          <w:rFonts w:ascii="Times New Roman" w:hAnsi="Times New Roman"/>
          <w:color w:val="000000"/>
          <w:sz w:val="20"/>
        </w:rPr>
        <w:t xml:space="preserve"> </w:t>
      </w:r>
      <w:r>
        <w:rPr>
          <w:rFonts w:ascii="Times New Roman" w:hAnsi="Times New Roman"/>
          <w:color w:val="000000"/>
          <w:sz w:val="16"/>
        </w:rPr>
        <w:t>and zero, respectively, in taxes on realized gains on the sale of investments held by the Taxable Subsidiary.</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ind w:left="0" w:right="0" w:firstLine="54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of assets and liabilities to reflect their tax character. Temporary differences arise when certain items of income, expense, gain or loss are recognized at some time in the future.</w:t>
      </w:r>
    </w:p>
    <w:p>
      <w:pPr>
        <w:pStyle w:val="TextBody"/>
        <w:bidi w:val="0"/>
        <w:jc w:val="both"/>
        <w:rPr/>
      </w:pPr>
      <w:r>
        <w:rPr/>
        <w:t> </w:t>
      </w:r>
    </w:p>
    <w:p>
      <w:pPr>
        <w:pStyle w:val="TextBody"/>
        <w:bidi w:val="0"/>
        <w:ind w:left="245" w:right="0" w:hanging="0"/>
        <w:jc w:val="both"/>
        <w:rPr>
          <w:rFonts w:ascii="Times New Roman" w:hAnsi="Times New Roman"/>
          <w:b/>
          <w:i/>
          <w:color w:val="000000"/>
          <w:sz w:val="16"/>
        </w:rPr>
      </w:pPr>
      <w:r>
        <w:rPr>
          <w:rFonts w:ascii="Times New Roman" w:hAnsi="Times New Roman"/>
          <w:b/>
          <w:i/>
          <w:color w:val="000000"/>
          <w:sz w:val="16"/>
        </w:rPr>
        <w:t>(d) Distributions and Capital Transactions</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Capital transactions through offerings of our common stock are recorded when issued and offering costs are charged as a reduction of capital upon issuance of our common stock.</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On March 27, 2023 we entered into equity distribution agreements with JMP Securities LLC, Raymond James &amp; Associates, Inc. and Truist Securities, Inc. (together, the "Equity Distribution Agreements"), as sales agents (each a "Sales Agent" and together, the "Sales Agents") in connection with the sale of shares of our common stock, with an aggregate offering price of up to $100</w:t>
      </w:r>
      <w:r>
        <w:rPr>
          <w:rFonts w:ascii="Times New Roman" w:hAnsi="Times New Roman"/>
          <w:color w:val="000000"/>
          <w:sz w:val="20"/>
        </w:rPr>
        <w:t xml:space="preserve"> </w:t>
      </w:r>
      <w:r>
        <w:rPr>
          <w:rFonts w:ascii="Times New Roman" w:hAnsi="Times New Roman"/>
          <w:color w:val="000000"/>
          <w:sz w:val="16"/>
        </w:rPr>
        <w:t>million under an at-the-market offering ("ATM Program"). On August 11, 2023 we amended the Equity Distribution Agreements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with each of the Sales Agents (together, the "Amended and Restated Equity Distribution Agreements") to increase the aggregate offering price to up to $250</w:t>
      </w:r>
      <w:r>
        <w:rPr>
          <w:rFonts w:ascii="Times New Roman" w:hAnsi="Times New Roman"/>
          <w:color w:val="000000"/>
          <w:sz w:val="20"/>
        </w:rPr>
        <w:t xml:space="preserve"> </w:t>
      </w:r>
      <w:r>
        <w:rPr>
          <w:rFonts w:ascii="Times New Roman" w:hAnsi="Times New Roman"/>
          <w:color w:val="000000"/>
          <w:sz w:val="16"/>
        </w:rPr>
        <w:t>million. The Amended and Restated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During the three months ended December 31, 2023, we did not</w:t>
      </w:r>
      <w:r>
        <w:rPr>
          <w:rFonts w:ascii="Times New Roman" w:hAnsi="Times New Roman"/>
          <w:color w:val="000000"/>
          <w:sz w:val="20"/>
        </w:rPr>
        <w:t xml:space="preserve"> </w:t>
      </w:r>
      <w:r>
        <w:rPr>
          <w:rFonts w:ascii="Times New Roman" w:hAnsi="Times New Roman"/>
          <w:color w:val="000000"/>
          <w:sz w:val="16"/>
        </w:rPr>
        <w:t>issue any shares of common stock through the ATM Program.</w:t>
      </w:r>
    </w:p>
    <w:p>
      <w:pPr>
        <w:pStyle w:val="TextBody"/>
        <w:bidi w:val="0"/>
        <w:jc w:val="both"/>
        <w:rPr/>
      </w:pPr>
      <w:r>
        <w:rPr/>
        <w:t> </w:t>
      </w:r>
    </w:p>
    <w:p>
      <w:pPr>
        <w:pStyle w:val="TextBody"/>
        <w:bidi w:val="0"/>
        <w:ind w:left="245" w:right="0" w:hanging="0"/>
        <w:jc w:val="both"/>
        <w:rPr>
          <w:rFonts w:ascii="Times New Roman" w:hAnsi="Times New Roman"/>
          <w:b/>
          <w:i/>
          <w:color w:val="000000"/>
          <w:sz w:val="16"/>
        </w:rPr>
      </w:pPr>
      <w:r>
        <w:rPr>
          <w:rFonts w:ascii="Times New Roman" w:hAnsi="Times New Roman"/>
          <w:b/>
          <w:i/>
          <w:color w:val="000000"/>
          <w:sz w:val="16"/>
        </w:rPr>
        <w:t>(e) Foreign Currency Translation</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Our books and records are maintained in U.S. dollars. Any foreign currency amounts are translated into U.S. dollars on the following basis:</w:t>
      </w:r>
    </w:p>
    <w:p>
      <w:pPr>
        <w:pStyle w:val="TextBody"/>
        <w:bidi w:val="0"/>
        <w:ind w:left="0" w:right="110" w:hanging="0"/>
        <w:jc w:val="both"/>
        <w:rPr/>
      </w:pPr>
      <w:r>
        <w:rPr/>
        <w:t> </w:t>
      </w:r>
    </w:p>
    <w:p>
      <w:pPr>
        <w:pStyle w:val="TextBody"/>
        <w:bidi w:val="0"/>
        <w:spacing w:before="0" w:after="0"/>
        <w:ind w:left="450" w:right="0" w:hanging="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Fair value of investment securities, other assets and liabilities – at the exchange rates prevailing at the end of the applicable period; and</w:t>
      </w:r>
    </w:p>
    <w:p>
      <w:pPr>
        <w:pStyle w:val="TextBody"/>
        <w:bidi w:val="0"/>
        <w:jc w:val="both"/>
        <w:rPr/>
      </w:pPr>
      <w:r>
        <w:rPr/>
        <w:t> </w:t>
      </w:r>
    </w:p>
    <w:p>
      <w:pPr>
        <w:pStyle w:val="TextBody"/>
        <w:bidi w:val="0"/>
        <w:spacing w:before="0" w:after="0"/>
        <w:ind w:left="450" w:right="0" w:hanging="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Purchases and sales of investment securities, income and expenses – at the exchange rates prevailing on the respective dates of such transactions.</w:t>
      </w:r>
    </w:p>
    <w:p>
      <w:pPr>
        <w:pStyle w:val="TextBody"/>
        <w:bidi w:val="0"/>
        <w:ind w:left="0" w:right="110" w:hanging="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pStyle w:val="TextBody"/>
        <w:bidi w:val="0"/>
        <w:jc w:val="left"/>
        <w:rPr/>
      </w:pPr>
      <w:r>
        <w:rPr/>
        <w:t> </w:t>
      </w:r>
    </w:p>
    <w:p>
      <w:pPr>
        <w:pStyle w:val="TextBody"/>
        <w:bidi w:val="0"/>
        <w:ind w:left="245" w:right="0" w:hanging="0"/>
        <w:jc w:val="left"/>
        <w:rPr>
          <w:rFonts w:ascii="Times New Roman" w:hAnsi="Times New Roman"/>
          <w:b/>
          <w:i/>
          <w:color w:val="000000"/>
          <w:sz w:val="16"/>
        </w:rPr>
      </w:pPr>
      <w:r>
        <w:rPr>
          <w:rFonts w:ascii="Times New Roman" w:hAnsi="Times New Roman"/>
          <w:b/>
          <w:i/>
          <w:color w:val="000000"/>
          <w:sz w:val="16"/>
        </w:rPr>
        <w:t>(f) Consolidation</w:t>
      </w:r>
    </w:p>
    <w:p>
      <w:pPr>
        <w:pStyle w:val="TextBody"/>
        <w:bidi w:val="0"/>
        <w:jc w:val="left"/>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pStyle w:val="TextBody"/>
        <w:bidi w:val="0"/>
        <w:jc w:val="both"/>
        <w:rPr/>
      </w:pPr>
      <w:r>
        <w:rPr/>
        <w:t> </w:t>
      </w:r>
    </w:p>
    <w:p>
      <w:pPr>
        <w:pStyle w:val="TextBody"/>
        <w:bidi w:val="0"/>
        <w:ind w:left="245" w:right="0" w:hanging="0"/>
        <w:jc w:val="both"/>
        <w:rPr>
          <w:rFonts w:ascii="Times New Roman" w:hAnsi="Times New Roman"/>
          <w:b/>
          <w:i/>
          <w:color w:val="000000"/>
          <w:sz w:val="16"/>
        </w:rPr>
      </w:pPr>
      <w:r>
        <w:rPr>
          <w:rFonts w:ascii="Times New Roman" w:hAnsi="Times New Roman"/>
          <w:b/>
          <w:i/>
          <w:color w:val="000000"/>
          <w:sz w:val="16"/>
        </w:rPr>
        <w:t>(g) Asset Transfers and Servicing</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pStyle w:val="TextBody"/>
        <w:bidi w:val="0"/>
        <w:ind w:left="0" w:right="0" w:firstLine="432"/>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(h) Recent Accounting Pronouncements</w:t>
      </w:r>
    </w:p>
    <w:p>
      <w:pPr>
        <w:pStyle w:val="TextBody"/>
        <w:bidi w:val="0"/>
        <w:jc w:val="both"/>
        <w:rPr>
          <w:rFonts w:ascii="Times New Roman" w:hAnsi="Times New Roman"/>
          <w:color w:val="000000"/>
          <w:sz w:val="16"/>
        </w:rPr>
      </w:pPr>
      <w:r>
        <w:rPr>
          <w:rFonts w:ascii="Times New Roman" w:hAnsi="Times New Roman"/>
          <w:color w:val="000000"/>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months ended December 31, 2023, the effect of which was not material to the consolidated financial statements and the notes thereto.</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jc w:val="both"/>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3. AGREEMENTS AND RELATED PARTY TRANSACTIONS</w:t>
      </w:r>
    </w:p>
    <w:p>
      <w:pPr>
        <w:pStyle w:val="TextBody"/>
        <w:bidi w:val="0"/>
        <w:jc w:val="left"/>
        <w:rPr/>
      </w:pPr>
      <w:r>
        <w:rPr/>
        <w:t> </w:t>
      </w:r>
    </w:p>
    <w:p>
      <w:pPr>
        <w:pStyle w:val="TextBody"/>
        <w:bidi w:val="0"/>
        <w:ind w:left="0" w:right="0" w:firstLine="288"/>
        <w:jc w:val="both"/>
        <w:rPr>
          <w:rFonts w:ascii="Times New Roman" w:hAnsi="Times New Roman"/>
          <w:b/>
          <w:i/>
          <w:color w:val="000000"/>
          <w:sz w:val="16"/>
        </w:rPr>
      </w:pPr>
      <w:r>
        <w:rPr>
          <w:rFonts w:ascii="Times New Roman" w:hAnsi="Times New Roman"/>
          <w:b/>
          <w:i/>
          <w:color w:val="000000"/>
          <w:sz w:val="16"/>
        </w:rPr>
        <w:t>(a) Investment Management Agreement</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Investment Management Agreement with the Investment Adviser was reapproved by our board of directors, including a majority of our directors who are not interested persons of us or the Investment Adviser, in February 2024.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both"/>
        <w:rPr/>
      </w:pPr>
      <w:r>
        <w:rPr/>
        <w:t> </w:t>
      </w:r>
    </w:p>
    <w:p>
      <w:pPr>
        <w:pStyle w:val="TextBody"/>
        <w:bidi w:val="0"/>
        <w:ind w:left="490" w:right="0" w:hanging="0"/>
        <w:jc w:val="both"/>
        <w:rPr>
          <w:rFonts w:ascii="Times New Roman" w:hAnsi="Times New Roman"/>
          <w:b/>
          <w:i/>
          <w:color w:val="000000"/>
          <w:sz w:val="16"/>
        </w:rPr>
      </w:pPr>
      <w:r>
        <w:rPr>
          <w:rFonts w:ascii="Times New Roman" w:hAnsi="Times New Roman"/>
          <w:b/>
          <w:i/>
          <w:color w:val="000000"/>
          <w:sz w:val="16"/>
        </w:rPr>
        <w:t>Base Management Fee</w:t>
      </w:r>
    </w:p>
    <w:p>
      <w:pPr>
        <w:pStyle w:val="TextBody"/>
        <w:bidi w:val="0"/>
        <w:ind w:left="490" w:right="0" w:hanging="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w:t>
      </w:r>
      <w:r>
        <w:rPr>
          <w:rFonts w:ascii="Times New Roman" w:hAnsi="Times New Roman"/>
          <w:color w:val="000000"/>
          <w:sz w:val="20"/>
        </w:rPr>
        <w:t xml:space="preserve"> </w:t>
      </w:r>
      <w:r>
        <w:rPr>
          <w:rFonts w:ascii="Times New Roman" w:hAnsi="Times New Roman"/>
          <w:color w:val="000000"/>
          <w:sz w:val="16"/>
        </w:rPr>
        <w:t>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2023 and 2022, the Investment Adviser earned a base management fee of</w:t>
      </w:r>
      <w:r>
        <w:rPr>
          <w:rFonts w:ascii="Times New Roman" w:hAnsi="Times New Roman"/>
          <w:color w:val="000000"/>
          <w:sz w:val="20"/>
        </w:rPr>
        <w:t xml:space="preserve"> </w:t>
      </w:r>
      <w:r>
        <w:rPr>
          <w:rFonts w:ascii="Times New Roman" w:hAnsi="Times New Roman"/>
          <w:color w:val="000000"/>
          <w:sz w:val="16"/>
        </w:rPr>
        <w:t>$3.0</w:t>
      </w:r>
      <w:r>
        <w:rPr>
          <w:rFonts w:ascii="Times New Roman" w:hAnsi="Times New Roman"/>
          <w:color w:val="000000"/>
          <w:sz w:val="20"/>
        </w:rPr>
        <w:t xml:space="preserve"> </w:t>
      </w:r>
      <w:r>
        <w:rPr>
          <w:rFonts w:ascii="Times New Roman" w:hAnsi="Times New Roman"/>
          <w:color w:val="000000"/>
          <w:sz w:val="16"/>
        </w:rPr>
        <w:t>million and $2.9</w:t>
      </w:r>
      <w:r>
        <w:rPr>
          <w:rFonts w:ascii="Times New Roman" w:hAnsi="Times New Roman"/>
          <w:color w:val="000000"/>
          <w:sz w:val="20"/>
        </w:rPr>
        <w:t xml:space="preserve"> </w:t>
      </w:r>
      <w:r>
        <w:rPr>
          <w:rFonts w:ascii="Times New Roman" w:hAnsi="Times New Roman"/>
          <w:color w:val="000000"/>
          <w:sz w:val="16"/>
        </w:rPr>
        <w:t>million respectively, from us.</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ind w:left="490" w:right="0" w:hanging="0"/>
        <w:jc w:val="both"/>
        <w:rPr>
          <w:rFonts w:ascii="Times New Roman" w:hAnsi="Times New Roman"/>
          <w:b/>
          <w:i/>
          <w:color w:val="000000"/>
          <w:sz w:val="16"/>
        </w:rPr>
      </w:pPr>
      <w:r>
        <w:rPr>
          <w:rFonts w:ascii="Times New Roman" w:hAnsi="Times New Roman"/>
          <w:b/>
          <w:i/>
          <w:color w:val="000000"/>
          <w:sz w:val="16"/>
        </w:rPr>
        <w:t>Incentive Fee</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incentive fee has two parts, as follows:</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w:t>
      </w:r>
      <w:r>
        <w:rPr>
          <w:rFonts w:ascii="Times New Roman" w:hAnsi="Times New Roman"/>
          <w:color w:val="000000"/>
          <w:sz w:val="20"/>
        </w:rPr>
        <w:t xml:space="preserve"> </w:t>
      </w:r>
      <w:r>
        <w:rPr>
          <w:rFonts w:ascii="Times New Roman" w:hAnsi="Times New Roman"/>
          <w:color w:val="000000"/>
          <w:sz w:val="16"/>
        </w:rPr>
        <w:t>These calculations are pro-rated for any share issuances or repurchases during the relevant quarter, if applicable. For the three months ended December 31, 2023 and 2022, the Investment Adviser earned $4.9</w:t>
      </w:r>
      <w:r>
        <w:rPr>
          <w:rFonts w:ascii="Times New Roman" w:hAnsi="Times New Roman"/>
          <w:color w:val="000000"/>
          <w:sz w:val="20"/>
        </w:rPr>
        <w:t xml:space="preserve"> </w:t>
      </w:r>
      <w:r>
        <w:rPr>
          <w:rFonts w:ascii="Times New Roman" w:hAnsi="Times New Roman"/>
          <w:color w:val="000000"/>
          <w:sz w:val="16"/>
        </w:rPr>
        <w:t>million and $3.4</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respectively, in incentive fees on net investment income from us.</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2023 and 2022, the Investment Adviser did not accrue an incentive fee on capital gains, as calculated under the Investment Management Agreement (as described above).</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months ended December 31, 2023 and 2022, was zero, respectively.</w:t>
      </w:r>
      <w:r>
        <w:rPr>
          <w:rFonts w:ascii="Times New Roman" w:hAnsi="Times New Roman"/>
          <w:color w:val="000000"/>
          <w:sz w:val="20"/>
        </w:rPr>
        <w:t xml:space="preserve"> </w:t>
      </w:r>
    </w:p>
    <w:p>
      <w:pPr>
        <w:pStyle w:val="TextBody"/>
        <w:bidi w:val="0"/>
        <w:jc w:val="both"/>
        <w:rPr/>
      </w:pPr>
      <w:r>
        <w:rPr/>
        <w:t> </w:t>
      </w:r>
    </w:p>
    <w:p>
      <w:pPr>
        <w:pStyle w:val="TextBody"/>
        <w:bidi w:val="0"/>
        <w:ind w:left="0" w:right="0" w:firstLine="288"/>
        <w:jc w:val="both"/>
        <w:rPr>
          <w:rFonts w:ascii="Times New Roman" w:hAnsi="Times New Roman"/>
          <w:b/>
          <w:i/>
          <w:color w:val="000000"/>
          <w:sz w:val="16"/>
        </w:rPr>
      </w:pPr>
      <w:r>
        <w:rPr>
          <w:rFonts w:ascii="Times New Roman" w:hAnsi="Times New Roman"/>
          <w:b/>
          <w:i/>
          <w:color w:val="000000"/>
          <w:sz w:val="16"/>
        </w:rPr>
        <w:t>(b) Administration Agreement</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 Administration Agreement with the Administrator was reapproved by our board of directors, including a majority of the directors who are not interested persons of us, in February 2024.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2023 and 2022, we recorded administrative expenses of approximately</w:t>
      </w:r>
      <w:r>
        <w:rPr>
          <w:rFonts w:ascii="Times New Roman" w:hAnsi="Times New Roman"/>
          <w:color w:val="000000"/>
          <w:sz w:val="20"/>
        </w:rPr>
        <w:t xml:space="preserve"> </w:t>
      </w:r>
      <w:r>
        <w:rPr>
          <w:rFonts w:ascii="Times New Roman" w:hAnsi="Times New Roman"/>
          <w:color w:val="000000"/>
          <w:sz w:val="16"/>
        </w:rPr>
        <w:t>$0.6</w:t>
      </w:r>
      <w:r>
        <w:rPr>
          <w:rFonts w:ascii="Times New Roman" w:hAnsi="Times New Roman"/>
          <w:color w:val="000000"/>
          <w:sz w:val="20"/>
        </w:rPr>
        <w:t xml:space="preserve"> </w:t>
      </w:r>
      <w:r>
        <w:rPr>
          <w:rFonts w:ascii="Times New Roman" w:hAnsi="Times New Roman"/>
          <w:color w:val="000000"/>
          <w:sz w:val="16"/>
        </w:rPr>
        <w:t>million and $0.1</w:t>
      </w:r>
      <w:r>
        <w:rPr>
          <w:rFonts w:ascii="Times New Roman" w:hAnsi="Times New Roman"/>
          <w:color w:val="000000"/>
          <w:sz w:val="20"/>
        </w:rPr>
        <w:t xml:space="preserve"> </w:t>
      </w:r>
      <w:r>
        <w:rPr>
          <w:rFonts w:ascii="Times New Roman" w:hAnsi="Times New Roman"/>
          <w:color w:val="000000"/>
          <w:sz w:val="16"/>
        </w:rPr>
        <w:t>million, respectively, including expenses the Administrator incurred for services described above.</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pStyle w:val="TextBody"/>
        <w:bidi w:val="0"/>
        <w:jc w:val="both"/>
        <w:rPr/>
      </w:pPr>
      <w:r>
        <w:rPr/>
        <w:t> </w:t>
      </w:r>
    </w:p>
    <w:p>
      <w:pPr>
        <w:pStyle w:val="TextBody"/>
        <w:bidi w:val="0"/>
        <w:ind w:left="0" w:right="0" w:firstLine="288"/>
        <w:jc w:val="both"/>
        <w:rPr>
          <w:rFonts w:ascii="Times New Roman" w:hAnsi="Times New Roman"/>
          <w:b/>
          <w:i/>
          <w:color w:val="000000"/>
          <w:sz w:val="16"/>
        </w:rPr>
      </w:pPr>
      <w:r>
        <w:rPr>
          <w:rFonts w:ascii="Times New Roman" w:hAnsi="Times New Roman"/>
          <w:b/>
          <w:i/>
          <w:color w:val="000000"/>
          <w:sz w:val="16"/>
        </w:rPr>
        <w:t>(c) Other Related Party Transactions</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There were no</w:t>
      </w:r>
      <w:r>
        <w:rPr>
          <w:rFonts w:ascii="Times New Roman" w:hAnsi="Times New Roman"/>
          <w:color w:val="000000"/>
          <w:sz w:val="20"/>
        </w:rPr>
        <w:t xml:space="preserve"> </w:t>
      </w:r>
      <w:r>
        <w:rPr>
          <w:rFonts w:ascii="Times New Roman" w:hAnsi="Times New Roman"/>
          <w:color w:val="000000"/>
          <w:sz w:val="16"/>
        </w:rPr>
        <w:t>transactions subject to Rule 17a-7 under the 1940 Act during each of the three months ended December 31, 2023 and 2022.</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For the three months ended December 31, 2023 and 2022, we sold $62.7</w:t>
      </w:r>
      <w:r>
        <w:rPr>
          <w:rFonts w:ascii="Times New Roman" w:hAnsi="Times New Roman"/>
          <w:color w:val="000000"/>
          <w:sz w:val="20"/>
        </w:rPr>
        <w:t xml:space="preserve"> </w:t>
      </w:r>
      <w:r>
        <w:rPr>
          <w:rFonts w:ascii="Times New Roman" w:hAnsi="Times New Roman"/>
          <w:color w:val="000000"/>
          <w:sz w:val="16"/>
        </w:rPr>
        <w:t>million and $18.8</w:t>
      </w:r>
      <w:r>
        <w:rPr>
          <w:rFonts w:ascii="Times New Roman" w:hAnsi="Times New Roman"/>
          <w:color w:val="000000"/>
          <w:sz w:val="20"/>
        </w:rPr>
        <w:t xml:space="preserve"> </w:t>
      </w:r>
      <w:r>
        <w:rPr>
          <w:rFonts w:ascii="Times New Roman" w:hAnsi="Times New Roman"/>
          <w:color w:val="000000"/>
          <w:sz w:val="16"/>
        </w:rPr>
        <w:t>million in investments to PSSL at fair value, respectively, and recognized</w:t>
      </w:r>
      <w:r>
        <w:rPr>
          <w:rFonts w:ascii="Times New Roman" w:hAnsi="Times New Roman"/>
          <w:color w:val="000000"/>
          <w:sz w:val="20"/>
        </w:rPr>
        <w:t xml:space="preserve"> </w:t>
      </w:r>
      <w:r>
        <w:rPr>
          <w:rFonts w:ascii="Times New Roman" w:hAnsi="Times New Roman"/>
          <w:color w:val="000000"/>
          <w:sz w:val="16"/>
        </w:rPr>
        <w:t>zero</w:t>
      </w:r>
      <w:r>
        <w:rPr>
          <w:rFonts w:ascii="Times New Roman" w:hAnsi="Times New Roman"/>
          <w:color w:val="000000"/>
          <w:sz w:val="20"/>
        </w:rPr>
        <w:t xml:space="preserve"> </w:t>
      </w:r>
      <w:r>
        <w:rPr>
          <w:rFonts w:ascii="Times New Roman" w:hAnsi="Times New Roman"/>
          <w:color w:val="000000"/>
          <w:sz w:val="16"/>
        </w:rPr>
        <w:t>and zero</w:t>
      </w:r>
      <w:r>
        <w:rPr>
          <w:rFonts w:ascii="Times New Roman" w:hAnsi="Times New Roman"/>
          <w:color w:val="000000"/>
          <w:sz w:val="20"/>
        </w:rPr>
        <w:t xml:space="preserve"> </w:t>
      </w:r>
      <w:r>
        <w:rPr>
          <w:rFonts w:ascii="Times New Roman" w:hAnsi="Times New Roman"/>
          <w:color w:val="000000"/>
          <w:sz w:val="16"/>
        </w:rPr>
        <w:t>of net realized gains (losses), respectively.</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For the three months ended December 31, 2023 and 2022, we sold no investments to PTSF.</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As of December 31, 2023 and September 30, 2023, PFLT had a payable to PSSL and PTSF of $0.5</w:t>
      </w:r>
      <w:r>
        <w:rPr>
          <w:rFonts w:ascii="Times New Roman" w:hAnsi="Times New Roman"/>
          <w:color w:val="000000"/>
          <w:sz w:val="20"/>
        </w:rPr>
        <w:t xml:space="preserve"> </w:t>
      </w:r>
      <w:r>
        <w:rPr>
          <w:rFonts w:ascii="Times New Roman" w:hAnsi="Times New Roman"/>
          <w:color w:val="000000"/>
          <w:sz w:val="16"/>
        </w:rPr>
        <w:t>million and $0.6</w:t>
      </w:r>
      <w:r>
        <w:rPr>
          <w:rFonts w:ascii="Times New Roman" w:hAnsi="Times New Roman"/>
          <w:color w:val="000000"/>
          <w:sz w:val="20"/>
        </w:rPr>
        <w:t xml:space="preserve"> </w:t>
      </w:r>
      <w:r>
        <w:rPr>
          <w:rFonts w:ascii="Times New Roman" w:hAnsi="Times New Roman"/>
          <w:color w:val="000000"/>
          <w:sz w:val="16"/>
        </w:rPr>
        <w:t>million, respectively, presented as a Due to Affiliates on the consolidated statement of assets and liabilities. These amounts are related to cash owed to PSSL and PTSF from PFLT in connection with trades between the funds.</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As of December 31, 2023 and September 30, 2023, PFLT had a receivable from the Administrator of $0.1</w:t>
      </w:r>
      <w:r>
        <w:rPr>
          <w:rFonts w:ascii="Times New Roman" w:hAnsi="Times New Roman"/>
          <w:color w:val="000000"/>
          <w:sz w:val="20"/>
        </w:rPr>
        <w:t xml:space="preserve"> </w:t>
      </w:r>
      <w:r>
        <w:rPr>
          <w:rFonts w:ascii="Times New Roman" w:hAnsi="Times New Roman"/>
          <w:color w:val="000000"/>
          <w:sz w:val="16"/>
        </w:rPr>
        <w:t>million and zero, respectively, presented as Due from Affiliate on the consolidated statements of assets and liabilities. This amount relates to agency fees collected on behalf of the Company.</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4. INVESTMENTS</w:t>
      </w:r>
    </w:p>
    <w:p>
      <w:pPr>
        <w:pStyle w:val="TextBody"/>
        <w:bidi w:val="0"/>
        <w:ind w:left="0" w:right="0" w:firstLine="49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For the three months ended December 31, 2023 and 2022, purchases of investments, including PIK interest totaled</w:t>
      </w:r>
      <w:r>
        <w:rPr>
          <w:rFonts w:ascii="Times New Roman" w:hAnsi="Times New Roman"/>
          <w:color w:val="000000"/>
          <w:sz w:val="20"/>
        </w:rPr>
        <w:t xml:space="preserve"> </w:t>
      </w:r>
      <w:r>
        <w:rPr>
          <w:rFonts w:ascii="Times New Roman" w:hAnsi="Times New Roman"/>
          <w:color w:val="000000"/>
          <w:sz w:val="16"/>
        </w:rPr>
        <w:t>$303.5</w:t>
      </w:r>
      <w:r>
        <w:rPr>
          <w:rFonts w:ascii="Times New Roman" w:hAnsi="Times New Roman"/>
          <w:color w:val="000000"/>
          <w:sz w:val="20"/>
        </w:rPr>
        <w:t xml:space="preserve"> </w:t>
      </w:r>
      <w:r>
        <w:rPr>
          <w:rFonts w:ascii="Times New Roman" w:hAnsi="Times New Roman"/>
          <w:color w:val="000000"/>
          <w:sz w:val="16"/>
        </w:rPr>
        <w:t>million and $65.6</w:t>
      </w:r>
      <w:r>
        <w:rPr>
          <w:rFonts w:ascii="Times New Roman" w:hAnsi="Times New Roman"/>
          <w:color w:val="000000"/>
          <w:sz w:val="20"/>
        </w:rPr>
        <w:t xml:space="preserve"> </w:t>
      </w:r>
      <w:r>
        <w:rPr>
          <w:rFonts w:ascii="Times New Roman" w:hAnsi="Times New Roman"/>
          <w:color w:val="000000"/>
          <w:sz w:val="16"/>
        </w:rPr>
        <w:t>million, respectively. For the three months ended December 31, 2023 and 2022, sales and repayments of investments totaled</w:t>
      </w:r>
      <w:r>
        <w:rPr>
          <w:rFonts w:ascii="Times New Roman" w:hAnsi="Times New Roman"/>
          <w:color w:val="000000"/>
          <w:sz w:val="20"/>
        </w:rPr>
        <w:t xml:space="preserve"> </w:t>
      </w:r>
      <w:r>
        <w:rPr>
          <w:rFonts w:ascii="Times New Roman" w:hAnsi="Times New Roman"/>
          <w:color w:val="000000"/>
          <w:sz w:val="16"/>
        </w:rPr>
        <w:t>$103.8</w:t>
      </w:r>
      <w:r>
        <w:rPr>
          <w:rFonts w:ascii="Times New Roman" w:hAnsi="Times New Roman"/>
          <w:color w:val="000000"/>
          <w:sz w:val="20"/>
        </w:rPr>
        <w:t xml:space="preserve"> </w:t>
      </w:r>
      <w:r>
        <w:rPr>
          <w:rFonts w:ascii="Times New Roman" w:hAnsi="Times New Roman"/>
          <w:color w:val="000000"/>
          <w:sz w:val="16"/>
        </w:rPr>
        <w:t>million and $63.0</w:t>
      </w:r>
      <w:r>
        <w:rPr>
          <w:rFonts w:ascii="Times New Roman" w:hAnsi="Times New Roman"/>
          <w:color w:val="000000"/>
          <w:sz w:val="20"/>
        </w:rPr>
        <w:t xml:space="preserve"> </w:t>
      </w:r>
      <w:r>
        <w:rPr>
          <w:rFonts w:ascii="Times New Roman" w:hAnsi="Times New Roman"/>
          <w:color w:val="000000"/>
          <w:sz w:val="16"/>
        </w:rPr>
        <w:t>million, respectively.</w:t>
      </w:r>
      <w:r>
        <w:rPr>
          <w:rFonts w:ascii="Times New Roman" w:hAnsi="Times New Roman"/>
          <w:color w:val="000000"/>
          <w:sz w:val="20"/>
        </w:rPr>
        <w:t xml:space="preserve"> </w:t>
      </w:r>
    </w:p>
    <w:p>
      <w:pPr>
        <w:pStyle w:val="TextBody"/>
        <w:bidi w:val="0"/>
        <w:spacing w:before="160" w:after="283"/>
        <w:ind w:left="0" w:right="0" w:firstLine="432"/>
        <w:jc w:val="both"/>
        <w:rPr>
          <w:rFonts w:ascii="Times New Roman" w:hAnsi="Times New Roman"/>
          <w:color w:val="000000"/>
          <w:sz w:val="16"/>
        </w:rPr>
      </w:pPr>
      <w:r>
        <w:rPr>
          <w:rFonts w:ascii="Times New Roman" w:hAnsi="Times New Roman"/>
          <w:color w:val="000000"/>
          <w:sz w:val="16"/>
        </w:rPr>
        <w:t>Investments and cash and cash equivalents consisted of the following:</w:t>
      </w:r>
    </w:p>
    <w:p>
      <w:pPr>
        <w:pStyle w:val="TextBody"/>
        <w:bidi w:val="0"/>
        <w:ind w:left="0" w:right="0" w:firstLine="432"/>
        <w:jc w:val="left"/>
        <w:rPr/>
      </w:pPr>
      <w:r>
        <w:rPr/>
        <w:t> </w:t>
      </w:r>
    </w:p>
    <w:tbl>
      <w:tblPr>
        <w:tblW w:w="8752" w:type="dxa"/>
        <w:jc w:val="left"/>
        <w:tblInd w:w="0" w:type="dxa"/>
        <w:tblLayout w:type="fixed"/>
        <w:tblCellMar>
          <w:top w:w="28" w:type="dxa"/>
          <w:left w:w="28" w:type="dxa"/>
          <w:bottom w:w="28" w:type="dxa"/>
          <w:right w:w="28" w:type="dxa"/>
        </w:tblCellMar>
      </w:tblPr>
      <w:tblGrid>
        <w:gridCol w:w="3451"/>
        <w:gridCol w:w="146"/>
        <w:gridCol w:w="196"/>
        <w:gridCol w:w="826"/>
        <w:gridCol w:w="146"/>
        <w:gridCol w:w="146"/>
        <w:gridCol w:w="196"/>
        <w:gridCol w:w="826"/>
        <w:gridCol w:w="146"/>
        <w:gridCol w:w="146"/>
        <w:gridCol w:w="196"/>
        <w:gridCol w:w="826"/>
        <w:gridCol w:w="146"/>
        <w:gridCol w:w="146"/>
        <w:gridCol w:w="196"/>
        <w:gridCol w:w="82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880,376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708,452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696,078</w:t>
            </w:r>
          </w:p>
        </w:tc>
        <w:tc>
          <w:tcPr>
            <w:tcW w:w="191" w:type="dxa"/>
            <w:tcBorders/>
            <w:shd w:fill="CCEC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in PSSL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210,088</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91" w:type="dxa"/>
            <w:tcBorders/>
            <w:shd w:fill="CCEC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109,978</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interests in PSSL</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90,038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90,038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50,881</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75,809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and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1,167,729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32"/>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The table below describes investments by industry classification and enumerates the percentage, by fair value, of the total portfolio assets (excluding cash and cash equivalents) in such industries:</w:t>
      </w:r>
    </w:p>
    <w:p>
      <w:pPr>
        <w:pStyle w:val="TextBody"/>
        <w:bidi w:val="0"/>
        <w:ind w:left="0" w:right="0" w:firstLine="490"/>
        <w:jc w:val="left"/>
        <w:rPr/>
      </w:pPr>
      <w:r>
        <w:rPr/>
        <w:t> </w:t>
      </w:r>
    </w:p>
    <w:tbl>
      <w:tblPr>
        <w:tblW w:w="8085" w:type="dxa"/>
        <w:jc w:val="left"/>
        <w:tblInd w:w="0" w:type="dxa"/>
        <w:tblLayout w:type="fixed"/>
        <w:tblCellMar>
          <w:top w:w="28" w:type="dxa"/>
          <w:left w:w="28" w:type="dxa"/>
          <w:bottom w:w="28" w:type="dxa"/>
          <w:right w:w="28" w:type="dxa"/>
        </w:tblCellMar>
      </w:tblPr>
      <w:tblGrid>
        <w:gridCol w:w="3796"/>
        <w:gridCol w:w="146"/>
        <w:gridCol w:w="465"/>
        <w:gridCol w:w="1200"/>
        <w:gridCol w:w="241"/>
        <w:gridCol w:w="241"/>
        <w:gridCol w:w="477"/>
        <w:gridCol w:w="1233"/>
        <w:gridCol w:w="28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December 31, 2023 </w:t>
            </w:r>
            <w:r>
              <w:rPr>
                <w:rFonts w:ascii="Times New Roman" w:hAnsi="Times New Roman"/>
                <w:b/>
                <w:color w:val="000000"/>
                <w:sz w:val="11"/>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September 30, 2023 </w:t>
            </w:r>
            <w:r>
              <w:rPr>
                <w:rFonts w:ascii="Times New Roman" w:hAnsi="Times New Roman"/>
                <w:b/>
                <w:color w:val="000000"/>
                <w:sz w:val="11"/>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and Defense</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Products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Distributors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 Services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 Components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color w:val="000000"/>
              </w:rPr>
            </w:pPr>
            <w:r>
              <w:rPr>
                <w:color w:val="000000"/>
              </w:rPr>
              <w:t>—</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Technology</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High Tech Industries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and Building</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Insurance</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Equipment</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Hotels, Restaurants and Leisure</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Equipment and Supplies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&amp; Engineering</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Leisure Products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 Freight and Logistics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Energy Equipment and Services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Food Products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Wholesale</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center"/>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6"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CFF" w:val="clear"/>
            <w:vAlign w:val="center"/>
          </w:tcPr>
          <w:p>
            <w:pPr>
              <w:pStyle w:val="TableContents"/>
              <w:bidi w:val="0"/>
              <w:spacing w:before="0" w:after="283"/>
              <w:jc w:val="left"/>
              <w:rPr/>
            </w:pPr>
            <w:r>
              <w:rPr/>
              <w:t> </w:t>
            </w:r>
          </w:p>
        </w:tc>
        <w:tc>
          <w:tcPr>
            <w:tcW w:w="4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CECFF" w:val="clear"/>
            <w:vAlign w:val="center"/>
          </w:tcPr>
          <w:p>
            <w:pPr>
              <w:pStyle w:val="TableContents"/>
              <w:bidi w:val="0"/>
              <w:spacing w:before="0" w:after="283"/>
              <w:jc w:val="center"/>
              <w:rPr/>
            </w:pPr>
            <w:r>
              <w:rPr/>
              <w:t> </w:t>
            </w:r>
          </w:p>
        </w:tc>
        <w:tc>
          <w:tcPr>
            <w:tcW w:w="4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ind w:left="0" w:right="8200" w:hanging="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Excludes investments in PSSL.</w:t>
      </w:r>
    </w:p>
    <w:p>
      <w:pPr>
        <w:pStyle w:val="TextBody"/>
        <w:pBdr/>
        <w:bidi w:val="0"/>
        <w:ind w:left="0" w:right="0" w:hanging="360"/>
        <w:jc w:val="left"/>
        <w:rPr/>
      </w:pPr>
      <w:r>
        <w:rPr/>
        <w:t> </w:t>
      </w:r>
    </w:p>
    <w:p>
      <w:pPr>
        <w:pStyle w:val="TextBody"/>
        <w:pBdr/>
        <w:bidi w:val="0"/>
        <w:ind w:left="0" w:right="0" w:hanging="360"/>
        <w:jc w:val="left"/>
        <w:rPr>
          <w:rFonts w:ascii="Times New Roman" w:hAnsi="Times New Roman"/>
          <w:sz w:val="20"/>
        </w:rPr>
      </w:pPr>
      <w:r>
        <w:rPr>
          <w:rFonts w:ascii="Times New Roman" w:hAnsi="Times New Roman"/>
          <w:b/>
          <w:color w:val="000000"/>
          <w:sz w:val="16"/>
        </w:rPr>
        <w:t>PennantPark Senior Secured Loan Fund I LLC</w:t>
      </w:r>
      <w:r>
        <w:rPr>
          <w:rFonts w:ascii="Times New Roman" w:hAnsi="Times New Roman"/>
          <w:color w:val="000000"/>
          <w:sz w:val="20"/>
        </w:rPr>
        <w:t xml:space="preserve"> </w:t>
      </w:r>
    </w:p>
    <w:p>
      <w:pPr>
        <w:pStyle w:val="TextBody"/>
        <w:pBdr/>
        <w:bidi w:val="0"/>
        <w:ind w:left="0" w:right="0" w:hanging="36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May 2017, we and Kemper formed PSSL, an unconsolidated joint venture. PSSL invests primarily in middle-market and other corporate debt securities consistent with our strategy. PSSL was formed as a Delaware limited liability company. As of December 31, 2023 and September 30, 2023, PSSL had total assets of $879.4</w:t>
      </w:r>
      <w:r>
        <w:rPr>
          <w:rFonts w:ascii="Times New Roman" w:hAnsi="Times New Roman"/>
          <w:color w:val="000000"/>
          <w:sz w:val="20"/>
        </w:rPr>
        <w:t xml:space="preserve"> </w:t>
      </w:r>
      <w:r>
        <w:rPr>
          <w:rFonts w:ascii="Times New Roman" w:hAnsi="Times New Roman"/>
          <w:color w:val="000000"/>
          <w:sz w:val="16"/>
        </w:rPr>
        <w:t>million and $869.4</w:t>
      </w:r>
      <w:r>
        <w:rPr>
          <w:rFonts w:ascii="Times New Roman" w:hAnsi="Times New Roman"/>
          <w:color w:val="000000"/>
          <w:sz w:val="20"/>
        </w:rPr>
        <w:t xml:space="preserve"> </w:t>
      </w:r>
      <w:r>
        <w:rPr>
          <w:rFonts w:ascii="Times New Roman" w:hAnsi="Times New Roman"/>
          <w:color w:val="000000"/>
          <w:sz w:val="16"/>
        </w:rPr>
        <w:t>million, respectively, and its investment portfolio consisted of investments in 106</w:t>
      </w:r>
      <w:r>
        <w:rPr>
          <w:rFonts w:ascii="Times New Roman" w:hAnsi="Times New Roman"/>
          <w:color w:val="000000"/>
          <w:sz w:val="20"/>
        </w:rPr>
        <w:t xml:space="preserve"> </w:t>
      </w:r>
      <w:r>
        <w:rPr>
          <w:rFonts w:ascii="Times New Roman" w:hAnsi="Times New Roman"/>
          <w:color w:val="000000"/>
          <w:sz w:val="16"/>
        </w:rPr>
        <w:t>and 105</w:t>
      </w:r>
      <w:r>
        <w:rPr>
          <w:rFonts w:ascii="Times New Roman" w:hAnsi="Times New Roman"/>
          <w:color w:val="000000"/>
          <w:sz w:val="20"/>
        </w:rPr>
        <w:t xml:space="preserve"> </w:t>
      </w:r>
      <w:r>
        <w:rPr>
          <w:rFonts w:ascii="Times New Roman" w:hAnsi="Times New Roman"/>
          <w:color w:val="000000"/>
          <w:sz w:val="16"/>
        </w:rPr>
        <w:t>portfolio companies, respectively. As of December 31, 2023, at fair value, the largest investment in a single portfolio company in PSSL was $21.1</w:t>
      </w:r>
      <w:r>
        <w:rPr>
          <w:rFonts w:ascii="Times New Roman" w:hAnsi="Times New Roman"/>
          <w:color w:val="000000"/>
          <w:sz w:val="20"/>
        </w:rPr>
        <w:t xml:space="preserve"> </w:t>
      </w:r>
      <w:r>
        <w:rPr>
          <w:rFonts w:ascii="Times New Roman" w:hAnsi="Times New Roman"/>
          <w:color w:val="000000"/>
          <w:sz w:val="16"/>
        </w:rPr>
        <w:t>million and the five largest investments totaled $91.7</w:t>
      </w:r>
      <w:r>
        <w:rPr>
          <w:rFonts w:ascii="Times New Roman" w:hAnsi="Times New Roman"/>
          <w:color w:val="000000"/>
          <w:sz w:val="20"/>
        </w:rPr>
        <w:t xml:space="preserve"> </w:t>
      </w:r>
      <w:r>
        <w:rPr>
          <w:rFonts w:ascii="Times New Roman" w:hAnsi="Times New Roman"/>
          <w:color w:val="000000"/>
          <w:sz w:val="16"/>
        </w:rPr>
        <w:t>million. As of September 30, 2023, at fair value, the largest investment in a single portfolio company in PSSL was $18.5</w:t>
      </w:r>
      <w:r>
        <w:rPr>
          <w:rFonts w:ascii="Times New Roman" w:hAnsi="Times New Roman"/>
          <w:color w:val="000000"/>
          <w:sz w:val="20"/>
        </w:rPr>
        <w:t xml:space="preserve"> </w:t>
      </w:r>
      <w:r>
        <w:rPr>
          <w:rFonts w:ascii="Times New Roman" w:hAnsi="Times New Roman"/>
          <w:color w:val="000000"/>
          <w:sz w:val="16"/>
        </w:rPr>
        <w:t>million and the five largest investments totaled $83.4</w:t>
      </w:r>
      <w:r>
        <w:rPr>
          <w:rFonts w:ascii="Times New Roman" w:hAnsi="Times New Roman"/>
          <w:color w:val="000000"/>
          <w:sz w:val="20"/>
        </w:rPr>
        <w:t xml:space="preserve"> </w:t>
      </w:r>
      <w:r>
        <w:rPr>
          <w:rFonts w:ascii="Times New Roman" w:hAnsi="Times New Roman"/>
          <w:color w:val="000000"/>
          <w:sz w:val="16"/>
        </w:rPr>
        <w:t>million. PSSL invests in portfolio companies in the same industries in which we may directly invest.</w:t>
      </w:r>
    </w:p>
    <w:p>
      <w:pPr>
        <w:pStyle w:val="TextBody"/>
        <w:bidi w:val="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We and Kemper provide capital to PSSL in the form of first lien secured debt and equity interests. As of December 31, 2023, and September 30, 2023, we and Kemper owned 87.5% and 12.5%, respectively, of each of the outstanding first lien secured debt and equity interests. As of the same dates, our investment in PSSL consisted of first lien secured debt of $210.1</w:t>
      </w:r>
      <w:r>
        <w:rPr>
          <w:rFonts w:ascii="Times New Roman" w:hAnsi="Times New Roman"/>
          <w:color w:val="000000"/>
          <w:sz w:val="20"/>
        </w:rPr>
        <w:t xml:space="preserve"> </w:t>
      </w:r>
      <w:r>
        <w:rPr>
          <w:rFonts w:ascii="Times New Roman" w:hAnsi="Times New Roman"/>
          <w:color w:val="000000"/>
          <w:sz w:val="16"/>
        </w:rPr>
        <w:t>million (additional $27.6</w:t>
      </w:r>
      <w:r>
        <w:rPr>
          <w:rFonts w:ascii="Times New Roman" w:hAnsi="Times New Roman"/>
          <w:color w:val="000000"/>
          <w:sz w:val="20"/>
        </w:rPr>
        <w:t xml:space="preserve"> </w:t>
      </w:r>
      <w:r>
        <w:rPr>
          <w:rFonts w:ascii="Times New Roman" w:hAnsi="Times New Roman"/>
          <w:color w:val="000000"/>
          <w:sz w:val="16"/>
        </w:rPr>
        <w:t>million unfunded) and $210.1</w:t>
      </w:r>
      <w:r>
        <w:rPr>
          <w:rFonts w:ascii="Times New Roman" w:hAnsi="Times New Roman"/>
          <w:color w:val="000000"/>
          <w:sz w:val="20"/>
        </w:rPr>
        <w:t xml:space="preserve"> </w:t>
      </w:r>
      <w:r>
        <w:rPr>
          <w:rFonts w:ascii="Times New Roman" w:hAnsi="Times New Roman"/>
          <w:color w:val="000000"/>
          <w:sz w:val="16"/>
        </w:rPr>
        <w:t>million (additional $27.6</w:t>
      </w:r>
      <w:r>
        <w:rPr>
          <w:rFonts w:ascii="Times New Roman" w:hAnsi="Times New Roman"/>
          <w:color w:val="000000"/>
          <w:sz w:val="20"/>
        </w:rPr>
        <w:t xml:space="preserve"> </w:t>
      </w:r>
      <w:r>
        <w:rPr>
          <w:rFonts w:ascii="Times New Roman" w:hAnsi="Times New Roman"/>
          <w:color w:val="000000"/>
          <w:sz w:val="16"/>
        </w:rPr>
        <w:t>million unfunded), respectively, and equity interests of $90.0</w:t>
      </w:r>
      <w:r>
        <w:rPr>
          <w:rFonts w:ascii="Times New Roman" w:hAnsi="Times New Roman"/>
          <w:color w:val="000000"/>
          <w:sz w:val="20"/>
        </w:rPr>
        <w:t xml:space="preserve"> </w:t>
      </w:r>
      <w:r>
        <w:rPr>
          <w:rFonts w:ascii="Times New Roman" w:hAnsi="Times New Roman"/>
          <w:color w:val="000000"/>
          <w:sz w:val="16"/>
        </w:rPr>
        <w:t>million (additional $11.8</w:t>
      </w:r>
      <w:r>
        <w:rPr>
          <w:rFonts w:ascii="Times New Roman" w:hAnsi="Times New Roman"/>
          <w:color w:val="000000"/>
          <w:sz w:val="20"/>
        </w:rPr>
        <w:t xml:space="preserve"> </w:t>
      </w:r>
      <w:r>
        <w:rPr>
          <w:rFonts w:ascii="Times New Roman" w:hAnsi="Times New Roman"/>
          <w:color w:val="000000"/>
          <w:sz w:val="16"/>
        </w:rPr>
        <w:t>million unfunded) and $90.0</w:t>
      </w:r>
      <w:r>
        <w:rPr>
          <w:rFonts w:ascii="Times New Roman" w:hAnsi="Times New Roman"/>
          <w:color w:val="000000"/>
          <w:sz w:val="20"/>
        </w:rPr>
        <w:t xml:space="preserve"> </w:t>
      </w:r>
      <w:r>
        <w:rPr>
          <w:rFonts w:ascii="Times New Roman" w:hAnsi="Times New Roman"/>
          <w:color w:val="000000"/>
          <w:sz w:val="16"/>
        </w:rPr>
        <w:t>million (additional $11.8</w:t>
      </w:r>
      <w:r>
        <w:rPr>
          <w:rFonts w:ascii="Times New Roman" w:hAnsi="Times New Roman"/>
          <w:color w:val="000000"/>
          <w:sz w:val="20"/>
        </w:rPr>
        <w:t xml:space="preserve"> </w:t>
      </w:r>
      <w:r>
        <w:rPr>
          <w:rFonts w:ascii="Times New Roman" w:hAnsi="Times New Roman"/>
          <w:color w:val="000000"/>
          <w:sz w:val="16"/>
        </w:rPr>
        <w:t>million unfunded), respectively.</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August 2023 PSSL entered into a $260.0</w:t>
      </w:r>
      <w:r>
        <w:rPr>
          <w:rFonts w:ascii="Times New Roman" w:hAnsi="Times New Roman"/>
          <w:color w:val="000000"/>
          <w:sz w:val="20"/>
        </w:rPr>
        <w:t xml:space="preserve"> </w:t>
      </w:r>
      <w:r>
        <w:rPr>
          <w:rFonts w:ascii="Times New Roman" w:hAnsi="Times New Roman"/>
          <w:color w:val="000000"/>
          <w:sz w:val="16"/>
        </w:rPr>
        <w:t>million (decreased from $325.0</w:t>
      </w:r>
      <w:r>
        <w:rPr>
          <w:rFonts w:ascii="Times New Roman" w:hAnsi="Times New Roman"/>
          <w:color w:val="000000"/>
          <w:sz w:val="20"/>
        </w:rPr>
        <w:t xml:space="preserve"> </w:t>
      </w:r>
      <w:r>
        <w:rPr>
          <w:rFonts w:ascii="Times New Roman" w:hAnsi="Times New Roman"/>
          <w:color w:val="000000"/>
          <w:sz w:val="16"/>
        </w:rPr>
        <w:t>million) senior secured revolving credit facility which bears interest at SOFR plus 260 basis points</w:t>
      </w:r>
      <w:r>
        <w:rPr>
          <w:rFonts w:ascii="Times New Roman" w:hAnsi="Times New Roman"/>
          <w:color w:val="000000"/>
          <w:sz w:val="20"/>
        </w:rPr>
        <w:t xml:space="preserve"> </w:t>
      </w:r>
      <w:r>
        <w:rPr>
          <w:rFonts w:ascii="Times New Roman" w:hAnsi="Times New Roman"/>
          <w:color w:val="000000"/>
          <w:sz w:val="16"/>
        </w:rPr>
        <w:t>(including a spread adjustment) with Ally Bank through its wholly-owned subsidiary, PennantPark Senior Secured Loan Facility LLC II, or PSSL Subsidiary II, subject to leverage and borrowing base restrictions.</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January 2021, PSSL completed a $300.7</w:t>
      </w:r>
      <w:r>
        <w:rPr>
          <w:rFonts w:ascii="Times New Roman" w:hAnsi="Times New Roman"/>
          <w:color w:val="000000"/>
          <w:sz w:val="20"/>
        </w:rPr>
        <w:t xml:space="preserve"> </w:t>
      </w:r>
      <w:r>
        <w:rPr>
          <w:rFonts w:ascii="Times New Roman" w:hAnsi="Times New Roman"/>
          <w:color w:val="000000"/>
          <w:sz w:val="16"/>
        </w:rPr>
        <w:t>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April 2023, PSSL completed a $297.8</w:t>
      </w:r>
      <w:r>
        <w:rPr>
          <w:rFonts w:ascii="Times New Roman" w:hAnsi="Times New Roman"/>
          <w:color w:val="000000"/>
          <w:sz w:val="20"/>
        </w:rPr>
        <w:t xml:space="preserve"> </w:t>
      </w:r>
      <w:r>
        <w:rPr>
          <w:rFonts w:ascii="Times New Roman" w:hAnsi="Times New Roman"/>
          <w:color w:val="000000"/>
          <w:sz w:val="16"/>
        </w:rPr>
        <w:t>million debt securitization in the form of a collateralized loan obligation, or the “2035 Asset-Backed Debt”. The 2035 Asset-Backed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pStyle w:val="TextBody"/>
        <w:bidi w:val="0"/>
        <w:ind w:left="0" w:right="0" w:firstLine="432"/>
        <w:jc w:val="both"/>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Below is a summary of PSSL’s portfolio at fair value:</w:t>
      </w:r>
    </w:p>
    <w:p>
      <w:pPr>
        <w:pStyle w:val="TextBody"/>
        <w:bidi w:val="0"/>
        <w:ind w:left="0" w:right="0" w:firstLine="432"/>
        <w:jc w:val="left"/>
        <w:rPr/>
      </w:pPr>
      <w:r>
        <w:rPr/>
        <w:t> </w:t>
      </w:r>
    </w:p>
    <w:tbl>
      <w:tblPr>
        <w:tblW w:w="8335" w:type="dxa"/>
        <w:jc w:val="left"/>
        <w:tblInd w:w="0" w:type="dxa"/>
        <w:tblLayout w:type="fixed"/>
        <w:tblCellMar>
          <w:top w:w="28" w:type="dxa"/>
          <w:left w:w="28" w:type="dxa"/>
          <w:bottom w:w="28" w:type="dxa"/>
          <w:right w:w="28" w:type="dxa"/>
        </w:tblCellMar>
      </w:tblPr>
      <w:tblGrid>
        <w:gridCol w:w="4471"/>
        <w:gridCol w:w="146"/>
        <w:gridCol w:w="331"/>
        <w:gridCol w:w="1169"/>
        <w:gridCol w:w="241"/>
        <w:gridCol w:w="146"/>
        <w:gridCol w:w="341"/>
        <w:gridCol w:w="1204"/>
        <w:gridCol w:w="28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thousands)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3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836,857</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785,859</w:t>
            </w:r>
          </w:p>
        </w:tc>
        <w:tc>
          <w:tcPr>
            <w:tcW w:w="286" w:type="dxa"/>
            <w:tcBorders/>
            <w:shd w:fill="CCECFF"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cost yield on income producing investments</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7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Number of portfolio companies in PSSL</w:t>
            </w:r>
          </w:p>
        </w:tc>
        <w:tc>
          <w:tcPr>
            <w:tcW w:w="146" w:type="dxa"/>
            <w:tcBorders/>
            <w:shd w:fill="CCECFF" w:val="clear"/>
            <w:vAlign w:val="center"/>
          </w:tcPr>
          <w:p>
            <w:pPr>
              <w:pStyle w:val="TableContents"/>
              <w:bidi w:val="0"/>
              <w:spacing w:before="0" w:after="283"/>
              <w:jc w:val="left"/>
              <w:rPr/>
            </w:pPr>
            <w:r>
              <w:rPr/>
              <w:t> </w:t>
            </w:r>
          </w:p>
        </w:tc>
        <w:tc>
          <w:tcPr>
            <w:tcW w:w="331" w:type="dxa"/>
            <w:tcBorders/>
            <w:shd w:fill="CCECFF" w:val="clear"/>
            <w:vAlign w:val="center"/>
          </w:tcPr>
          <w:p>
            <w:pPr>
              <w:pStyle w:val="TableContents"/>
              <w:bidi w:val="0"/>
              <w:spacing w:before="0" w:after="283"/>
              <w:jc w:val="left"/>
              <w:rPr/>
            </w:pPr>
            <w:r>
              <w:rPr/>
              <w:t> </w:t>
            </w:r>
          </w:p>
        </w:tc>
        <w:tc>
          <w:tcPr>
            <w:tcW w:w="11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pPr>
            <w:r>
              <w:rPr/>
              <w:t> </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286" w:type="dxa"/>
            <w:tcBorders/>
            <w:shd w:fill="CCECFF"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Largest portfolio company investment</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18,463</w:t>
            </w:r>
          </w:p>
        </w:tc>
        <w:tc>
          <w:tcPr>
            <w:tcW w:w="286" w:type="dxa"/>
            <w:tcBorders/>
            <w:shd w:fill="FFFFFF" w:val="clear"/>
            <w:vAlign w:val="center"/>
          </w:tcPr>
          <w:p>
            <w:pPr>
              <w:pStyle w:val="TableContents"/>
              <w:bidi w:val="0"/>
              <w:spacing w:before="0" w:after="283"/>
              <w:jc w:val="left"/>
              <w:rPr/>
            </w:pPr>
            <w:r>
              <w:rPr/>
              <w:t> </w:t>
            </w:r>
          </w:p>
        </w:tc>
      </w:tr>
      <w:tr>
        <w:trPr/>
        <w:tc>
          <w:tcPr>
            <w:tcW w:w="447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of five largest portfolio company investments</w:t>
            </w:r>
          </w:p>
        </w:tc>
        <w:tc>
          <w:tcPr>
            <w:tcW w:w="146" w:type="dxa"/>
            <w:tcBorders/>
            <w:shd w:fill="CCECFF" w:val="clear"/>
            <w:vAlign w:val="center"/>
          </w:tcPr>
          <w:p>
            <w:pPr>
              <w:pStyle w:val="TableContents"/>
              <w:bidi w:val="0"/>
              <w:spacing w:before="0" w:after="283"/>
              <w:jc w:val="left"/>
              <w:rPr/>
            </w:pPr>
            <w:r>
              <w:rPr/>
              <w:t> </w:t>
            </w:r>
          </w:p>
        </w:tc>
        <w:tc>
          <w:tcPr>
            <w:tcW w:w="3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91,715</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83,365</w:t>
            </w:r>
          </w:p>
        </w:tc>
        <w:tc>
          <w:tcPr>
            <w:tcW w:w="286"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center"/>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Below is a listing of PSSL’s individual investments as of December 31, 2023 (Par and $ in thousands):</w:t>
      </w:r>
    </w:p>
    <w:p>
      <w:pPr>
        <w:pStyle w:val="TextBody"/>
        <w:bidi w:val="0"/>
        <w:ind w:left="0" w:right="0" w:firstLine="432"/>
        <w:jc w:val="left"/>
        <w:rPr/>
      </w:pPr>
      <w:r>
        <w:rPr/>
        <w:t> </w:t>
      </w:r>
    </w:p>
    <w:tbl>
      <w:tblPr>
        <w:tblW w:w="10205" w:type="dxa"/>
        <w:jc w:val="left"/>
        <w:tblInd w:w="0" w:type="dxa"/>
        <w:tblLayout w:type="fixed"/>
        <w:tblCellMar>
          <w:top w:w="28" w:type="dxa"/>
          <w:left w:w="28" w:type="dxa"/>
          <w:bottom w:w="28" w:type="dxa"/>
          <w:right w:w="28" w:type="dxa"/>
        </w:tblCellMar>
      </w:tblPr>
      <w:tblGrid>
        <w:gridCol w:w="2655"/>
        <w:gridCol w:w="146"/>
        <w:gridCol w:w="621"/>
        <w:gridCol w:w="146"/>
        <w:gridCol w:w="1951"/>
        <w:gridCol w:w="146"/>
        <w:gridCol w:w="182"/>
        <w:gridCol w:w="472"/>
        <w:gridCol w:w="211"/>
        <w:gridCol w:w="146"/>
        <w:gridCol w:w="678"/>
        <w:gridCol w:w="146"/>
        <w:gridCol w:w="146"/>
        <w:gridCol w:w="436"/>
        <w:gridCol w:w="146"/>
        <w:gridCol w:w="146"/>
        <w:gridCol w:w="166"/>
        <w:gridCol w:w="436"/>
        <w:gridCol w:w="146"/>
        <w:gridCol w:w="146"/>
        <w:gridCol w:w="204"/>
        <w:gridCol w:w="538"/>
        <w:gridCol w:w="195"/>
      </w:tblGrid>
      <w:tr>
        <w:trPr/>
        <w:tc>
          <w:tcPr>
            <w:tcW w:w="2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Spread Above</w:t>
              <w:br/>
              <w:t xml:space="preserve">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- 1,398.7%</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2,918</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Avenu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Falcon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8/1/2029</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18,696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12,307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 - Incremental Term Loan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4,788</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7/21/2027</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9,553</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7/1/2029</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8,865</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14,904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BlueHalo Financing Holdings,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9/26/2029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Automotive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By Light Professional IT Services,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5/16/2025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6/14/2028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8/20/2026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4/10/2025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5,484</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Challenger Performance Optimization,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8/31/2024</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8,909</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42" w:type="dxa"/>
            <w:gridSpan w:val="2"/>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Confluent Health,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10/28/2028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7/13/2027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14,675</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2,385</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14,033</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6/30/2024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ECL Entertainment,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8/31/2030</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8,843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3/15/2027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12,453</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5/29/2029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6/17/2028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10,150</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3/16/2026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8/10/2027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4,851</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6,075</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Integrative Nutrition,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10,351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2.25%)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8/27/2026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6/30/2025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8,061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3,822</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16,537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2/18/2027</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2/3/2026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11,964</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1/31/2030</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Industries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First-Out Term Loan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Last-Out Term Loan</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 - Super Priority First Lien Term Loan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Marketplace Events, LLC - Super Priority First Lien Unfunded Term Loan </w:t>
            </w: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5/14/2026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4/16/2027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8,282</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7/25/2028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2,295</w:t>
            </w:r>
          </w:p>
        </w:tc>
        <w:tc>
          <w:tcPr>
            <w:tcW w:w="195"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90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06"/>
        <w:gridCol w:w="146"/>
        <w:gridCol w:w="181"/>
        <w:gridCol w:w="433"/>
        <w:gridCol w:w="146"/>
        <w:gridCol w:w="146"/>
        <w:gridCol w:w="1767"/>
        <w:gridCol w:w="146"/>
        <w:gridCol w:w="177"/>
        <w:gridCol w:w="457"/>
        <w:gridCol w:w="211"/>
        <w:gridCol w:w="146"/>
        <w:gridCol w:w="194"/>
        <w:gridCol w:w="459"/>
        <w:gridCol w:w="146"/>
        <w:gridCol w:w="146"/>
        <w:gridCol w:w="146"/>
        <w:gridCol w:w="436"/>
        <w:gridCol w:w="146"/>
        <w:gridCol w:w="146"/>
        <w:gridCol w:w="166"/>
        <w:gridCol w:w="496"/>
        <w:gridCol w:w="146"/>
        <w:gridCol w:w="146"/>
        <w:gridCol w:w="181"/>
        <w:gridCol w:w="590"/>
        <w:gridCol w:w="199"/>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Spread Above</w:t>
              <w:br/>
              <w:t xml:space="preserve">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Medina Health,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18,957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Mission Critical Electronics,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3/28/2024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SOFR+590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5,769</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9/28/2027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3,418</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&amp; Childcare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10,043</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5/9/2029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Milani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6/6/2024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21,114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Acquisitions,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 - First-Out Term Loan</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 - Last-Out Term Loan</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SOFR+668</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5/18/2026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4,291</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Pacific Purchaser,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11,848</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 - Term Loan (f/k/a Simplicity Group)</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 Beauty Holdings III,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9/29/2025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4.00%)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5/8/2026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7/6/2028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2,740</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2/28/2028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10,973</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0.50%)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6/13/2029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12,020</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5/17/2028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10,299</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7/17/2025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4,568</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2,251</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13,555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Junior Revolving Credit Facility</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Walker Edison Furniture Company LLC - DDTL - Unfunded </w:t>
            </w: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15,896</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16,355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833,276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Equity Securities - 3.9%</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MPE Holdings, LLC</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5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 Common Equity</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5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Equity Securities</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5" w:type="dxa"/>
            <w:gridSpan w:val="7"/>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- 1,404.7%</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847,548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836,857</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25"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- 61.0%</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—1,465.7%</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883,887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873,196</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(1,365.7)%</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(813,620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59,576</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4"/>
        </w:rPr>
      </w:pPr>
      <w:r>
        <w:rPr>
          <w:rFonts w:ascii="Times New Roman" w:hAnsi="Times New Roman"/>
          <w:color w:val="000000"/>
          <w:sz w:val="4"/>
        </w:rPr>
        <w:t>cash a</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 xml:space="preserve">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LIBOR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 xml:space="preserve">Valued based on PSSL’s accounting policy.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(3)</w:t>
      </w:r>
    </w:p>
    <w:p>
      <w:pPr>
        <w:pStyle w:val="TextBody"/>
        <w:bidi w:val="0"/>
        <w:jc w:val="left"/>
        <w:rPr>
          <w:rFonts w:ascii="Times New Roman" w:hAnsi="Times New Roman"/>
          <w:color w:val="000000"/>
          <w:sz w:val="12"/>
        </w:rPr>
      </w:pPr>
      <w:r>
        <w:rPr>
          <w:rFonts w:ascii="Times New Roman" w:hAnsi="Times New Roman"/>
          <w:color w:val="000000"/>
          <w:sz w:val="12"/>
        </w:rPr>
        <w:t xml:space="preserve">Represents the purchase of a security with a delayed settlement or a revolving line of credit that is currently an unfunded investment. This security does not earn a basis point spread above an index while it is unfunded. </w:t>
      </w:r>
    </w:p>
    <w:p>
      <w:pPr>
        <w:pStyle w:val="TextBody"/>
        <w:bidi w:val="0"/>
        <w:jc w:val="left"/>
        <w:rPr/>
      </w:pPr>
      <w:r>
        <w:rPr/>
        <w:t> </w:t>
      </w:r>
    </w:p>
    <w:p>
      <w:pPr>
        <w:pStyle w:val="TextBody"/>
        <w:bidi w:val="0"/>
        <w:jc w:val="left"/>
        <w:rPr/>
      </w:pPr>
      <w:r>
        <w:rPr/>
        <w:t> </w:t>
      </w:r>
    </w:p>
    <w:p>
      <w:pPr>
        <w:pStyle w:val="TextBody"/>
        <w:bidi w:val="0"/>
        <w:ind w:left="0" w:right="8194" w:hanging="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Below is a listing of PSSL’s individual investments as of September 30, 2023 (Par and $ in thousands)</w:t>
      </w:r>
    </w:p>
    <w:tbl>
      <w:tblPr>
        <w:tblW w:w="10205" w:type="dxa"/>
        <w:jc w:val="left"/>
        <w:tblInd w:w="0" w:type="dxa"/>
        <w:tblLayout w:type="fixed"/>
        <w:tblCellMar>
          <w:top w:w="28" w:type="dxa"/>
          <w:left w:w="28" w:type="dxa"/>
          <w:bottom w:w="28" w:type="dxa"/>
          <w:right w:w="28" w:type="dxa"/>
        </w:tblCellMar>
      </w:tblPr>
      <w:tblGrid>
        <w:gridCol w:w="2679"/>
        <w:gridCol w:w="146"/>
        <w:gridCol w:w="621"/>
        <w:gridCol w:w="146"/>
        <w:gridCol w:w="1950"/>
        <w:gridCol w:w="146"/>
        <w:gridCol w:w="182"/>
        <w:gridCol w:w="472"/>
        <w:gridCol w:w="211"/>
        <w:gridCol w:w="146"/>
        <w:gridCol w:w="678"/>
        <w:gridCol w:w="146"/>
        <w:gridCol w:w="146"/>
        <w:gridCol w:w="436"/>
        <w:gridCol w:w="146"/>
        <w:gridCol w:w="146"/>
        <w:gridCol w:w="166"/>
        <w:gridCol w:w="436"/>
        <w:gridCol w:w="146"/>
        <w:gridCol w:w="146"/>
        <w:gridCol w:w="197"/>
        <w:gridCol w:w="518"/>
        <w:gridCol w:w="199"/>
      </w:tblGrid>
      <w:tr>
        <w:trPr/>
        <w:tc>
          <w:tcPr>
            <w:tcW w:w="2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Spread Above</w:t>
              <w:br/>
              <w:t xml:space="preserve">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- 1,347.5%</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8,754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12,338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Holdings Inc (fka MeritDirect) March 2023</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7/21/2027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B</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2,181</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 DDTL Unfunded (3)</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8/3/2029</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9,126</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7/1/2029</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8,933</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14,905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By Light Professional IT Services,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5/16/2025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Cadence Aerospace,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11/14/2023</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4,011</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2.00%)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6/14/2028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9,636</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4/10/2025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Challenger Performance Optimization,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15"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Confluent Health,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10/28/2028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6,445</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7/13/2027</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3,681</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14,712</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14,256</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6/30/2024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ECL Entertainment,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8/31/2030</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1/10/2029</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8,821</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 Rent Corporation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1/17/2024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2,171</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3/15/2027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5/29/2029</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12,193</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6/17/2028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3/16/2026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9,110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16,453</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Integrated Data Services</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8/1/2029</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18,463</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Integrative Nutrition,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2.25%)</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15"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8/27/2026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3,861</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12/20/2023</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2/18/2027</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14,862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2/3/2026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1/31/2030</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Industries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5/26/2028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(4)</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OpCo DIP Loans</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SOFR+1000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1,986</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 - Super Priority First Lien Term Loan</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 - Super Priority First Lien Unfunded Term Loan (3)</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5/14/2026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11,472</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4/16/2027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7/25/2028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2,312</w:t>
            </w:r>
          </w:p>
        </w:tc>
        <w:tc>
          <w:tcPr>
            <w:tcW w:w="19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8200" w:hanging="0"/>
        <w:jc w:val="left"/>
        <w:rPr/>
      </w:pPr>
      <w:r>
        <w:rPr/>
        <w:t> </w:t>
      </w:r>
    </w:p>
    <w:p>
      <w:pPr>
        <w:pStyle w:val="TextBody"/>
        <w:bidi w:val="0"/>
        <w:ind w:left="0" w:right="8200" w:hanging="0"/>
        <w:jc w:val="left"/>
        <w:rPr/>
      </w:pPr>
      <w:r>
        <w:rPr/>
        <w:t> </w:t>
      </w:r>
    </w:p>
    <w:p>
      <w:pPr>
        <w:pStyle w:val="TextBody"/>
        <w:pBdr>
          <w:bottom w:val="single" w:sz="4" w:space="1" w:color="000000"/>
        </w:pBdr>
        <w:bidi w:val="0"/>
        <w:ind w:left="0" w:right="82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66"/>
        <w:gridCol w:w="146"/>
        <w:gridCol w:w="181"/>
        <w:gridCol w:w="434"/>
        <w:gridCol w:w="146"/>
        <w:gridCol w:w="146"/>
        <w:gridCol w:w="1797"/>
        <w:gridCol w:w="146"/>
        <w:gridCol w:w="178"/>
        <w:gridCol w:w="460"/>
        <w:gridCol w:w="211"/>
        <w:gridCol w:w="146"/>
        <w:gridCol w:w="171"/>
        <w:gridCol w:w="407"/>
        <w:gridCol w:w="146"/>
        <w:gridCol w:w="146"/>
        <w:gridCol w:w="146"/>
        <w:gridCol w:w="436"/>
        <w:gridCol w:w="146"/>
        <w:gridCol w:w="146"/>
        <w:gridCol w:w="166"/>
        <w:gridCol w:w="496"/>
        <w:gridCol w:w="146"/>
        <w:gridCol w:w="146"/>
        <w:gridCol w:w="176"/>
        <w:gridCol w:w="575"/>
        <w:gridCol w:w="199"/>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Mission Critical Electronics,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3/28/2024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9/28/2027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3,355</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8/19/2026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&amp; Childcare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10,497</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Milani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6/6/2024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14,213</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Acquisitions,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2,023</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Output Services Group, Inc. </w:t>
            </w:r>
            <w:r>
              <w:rPr>
                <w:rFonts w:ascii="Times New Roman" w:hAnsi="Times New Roman"/>
                <w:color w:val="000000"/>
                <w:sz w:val="8"/>
              </w:rPr>
              <w:t>(4)</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5/18/2026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Peaquod Merger Sub,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11,244</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 Beauty Holdings III,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9/29/2025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7,974</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4.00%)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5/8/2026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7/6/2028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10,636</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2,761</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2/28/2028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10,878</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9,475</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5,116</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11,407</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0.50%)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6/13/2029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13,580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5/17/2028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10,598</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7/17/2025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4,563</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4,022</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8,894</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14,575</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7/18/2025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Aegis Technologies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5,518</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7,656</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8,654</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4,316</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13,379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Junior Revolving Credit Facility</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Walker Edison Furniture Company LLC - DDTL - Unfunded </w:t>
            </w: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16,188</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783,598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Equity Securities - 3.9%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MPE Holdings,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 Common Equity</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Equity Securities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gridSpan w:val="7"/>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- 1,351.4%</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804,608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785,859</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416"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- 133.2%</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—1,484.6%</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882,054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863,305</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(1,384.6)%</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(805,155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6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58,150</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bl>
    <w:p>
      <w:pPr>
        <w:pStyle w:val="TextBody"/>
        <w:bidi w:val="0"/>
        <w:ind w:left="0" w:right="8200" w:hanging="0"/>
        <w:jc w:val="left"/>
        <w:rPr/>
      </w:pPr>
      <w:r>
        <w:rPr/>
        <w:t> </w:t>
      </w:r>
    </w:p>
    <w:p>
      <w:pPr>
        <w:pStyle w:val="TextBody"/>
        <w:pBdr>
          <w:bottom w:val="single" w:sz="4" w:space="1" w:color="000000"/>
        </w:pBdr>
        <w:bidi w:val="0"/>
        <w:ind w:left="0" w:right="8200" w:hanging="0"/>
        <w:jc w:val="left"/>
        <w:rPr/>
      </w:pPr>
      <w:r>
        <w:rPr/>
        <w:t>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spacing w:before="0" w:after="0"/>
        <w:jc w:val="left"/>
        <w:rPr>
          <w:rFonts w:ascii="Times New Roman" w:hAnsi="Times New Roman"/>
          <w:sz w:val="20"/>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LIBOR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spacing w:before="0" w:after="0"/>
        <w:jc w:val="left"/>
        <w:rPr>
          <w:rFonts w:ascii="Times New Roman" w:hAnsi="Times New Roman"/>
          <w:sz w:val="20"/>
        </w:rPr>
      </w:pPr>
      <w:r>
        <w:rPr>
          <w:rFonts w:ascii="Times New Roman" w:hAnsi="Times New Roman"/>
          <w:color w:val="000000"/>
          <w:sz w:val="12"/>
        </w:rPr>
        <w:t>Valued based on PSSL’s accounting policy.</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(3)</w:t>
      </w:r>
    </w:p>
    <w:p>
      <w:pPr>
        <w:pStyle w:val="TextBody"/>
        <w:bidi w:val="0"/>
        <w:spacing w:before="0" w:after="0"/>
        <w:jc w:val="left"/>
        <w:rPr>
          <w:rFonts w:ascii="Times New Roman" w:hAnsi="Times New Roman"/>
          <w:sz w:val="20"/>
        </w:rPr>
      </w:pPr>
      <w:r>
        <w:rPr>
          <w:rFonts w:ascii="Times New Roman" w:hAnsi="Times New Roman"/>
          <w:color w:val="000000"/>
          <w:sz w:val="12"/>
        </w:rPr>
        <w:t>Represents the purchase of a security with a delayed settlement or a revolving line of credit that is currently an unfunded investment. This security does not earn a basis point spread above an index while it is unfunded.</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(4)</w:t>
      </w:r>
    </w:p>
    <w:p>
      <w:pPr>
        <w:pStyle w:val="TextBody"/>
        <w:bidi w:val="0"/>
        <w:jc w:val="left"/>
        <w:rPr>
          <w:rFonts w:ascii="Times New Roman" w:hAnsi="Times New Roman"/>
          <w:color w:val="000000"/>
          <w:sz w:val="12"/>
        </w:rPr>
      </w:pPr>
      <w:r>
        <w:rPr>
          <w:rFonts w:ascii="Times New Roman" w:hAnsi="Times New Roman"/>
          <w:color w:val="000000"/>
          <w:sz w:val="12"/>
        </w:rPr>
        <w:t>Security currently on interest non-accrual status.</w:t>
      </w:r>
    </w:p>
    <w:p>
      <w:pPr>
        <w:pStyle w:val="TextBody"/>
        <w:bidi w:val="0"/>
        <w:jc w:val="left"/>
        <w:rPr/>
      </w:pPr>
      <w:r>
        <w:rPr/>
        <w:t> </w:t>
      </w:r>
    </w:p>
    <w:p>
      <w:pPr>
        <w:pStyle w:val="TextBody"/>
        <w:pBdr/>
        <w:bidi w:val="0"/>
        <w:ind w:left="0" w:right="0" w:hanging="360"/>
        <w:jc w:val="left"/>
        <w:rPr/>
      </w:pPr>
      <w:r>
        <w:rPr/>
        <w:t> </w:t>
      </w:r>
    </w:p>
    <w:p>
      <w:pPr>
        <w:pStyle w:val="TextBody"/>
        <w:bidi w:val="0"/>
        <w:ind w:left="0" w:right="8194" w:hanging="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Below are the consolidated statements of assets and liabilities for PSSL ($ in thousands):</w:t>
      </w:r>
    </w:p>
    <w:tbl>
      <w:tblPr>
        <w:tblW w:w="10205" w:type="dxa"/>
        <w:jc w:val="left"/>
        <w:tblInd w:w="0" w:type="dxa"/>
        <w:tblLayout w:type="fixed"/>
        <w:tblCellMar>
          <w:top w:w="28" w:type="dxa"/>
          <w:left w:w="28" w:type="dxa"/>
          <w:bottom w:w="28" w:type="dxa"/>
          <w:right w:w="28" w:type="dxa"/>
        </w:tblCellMar>
      </w:tblPr>
      <w:tblGrid>
        <w:gridCol w:w="5702"/>
        <w:gridCol w:w="196"/>
        <w:gridCol w:w="260"/>
        <w:gridCol w:w="1231"/>
        <w:gridCol w:w="146"/>
        <w:gridCol w:w="146"/>
        <w:gridCol w:w="196"/>
        <w:gridCol w:w="266"/>
        <w:gridCol w:w="1269"/>
        <w:gridCol w:w="793"/>
      </w:tblGrid>
      <w:tr>
        <w:trPr/>
        <w:tc>
          <w:tcPr>
            <w:tcW w:w="5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702"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535" w:type="dxa"/>
            <w:gridSpan w:val="2"/>
            <w:tcBorders/>
            <w:shd w:fill="FFFFFF" w:val="clear"/>
            <w:vAlign w:val="center"/>
          </w:tcPr>
          <w:p>
            <w:pPr>
              <w:pStyle w:val="TableContents"/>
              <w:bidi w:val="0"/>
              <w:spacing w:before="0" w:after="283"/>
              <w:jc w:val="center"/>
              <w:rPr/>
            </w:pPr>
            <w:r>
              <w:rPr/>
              <w:t> </w:t>
            </w:r>
          </w:p>
        </w:tc>
        <w:tc>
          <w:tcPr>
            <w:tcW w:w="793" w:type="dxa"/>
            <w:tcBorders/>
            <w:shd w:fill="FFFFFF" w:val="clear"/>
            <w:vAlign w:val="center"/>
          </w:tcPr>
          <w:p>
            <w:pPr>
              <w:pStyle w:val="TableContents"/>
              <w:bidi w:val="0"/>
              <w:spacing w:before="0" w:after="283"/>
              <w:jc w:val="center"/>
              <w:rPr/>
            </w:pPr>
            <w:r>
              <w:rPr/>
              <w:t> </w:t>
            </w:r>
          </w:p>
        </w:tc>
      </w:tr>
      <w:tr>
        <w:trPr/>
        <w:tc>
          <w:tcPr>
            <w:tcW w:w="570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535" w:type="dxa"/>
            <w:gridSpan w:val="2"/>
            <w:tcBorders/>
            <w:shd w:fill="FFFFFF" w:val="clear"/>
            <w:vAlign w:val="center"/>
          </w:tcPr>
          <w:p>
            <w:pPr>
              <w:pStyle w:val="TableContents"/>
              <w:bidi w:val="0"/>
              <w:spacing w:before="0" w:after="283"/>
              <w:jc w:val="center"/>
              <w:rPr/>
            </w:pPr>
            <w:r>
              <w:rPr/>
              <w:t> </w:t>
            </w:r>
          </w:p>
        </w:tc>
        <w:tc>
          <w:tcPr>
            <w:tcW w:w="793" w:type="dxa"/>
            <w:tcBorders/>
            <w:shd w:fill="FFFFFF" w:val="clear"/>
            <w:vAlign w:val="center"/>
          </w:tcPr>
          <w:p>
            <w:pPr>
              <w:pStyle w:val="TableContents"/>
              <w:bidi w:val="0"/>
              <w:spacing w:before="0" w:after="283"/>
              <w:jc w:val="center"/>
              <w:rPr/>
            </w:pPr>
            <w:r>
              <w:rPr/>
              <w:t> </w:t>
            </w:r>
          </w:p>
        </w:tc>
      </w:tr>
      <w:tr>
        <w:trPr/>
        <w:tc>
          <w:tcPr>
            <w:tcW w:w="5702"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96" w:type="dxa"/>
            <w:tcBorders/>
            <w:shd w:fill="CCECFF" w:val="clear"/>
            <w:vAlign w:val="center"/>
          </w:tcPr>
          <w:p>
            <w:pPr>
              <w:pStyle w:val="TableContents"/>
              <w:bidi w:val="0"/>
              <w:spacing w:before="0" w:after="283"/>
              <w:jc w:val="left"/>
              <w:rPr/>
            </w:pPr>
            <w:r>
              <w:rPr/>
              <w:t> </w:t>
            </w:r>
          </w:p>
        </w:tc>
        <w:tc>
          <w:tcPr>
            <w:tcW w:w="149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1535" w:type="dxa"/>
            <w:gridSpan w:val="2"/>
            <w:tcBorders/>
            <w:shd w:fill="CCECFF" w:val="clear"/>
            <w:vAlign w:val="center"/>
          </w:tcPr>
          <w:p>
            <w:pPr>
              <w:pStyle w:val="TableContents"/>
              <w:bidi w:val="0"/>
              <w:spacing w:before="0" w:after="283"/>
              <w:jc w:val="right"/>
              <w:rPr/>
            </w:pPr>
            <w:r>
              <w:rPr/>
              <w:t> </w:t>
            </w:r>
          </w:p>
        </w:tc>
        <w:tc>
          <w:tcPr>
            <w:tcW w:w="793" w:type="dxa"/>
            <w:tcBorders/>
            <w:shd w:fill="CCECFF" w:val="clear"/>
            <w:vAlign w:val="center"/>
          </w:tcPr>
          <w:p>
            <w:pPr>
              <w:pStyle w:val="TableContents"/>
              <w:bidi w:val="0"/>
              <w:spacing w:before="0" w:after="283"/>
              <w:jc w:val="righ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Investments at fair value (amortized cost—$847,548</w:t>
            </w:r>
            <w:r>
              <w:rPr>
                <w:rFonts w:ascii="Times New Roman" w:hAnsi="Times New Roman"/>
                <w:color w:val="000000"/>
                <w:sz w:val="20"/>
              </w:rPr>
              <w:t> </w:t>
            </w:r>
            <w:r>
              <w:rPr>
                <w:rFonts w:ascii="Times New Roman" w:hAnsi="Times New Roman"/>
                <w:color w:val="000000"/>
                <w:sz w:val="16"/>
              </w:rPr>
              <w:t>and $804,608, respectively)</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785,859</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(cost—$36,339</w:t>
            </w:r>
            <w:r>
              <w:rPr>
                <w:rFonts w:ascii="Times New Roman" w:hAnsi="Times New Roman"/>
                <w:color w:val="000000"/>
                <w:sz w:val="20"/>
              </w:rPr>
              <w:t> </w:t>
            </w:r>
            <w:r>
              <w:rPr>
                <w:rFonts w:ascii="Times New Roman" w:hAnsi="Times New Roman"/>
                <w:color w:val="000000"/>
                <w:sz w:val="16"/>
              </w:rPr>
              <w:t>and $77,446, respectively)</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77,446</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5,179</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affiliate</w:t>
            </w:r>
          </w:p>
        </w:tc>
        <w:tc>
          <w:tcPr>
            <w:tcW w:w="196" w:type="dxa"/>
            <w:tcBorders/>
            <w:shd w:fill="CCECFF" w:val="clear"/>
            <w:vAlign w:val="center"/>
          </w:tcPr>
          <w:p>
            <w:pPr>
              <w:pStyle w:val="TableContents"/>
              <w:bidi w:val="0"/>
              <w:spacing w:before="0" w:after="283"/>
              <w:jc w:val="righ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righ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2"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assets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879,393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869,410</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96" w:type="dxa"/>
            <w:tcBorders/>
            <w:shd w:fill="FFFFFF" w:val="clear"/>
            <w:vAlign w:val="center"/>
          </w:tcPr>
          <w:p>
            <w:pPr>
              <w:pStyle w:val="TableContents"/>
              <w:bidi w:val="0"/>
              <w:spacing w:before="0" w:after="283"/>
              <w:jc w:val="left"/>
              <w:rPr/>
            </w:pPr>
            <w:r>
              <w:rPr/>
              <w:t> </w:t>
            </w:r>
          </w:p>
        </w:tc>
        <w:tc>
          <w:tcPr>
            <w:tcW w:w="14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535"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payable</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48,600</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Asset-backed debt, net (par—$246,000)</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243,973</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2035 Asset-backed debt, net (par—$246,000)</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243,483</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payable to members</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240,100</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Credit facility and asset backed debt</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14,291</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investments purchased</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13,466</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notes to members</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2"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819,817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811,260</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Commitments and contingencies</w:t>
            </w:r>
            <w:r>
              <w:rPr>
                <w:rFonts w:ascii="Times New Roman" w:hAnsi="Times New Roman"/>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5702"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Members' equity</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59,576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58,150</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 and members'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869,410</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ind w:left="0" w:right="8200" w:hanging="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As of December 31, 2023 and September 30, 2023, PSSL had unfunded commitments to fund investments of $1.6 million and $1.1 million, respectively.</w:t>
      </w:r>
    </w:p>
    <w:p>
      <w:pPr>
        <w:pStyle w:val="TextBody"/>
        <w:pBdr/>
        <w:bidi w:val="0"/>
        <w:ind w:left="0" w:right="0" w:hanging="360"/>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Below are the consolidated statements of operations for PSSL ($ in thousands):</w:t>
      </w:r>
    </w:p>
    <w:tbl>
      <w:tblPr>
        <w:tblW w:w="8235" w:type="dxa"/>
        <w:jc w:val="left"/>
        <w:tblInd w:w="0" w:type="dxa"/>
        <w:tblLayout w:type="fixed"/>
        <w:tblCellMar>
          <w:top w:w="28" w:type="dxa"/>
          <w:left w:w="28" w:type="dxa"/>
          <w:bottom w:w="28" w:type="dxa"/>
          <w:right w:w="28" w:type="dxa"/>
        </w:tblCellMar>
      </w:tblPr>
      <w:tblGrid>
        <w:gridCol w:w="5086"/>
        <w:gridCol w:w="146"/>
        <w:gridCol w:w="266"/>
        <w:gridCol w:w="818"/>
        <w:gridCol w:w="226"/>
        <w:gridCol w:w="198"/>
        <w:gridCol w:w="266"/>
        <w:gridCol w:w="818"/>
        <w:gridCol w:w="4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shd w:fill="FFFFFF" w:val="cle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084"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11" w:type="dxa"/>
            <w:tcBorders/>
            <w:shd w:fill="FFFFFF" w:val="cle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CCECFF" w:val="clear"/>
            <w:vAlign w:val="center"/>
          </w:tcPr>
          <w:p>
            <w:pPr>
              <w:pStyle w:val="TableContents"/>
              <w:bidi w:val="0"/>
              <w:spacing w:before="0" w:after="283"/>
              <w:jc w:val="right"/>
              <w:rPr/>
            </w:pPr>
            <w:r>
              <w:rPr/>
              <w:t> </w:t>
            </w:r>
          </w:p>
        </w:tc>
        <w:tc>
          <w:tcPr>
            <w:tcW w:w="2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26,048</w:t>
            </w:r>
          </w:p>
        </w:tc>
        <w:tc>
          <w:tcPr>
            <w:tcW w:w="22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19,617</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26,225</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19,727</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Expenses</w:t>
            </w:r>
            <w:r>
              <w:rPr>
                <w:rFonts w:ascii="Times New Roman" w:hAnsi="Times New Roman"/>
                <w:b/>
                <w:color w:val="000000"/>
                <w:sz w:val="11"/>
              </w:rPr>
              <w:t>(1)</w:t>
            </w: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and expense on credit facility and asset-backed debt</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13,398</w:t>
            </w:r>
          </w:p>
        </w:tc>
        <w:tc>
          <w:tcPr>
            <w:tcW w:w="22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8,641</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expense on notes to members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8,220</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Administration fees</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w:t>
            </w:r>
          </w:p>
        </w:tc>
        <w:tc>
          <w:tcPr>
            <w:tcW w:w="22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expenses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22,438</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16,259</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w:t>
            </w:r>
          </w:p>
        </w:tc>
        <w:tc>
          <w:tcPr>
            <w:tcW w:w="146" w:type="dxa"/>
            <w:tcBorders/>
            <w:shd w:fill="CCECFF" w:val="clear"/>
            <w:vAlign w:val="center"/>
          </w:tcPr>
          <w:p>
            <w:pPr>
              <w:pStyle w:val="TableContents"/>
              <w:bidi w:val="0"/>
              <w:spacing w:before="0" w:after="283"/>
              <w:jc w:val="left"/>
              <w:rPr/>
            </w:pPr>
            <w:r>
              <w:rPr/>
              <w:t> </w:t>
            </w:r>
          </w:p>
        </w:tc>
        <w:tc>
          <w:tcPr>
            <w:tcW w:w="1084" w:type="dxa"/>
            <w:gridSpan w:val="2"/>
            <w:tcBorders/>
            <w:shd w:fill="CCECFF" w:val="clear"/>
            <w:vAlign w:val="center"/>
          </w:tcPr>
          <w:p>
            <w:pPr>
              <w:pStyle w:val="TableContents"/>
              <w:bidi w:val="0"/>
              <w:spacing w:before="0" w:after="283"/>
              <w:jc w:val="right"/>
              <w:rPr/>
            </w:pPr>
            <w:r>
              <w:rPr/>
              <w:t> </w:t>
            </w:r>
          </w:p>
        </w:tc>
        <w:tc>
          <w:tcPr>
            <w:tcW w:w="22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1084"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(6,420</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8,059</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members' equity resulting from operations</w:t>
            </w:r>
          </w:p>
        </w:tc>
        <w:tc>
          <w:tcPr>
            <w:tcW w:w="146" w:type="dxa"/>
            <w:tcBorders/>
            <w:shd w:fill="CCECFF" w:val="clear"/>
            <w:vAlign w:val="center"/>
          </w:tcPr>
          <w:p>
            <w:pPr>
              <w:pStyle w:val="TableContents"/>
              <w:bidi w:val="0"/>
              <w:spacing w:before="0" w:after="283"/>
              <w:jc w:val="right"/>
              <w:rPr/>
            </w:pPr>
            <w:r>
              <w:rPr/>
              <w:t> </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5,426</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ind w:left="0" w:right="8200" w:hanging="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1"/>
        </w:rPr>
        <w:t xml:space="preserve">(1) </w:t>
      </w:r>
      <w:r>
        <w:rPr>
          <w:rFonts w:ascii="Times New Roman" w:hAnsi="Times New Roman"/>
          <w:color w:val="000000"/>
          <w:sz w:val="16"/>
        </w:rPr>
        <w:t>No management or incentive fees are payable by PSSL. If any fees were to be charged, they would be separately disclosed in the consolidated statement of operations.</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5. FAIR VALUE OF FINANCIAL INSTRUMENTS</w:t>
      </w:r>
    </w:p>
    <w:p>
      <w:pPr>
        <w:pStyle w:val="TextBody"/>
        <w:bidi w:val="0"/>
        <w:ind w:left="0" w:right="0" w:firstLine="490"/>
        <w:jc w:val="left"/>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ASC 820 classifies the inputs used to measure these fair values into the following hierarchies:</w:t>
      </w:r>
    </w:p>
    <w:p>
      <w:pPr>
        <w:pStyle w:val="TextBody"/>
        <w:bidi w:val="0"/>
        <w:ind w:left="0" w:right="0" w:firstLine="432"/>
        <w:jc w:val="both"/>
        <w:rPr/>
      </w:pPr>
      <w:r>
        <w:rPr/>
        <w:t> </w:t>
      </w:r>
    </w:p>
    <w:tbl>
      <w:tblPr>
        <w:tblW w:w="10205" w:type="dxa"/>
        <w:jc w:val="left"/>
        <w:tblInd w:w="0" w:type="dxa"/>
        <w:tblLayout w:type="fixed"/>
        <w:tblCellMar>
          <w:top w:w="28" w:type="dxa"/>
          <w:left w:w="28" w:type="dxa"/>
          <w:bottom w:w="28" w:type="dxa"/>
          <w:right w:w="28" w:type="dxa"/>
        </w:tblCellMar>
      </w:tblPr>
      <w:tblGrid>
        <w:gridCol w:w="581"/>
        <w:gridCol w:w="9624"/>
      </w:tblGrid>
      <w:tr>
        <w:trPr/>
        <w:tc>
          <w:tcPr>
            <w:tcW w:w="581" w:type="dxa"/>
            <w:tcBorders/>
            <w:vAlign w:val="center"/>
          </w:tcPr>
          <w:p>
            <w:pPr>
              <w:pStyle w:val="TableContents"/>
              <w:bidi w:val="0"/>
              <w:spacing w:before="0" w:after="283"/>
              <w:jc w:val="left"/>
              <w:rPr>
                <w:sz w:val="4"/>
                <w:szCs w:val="4"/>
              </w:rPr>
            </w:pPr>
            <w:r>
              <w:rPr>
                <w:sz w:val="4"/>
                <w:szCs w:val="4"/>
              </w:rPr>
            </w:r>
          </w:p>
        </w:tc>
        <w:tc>
          <w:tcPr>
            <w:tcW w:w="9624" w:type="dxa"/>
            <w:tcBorders/>
            <w:vAlign w:val="center"/>
          </w:tcPr>
          <w:p>
            <w:pPr>
              <w:pStyle w:val="TableContents"/>
              <w:bidi w:val="0"/>
              <w:spacing w:before="0" w:after="283"/>
              <w:jc w:val="left"/>
              <w:rPr>
                <w:sz w:val="4"/>
                <w:szCs w:val="4"/>
              </w:rPr>
            </w:pPr>
            <w:r>
              <w:rPr>
                <w:sz w:val="4"/>
                <w:szCs w:val="4"/>
              </w:rPr>
            </w:r>
          </w:p>
        </w:tc>
      </w:tr>
      <w:tr>
        <w:trPr/>
        <w:tc>
          <w:tcPr>
            <w:tcW w:w="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1:</w:t>
            </w:r>
          </w:p>
        </w:tc>
        <w:tc>
          <w:tcPr>
            <w:tcW w:w="962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quoted prices (unadjusted) in active markets for identical assets or liabilities, accessible by us at the measurement date.</w:t>
            </w:r>
          </w:p>
          <w:p>
            <w:pPr>
              <w:pStyle w:val="TableContents"/>
              <w:bidi w:val="0"/>
              <w:spacing w:before="0" w:after="283"/>
              <w:jc w:val="both"/>
              <w:rPr/>
            </w:pPr>
            <w:r>
              <w:rPr/>
              <w:t> </w:t>
            </w:r>
          </w:p>
        </w:tc>
      </w:tr>
      <w:tr>
        <w:trPr/>
        <w:tc>
          <w:tcPr>
            <w:tcW w:w="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2:</w:t>
            </w:r>
          </w:p>
        </w:tc>
        <w:tc>
          <w:tcPr>
            <w:tcW w:w="962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ableContents"/>
              <w:bidi w:val="0"/>
              <w:spacing w:before="0" w:after="283"/>
              <w:jc w:val="both"/>
              <w:rPr/>
            </w:pPr>
            <w:r>
              <w:rPr/>
              <w:t> </w:t>
            </w:r>
          </w:p>
        </w:tc>
      </w:tr>
      <w:tr>
        <w:trPr/>
        <w:tc>
          <w:tcPr>
            <w:tcW w:w="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3:</w:t>
            </w:r>
          </w:p>
        </w:tc>
        <w:tc>
          <w:tcPr>
            <w:tcW w:w="96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Inputs that are unobservable for an asset or liability because they are based on our own assumptions about how market participants would price the asset or liability.</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A financial instrument’s categorization within the valuation hierarchy is based upon the lowest level of input that is significant to the fair value measurement. Generally, most of our investments, our 2031 Asset-Backed Debt, 2023 Notes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 review of fair value hierarchy classifications is conducted on a quarterly basis. Changes in our ability to observe valuation inputs may result in a reclassification for certain financial assets or liabilities.</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pStyle w:val="TextBody"/>
        <w:bidi w:val="0"/>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Our Level 3 valuation techniques, unobservable inputs and ranges were categorized as follows for ASC 820 purposes ($ in thousands):</w:t>
      </w:r>
    </w:p>
    <w:p>
      <w:pPr>
        <w:pStyle w:val="TextBody"/>
        <w:bidi w:val="0"/>
        <w:ind w:left="0" w:right="0" w:firstLine="432"/>
        <w:jc w:val="left"/>
        <w:rPr/>
      </w:pPr>
      <w:r>
        <w:rPr/>
        <w:t> </w:t>
      </w:r>
    </w:p>
    <w:tbl>
      <w:tblPr>
        <w:tblW w:w="10205" w:type="dxa"/>
        <w:jc w:val="left"/>
        <w:tblInd w:w="0" w:type="dxa"/>
        <w:tblLayout w:type="fixed"/>
        <w:tblCellMar>
          <w:top w:w="28" w:type="dxa"/>
          <w:left w:w="28" w:type="dxa"/>
          <w:bottom w:w="28" w:type="dxa"/>
          <w:right w:w="28" w:type="dxa"/>
        </w:tblCellMar>
      </w:tblPr>
      <w:tblGrid>
        <w:gridCol w:w="1953"/>
        <w:gridCol w:w="146"/>
        <w:gridCol w:w="433"/>
        <w:gridCol w:w="1827"/>
        <w:gridCol w:w="146"/>
        <w:gridCol w:w="146"/>
        <w:gridCol w:w="1667"/>
        <w:gridCol w:w="146"/>
        <w:gridCol w:w="1944"/>
        <w:gridCol w:w="146"/>
        <w:gridCol w:w="1651"/>
      </w:tblGrid>
      <w:tr>
        <w:trPr/>
        <w:tc>
          <w:tcPr>
            <w:tcW w:w="1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xml:space="preserve">(Weighted Average) </w:t>
            </w:r>
            <w:r>
              <w:rPr>
                <w:rFonts w:ascii="Times New Roman" w:hAnsi="Times New Roman"/>
                <w:b/>
                <w:color w:val="000000"/>
                <w:sz w:val="11"/>
              </w:rPr>
              <w:t>(1)</w:t>
            </w:r>
          </w:p>
        </w:tc>
      </w:tr>
      <w:tr>
        <w:trPr/>
        <w:tc>
          <w:tcPr>
            <w:tcW w:w="195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194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Broker/Dealer bids or quotes</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8.4% - 27.1% (12.2%)</w:t>
            </w:r>
          </w:p>
        </w:tc>
      </w:tr>
      <w:tr>
        <w:trPr/>
        <w:tc>
          <w:tcPr>
            <w:tcW w:w="195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left"/>
              <w:rPr/>
            </w:pPr>
            <w:r>
              <w:rPr/>
              <w:t> </w:t>
            </w:r>
          </w:p>
        </w:tc>
        <w:tc>
          <w:tcPr>
            <w:tcW w:w="182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194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7.8x</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14.0%</w:t>
            </w:r>
          </w:p>
        </w:tc>
      </w:tr>
      <w:tr>
        <w:trPr/>
        <w:tc>
          <w:tcPr>
            <w:tcW w:w="195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left"/>
              <w:rPr/>
            </w:pPr>
            <w:r>
              <w:rPr/>
              <w:t> </w:t>
            </w:r>
          </w:p>
        </w:tc>
        <w:tc>
          <w:tcPr>
            <w:tcW w:w="182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194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6.3x</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.5x - 17.5x (11.8x)</w:t>
            </w:r>
          </w:p>
        </w:tc>
      </w:tr>
      <w:tr>
        <w:trPr/>
        <w:tc>
          <w:tcPr>
            <w:tcW w:w="195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CECFF" w:val="clear"/>
            <w:vAlign w:val="center"/>
          </w:tcPr>
          <w:p>
            <w:pPr>
              <w:pStyle w:val="TableContents"/>
              <w:bidi w:val="0"/>
              <w:spacing w:before="0" w:after="283"/>
              <w:jc w:val="left"/>
              <w:rPr/>
            </w:pPr>
            <w:r>
              <w:rPr/>
              <w:t> </w:t>
            </w:r>
          </w:p>
        </w:tc>
        <w:tc>
          <w:tcPr>
            <w:tcW w:w="4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1944" w:type="dxa"/>
            <w:tcBorders/>
            <w:shd w:fill="CCEC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DLOM</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14.3%</w:t>
            </w:r>
          </w:p>
        </w:tc>
      </w:tr>
      <w:tr>
        <w:trPr/>
        <w:tc>
          <w:tcPr>
            <w:tcW w:w="19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Level 3 investments</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pPr>
            <w:r>
              <w:rPr/>
              <w:t> </w:t>
            </w:r>
          </w:p>
        </w:tc>
      </w:tr>
      <w:tr>
        <w:trPr/>
        <w:tc>
          <w:tcPr>
            <w:tcW w:w="195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Credit Facility</w:t>
            </w:r>
          </w:p>
        </w:tc>
        <w:tc>
          <w:tcPr>
            <w:tcW w:w="146" w:type="dxa"/>
            <w:tcBorders/>
            <w:shd w:fill="CCECFF" w:val="clear"/>
            <w:vAlign w:val="center"/>
          </w:tcPr>
          <w:p>
            <w:pPr>
              <w:pStyle w:val="TableContents"/>
              <w:bidi w:val="0"/>
              <w:spacing w:before="0" w:after="283"/>
              <w:jc w:val="left"/>
              <w:rPr/>
            </w:pPr>
            <w:r>
              <w:rPr/>
              <w:t> </w:t>
            </w:r>
          </w:p>
        </w:tc>
        <w:tc>
          <w:tcPr>
            <w:tcW w:w="43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260,917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194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w:t>
            </w:r>
          </w:p>
        </w:tc>
      </w:tr>
    </w:tbl>
    <w:p>
      <w:pPr>
        <w:pStyle w:val="TextBody"/>
        <w:bidi w:val="0"/>
        <w:spacing w:before="40" w:after="283"/>
        <w:jc w:val="left"/>
        <w:rPr>
          <w:rFonts w:ascii="Times New Roman" w:hAnsi="Times New Roman"/>
          <w:b/>
          <w:color w:val="000000"/>
          <w:sz w:val="13"/>
        </w:rPr>
      </w:pPr>
      <w:r>
        <w:rPr>
          <w:rFonts w:ascii="Times New Roman" w:hAnsi="Times New Roman"/>
          <w:b/>
          <w:color w:val="000000"/>
          <w:sz w:val="13"/>
        </w:rPr>
        <w:t>____________________________________________</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The weighted averages disclosed in the table above were weighted by their relative fair value.</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(2)</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DLOM is defined as discount for lack of marketability.</w:t>
      </w:r>
    </w:p>
    <w:p>
      <w:pPr>
        <w:pStyle w:val="TextBody"/>
        <w:bidi w:val="0"/>
        <w:ind w:left="0" w:right="0" w:firstLine="432"/>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42"/>
        <w:gridCol w:w="146"/>
        <w:gridCol w:w="419"/>
        <w:gridCol w:w="1769"/>
        <w:gridCol w:w="146"/>
        <w:gridCol w:w="146"/>
        <w:gridCol w:w="1605"/>
        <w:gridCol w:w="146"/>
        <w:gridCol w:w="1431"/>
        <w:gridCol w:w="146"/>
        <w:gridCol w:w="1609"/>
      </w:tblGrid>
      <w:tr>
        <w:trPr/>
        <w:tc>
          <w:tcPr>
            <w:tcW w:w="2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xml:space="preserve">(Weighted Average) </w:t>
            </w:r>
            <w:r>
              <w:rPr>
                <w:rFonts w:ascii="Times New Roman" w:hAnsi="Times New Roman"/>
                <w:b/>
                <w:color w:val="000000"/>
                <w:sz w:val="11"/>
              </w:rPr>
              <w:t>(1)</w:t>
            </w:r>
          </w:p>
        </w:tc>
      </w:tr>
      <w:tr>
        <w:trPr/>
        <w:tc>
          <w:tcPr>
            <w:tcW w:w="26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Broker/Dealer bids </w:t>
              <w:br/>
              <w:t>or quotes</w:t>
            </w:r>
          </w:p>
        </w:tc>
        <w:tc>
          <w:tcPr>
            <w:tcW w:w="146"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64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419" w:type="dxa"/>
            <w:tcBorders/>
            <w:shd w:fill="CCECFF" w:val="clear"/>
            <w:vAlign w:val="center"/>
          </w:tcPr>
          <w:p>
            <w:pPr>
              <w:pStyle w:val="TableContents"/>
              <w:bidi w:val="0"/>
              <w:spacing w:before="0" w:after="283"/>
              <w:jc w:val="left"/>
              <w:rPr/>
            </w:pPr>
            <w:r>
              <w:rPr/>
              <w:t> </w:t>
            </w:r>
          </w:p>
        </w:tc>
        <w:tc>
          <w:tcPr>
            <w:tcW w:w="17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875,133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0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CCECFF" w:val="clear"/>
            <w:vAlign w:val="center"/>
          </w:tcPr>
          <w:p>
            <w:pPr>
              <w:pStyle w:val="TableContents"/>
              <w:bidi w:val="0"/>
              <w:spacing w:before="0" w:after="283"/>
              <w:jc w:val="left"/>
              <w:rPr/>
            </w:pPr>
            <w:r>
              <w:rPr/>
              <w:t> </w:t>
            </w:r>
          </w:p>
        </w:tc>
        <w:tc>
          <w:tcPr>
            <w:tcW w:w="1609"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 - 25.0% (12.6%)</w:t>
            </w:r>
          </w:p>
        </w:tc>
      </w:tr>
      <w:tr>
        <w:trPr/>
        <w:tc>
          <w:tcPr>
            <w:tcW w:w="26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7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2.8x - 7.5x (7.4x)</w:t>
            </w:r>
          </w:p>
        </w:tc>
      </w:tr>
      <w:tr>
        <w:trPr/>
        <w:tc>
          <w:tcPr>
            <w:tcW w:w="264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419" w:type="dxa"/>
            <w:tcBorders/>
            <w:shd w:fill="CCECFF" w:val="clear"/>
            <w:vAlign w:val="center"/>
          </w:tcPr>
          <w:p>
            <w:pPr>
              <w:pStyle w:val="TableContents"/>
              <w:bidi w:val="0"/>
              <w:spacing w:before="0" w:after="283"/>
              <w:jc w:val="left"/>
              <w:rPr/>
            </w:pPr>
            <w:r>
              <w:rPr/>
              <w:t> </w:t>
            </w:r>
          </w:p>
        </w:tc>
        <w:tc>
          <w:tcPr>
            <w:tcW w:w="17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0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CCECFF" w:val="clear"/>
            <w:vAlign w:val="center"/>
          </w:tcPr>
          <w:p>
            <w:pPr>
              <w:pStyle w:val="TableContents"/>
              <w:bidi w:val="0"/>
              <w:spacing w:before="0" w:after="283"/>
              <w:jc w:val="left"/>
              <w:rPr/>
            </w:pPr>
            <w:r>
              <w:rPr/>
              <w:t> </w:t>
            </w:r>
          </w:p>
        </w:tc>
        <w:tc>
          <w:tcPr>
            <w:tcW w:w="1609"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14.8%</w:t>
            </w:r>
          </w:p>
        </w:tc>
      </w:tr>
      <w:tr>
        <w:trPr/>
        <w:tc>
          <w:tcPr>
            <w:tcW w:w="26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7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6.0x</w:t>
            </w:r>
          </w:p>
        </w:tc>
      </w:tr>
      <w:tr>
        <w:trPr/>
        <w:tc>
          <w:tcPr>
            <w:tcW w:w="264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CECFF" w:val="clear"/>
            <w:vAlign w:val="center"/>
          </w:tcPr>
          <w:p>
            <w:pPr>
              <w:pStyle w:val="TableContents"/>
              <w:bidi w:val="0"/>
              <w:spacing w:before="0" w:after="283"/>
              <w:jc w:val="left"/>
              <w:rPr/>
            </w:pPr>
            <w:r>
              <w:rPr/>
              <w:t> </w:t>
            </w:r>
          </w:p>
        </w:tc>
        <w:tc>
          <w:tcPr>
            <w:tcW w:w="419" w:type="dxa"/>
            <w:tcBorders/>
            <w:shd w:fill="CCECFF" w:val="clear"/>
            <w:vAlign w:val="center"/>
          </w:tcPr>
          <w:p>
            <w:pPr>
              <w:pStyle w:val="TableContents"/>
              <w:bidi w:val="0"/>
              <w:spacing w:before="0" w:after="283"/>
              <w:jc w:val="left"/>
              <w:rPr/>
            </w:pPr>
            <w:r>
              <w:rPr/>
              <w:t> </w:t>
            </w:r>
          </w:p>
        </w:tc>
        <w:tc>
          <w:tcPr>
            <w:tcW w:w="17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0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CCECFF" w:val="clear"/>
            <w:vAlign w:val="center"/>
          </w:tcPr>
          <w:p>
            <w:pPr>
              <w:pStyle w:val="TableContents"/>
              <w:bidi w:val="0"/>
              <w:spacing w:before="0" w:after="283"/>
              <w:jc w:val="left"/>
              <w:rPr/>
            </w:pPr>
            <w:r>
              <w:rPr/>
              <w:t> </w:t>
            </w:r>
          </w:p>
        </w:tc>
        <w:tc>
          <w:tcPr>
            <w:tcW w:w="1609"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3.4x - 17.7x (12.1x)</w:t>
            </w:r>
          </w:p>
        </w:tc>
      </w:tr>
      <w:tr>
        <w:trPr/>
        <w:tc>
          <w:tcPr>
            <w:tcW w:w="26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DLOM</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27.9%</w:t>
            </w:r>
          </w:p>
        </w:tc>
      </w:tr>
      <w:tr>
        <w:trPr/>
        <w:tc>
          <w:tcPr>
            <w:tcW w:w="2642"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Level 3 investments</w:t>
            </w:r>
          </w:p>
        </w:tc>
        <w:tc>
          <w:tcPr>
            <w:tcW w:w="146" w:type="dxa"/>
            <w:tcBorders/>
            <w:shd w:fill="CCECFF" w:val="clear"/>
            <w:vAlign w:val="center"/>
          </w:tcPr>
          <w:p>
            <w:pPr>
              <w:pStyle w:val="TableContents"/>
              <w:bidi w:val="0"/>
              <w:spacing w:before="0" w:after="283"/>
              <w:jc w:val="left"/>
              <w:rPr/>
            </w:pPr>
            <w:r>
              <w:rPr/>
              <w:t> </w:t>
            </w:r>
          </w:p>
        </w:tc>
        <w:tc>
          <w:tcPr>
            <w:tcW w:w="4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1,006,948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0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09" w:type="dxa"/>
            <w:tcBorders/>
            <w:shd w:fill="CCECFF" w:val="clear"/>
            <w:vAlign w:val="center"/>
          </w:tcPr>
          <w:p>
            <w:pPr>
              <w:pStyle w:val="TableContents"/>
              <w:bidi w:val="0"/>
              <w:spacing w:before="0" w:after="283"/>
              <w:jc w:val="center"/>
              <w:rPr/>
            </w:pPr>
            <w:r>
              <w:rPr/>
              <w:t> </w:t>
            </w:r>
          </w:p>
        </w:tc>
      </w:tr>
      <w:tr>
        <w:trPr/>
        <w:tc>
          <w:tcPr>
            <w:tcW w:w="26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Credit Facility and 2023 Notes</w:t>
            </w:r>
          </w:p>
        </w:tc>
        <w:tc>
          <w:tcPr>
            <w:tcW w:w="146"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w:t>
            </w:r>
          </w:p>
        </w:tc>
      </w:tr>
    </w:tbl>
    <w:p>
      <w:pPr>
        <w:pStyle w:val="TextBody"/>
        <w:pBdr>
          <w:bottom w:val="single" w:sz="4" w:space="1" w:color="000000"/>
        </w:pBdr>
        <w:bidi w:val="0"/>
        <w:ind w:left="0" w:right="8200" w:hanging="0"/>
        <w:jc w:val="left"/>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The weighted averages disclosed in the table above were weighted by their relative fair value.</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(2)</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DLOM is defined as discount for lack of marketability.</w:t>
      </w:r>
    </w:p>
    <w:p>
      <w:pPr>
        <w:pStyle w:val="TextBody"/>
        <w:bidi w:val="0"/>
        <w:ind w:left="0" w:right="0" w:firstLine="432"/>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Our investments, cash and cash equivalents, Credit Facility, 2023 Notes, 2026 Notes and 2031 Asset-Backed Debt were categorized as follows in the fair value hierarchy for ASC 820 purposes ($ in thousands):</w:t>
      </w:r>
    </w:p>
    <w:p>
      <w:pPr>
        <w:pStyle w:val="TextBody"/>
        <w:bidi w:val="0"/>
        <w:ind w:left="0" w:right="0" w:firstLine="461"/>
        <w:jc w:val="both"/>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96"/>
        <w:gridCol w:w="826"/>
        <w:gridCol w:w="146"/>
        <w:gridCol w:w="146"/>
        <w:gridCol w:w="196"/>
        <w:gridCol w:w="601"/>
        <w:gridCol w:w="146"/>
        <w:gridCol w:w="146"/>
        <w:gridCol w:w="196"/>
        <w:gridCol w:w="691"/>
        <w:gridCol w:w="146"/>
        <w:gridCol w:w="146"/>
        <w:gridCol w:w="196"/>
        <w:gridCol w:w="826"/>
        <w:gridCol w:w="146"/>
        <w:gridCol w:w="146"/>
        <w:gridCol w:w="296"/>
        <w:gridCol w:w="912"/>
        <w:gridCol w:w="593"/>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w:t>
              <w:br/>
              <w:t xml:space="preserve">Asset Value </w:t>
            </w:r>
            <w:r>
              <w:rPr>
                <w:rFonts w:ascii="Times New Roman" w:hAnsi="Times New Roman"/>
                <w:b/>
                <w:color w:val="000000"/>
                <w:sz w:val="11"/>
              </w:rPr>
              <w:t>(1)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1,090,464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1,090,464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CECFF" w:val="clear"/>
            <w:vAlign w:val="center"/>
          </w:tcPr>
          <w:p>
            <w:pPr>
              <w:pStyle w:val="TableContents"/>
              <w:bidi w:val="0"/>
              <w:spacing w:before="0" w:after="283"/>
              <w:jc w:val="right"/>
              <w:rPr>
                <w:color w:val="000000"/>
              </w:rPr>
            </w:pPr>
            <w:r>
              <w:rPr>
                <w:color w:val="000000"/>
              </w:rPr>
              <w:t>—</w:t>
            </w:r>
          </w:p>
        </w:tc>
        <w:tc>
          <w:tcPr>
            <w:tcW w:w="593" w:type="dxa"/>
            <w:tcBorders/>
            <w:shd w:fill="CCECFF" w:val="clear"/>
            <w:vAlign w:val="center"/>
          </w:tcPr>
          <w:p>
            <w:pPr>
              <w:pStyle w:val="TableContents"/>
              <w:bidi w:val="0"/>
              <w:spacing w:before="0" w:after="283"/>
              <w:jc w:val="left"/>
              <w:rPr/>
            </w:pPr>
            <w:r>
              <w:rPr/>
              <w:t> </w:t>
            </w:r>
          </w:p>
        </w:tc>
      </w:tr>
      <w:tr>
        <w:trPr/>
        <w:tc>
          <w:tcPr>
            <w:tcW w:w="33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336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180,313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118,555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61,758</w:t>
            </w:r>
          </w:p>
        </w:tc>
        <w:tc>
          <w:tcPr>
            <w:tcW w:w="5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 and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payable</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CECFF" w:val="clear"/>
            <w:vAlign w:val="center"/>
          </w:tcPr>
          <w:p>
            <w:pPr>
              <w:pStyle w:val="TableContents"/>
              <w:bidi w:val="0"/>
              <w:spacing w:before="0" w:after="283"/>
              <w:jc w:val="right"/>
              <w:rPr>
                <w:color w:val="000000"/>
              </w:rPr>
            </w:pPr>
            <w:r>
              <w:rPr>
                <w:color w:val="000000"/>
              </w:rPr>
              <w:t>—</w:t>
            </w:r>
          </w:p>
        </w:tc>
        <w:tc>
          <w:tcPr>
            <w:tcW w:w="593" w:type="dxa"/>
            <w:tcBorders/>
            <w:shd w:fill="CCECFF" w:val="clear"/>
            <w:vAlign w:val="center"/>
          </w:tcPr>
          <w:p>
            <w:pPr>
              <w:pStyle w:val="TableContents"/>
              <w:bidi w:val="0"/>
              <w:spacing w:before="0" w:after="283"/>
              <w:jc w:val="left"/>
              <w:rPr/>
            </w:pPr>
            <w:r>
              <w:rPr/>
              <w:t> </w:t>
            </w:r>
          </w:p>
        </w:tc>
      </w:tr>
      <w:tr>
        <w:trPr/>
        <w:tc>
          <w:tcPr>
            <w:tcW w:w="336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2026 Notes payable </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3362"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2031 Asset-Backed Debt</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debt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487,834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(2)</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 xml:space="preserve">We elected not to apply the fair value option allowed by ASC 825-10 to the 2026 Notes and the 2031 Asset-Backed Debt and thus the balance reported in the Consolidated Statement of Assets and Liabilities represents the carrying value, which approximates the fair value. </w:t>
      </w:r>
    </w:p>
    <w:p>
      <w:pPr>
        <w:pStyle w:val="TextBody"/>
        <w:pBdr/>
        <w:bidi w:val="0"/>
        <w:ind w:left="0" w:right="0" w:hanging="360"/>
        <w:jc w:val="left"/>
        <w:rPr/>
      </w:pPr>
      <w:r>
        <w:rPr/>
        <w:t> </w:t>
      </w:r>
    </w:p>
    <w:tbl>
      <w:tblPr>
        <w:tblW w:w="10205" w:type="dxa"/>
        <w:jc w:val="left"/>
        <w:tblInd w:w="0" w:type="dxa"/>
        <w:tblLayout w:type="fixed"/>
        <w:tblCellMar>
          <w:top w:w="28" w:type="dxa"/>
          <w:left w:w="28" w:type="dxa"/>
          <w:bottom w:w="28" w:type="dxa"/>
          <w:right w:w="28" w:type="dxa"/>
        </w:tblCellMar>
      </w:tblPr>
      <w:tblGrid>
        <w:gridCol w:w="3287"/>
        <w:gridCol w:w="146"/>
        <w:gridCol w:w="196"/>
        <w:gridCol w:w="826"/>
        <w:gridCol w:w="146"/>
        <w:gridCol w:w="146"/>
        <w:gridCol w:w="196"/>
        <w:gridCol w:w="691"/>
        <w:gridCol w:w="146"/>
        <w:gridCol w:w="146"/>
        <w:gridCol w:w="196"/>
        <w:gridCol w:w="691"/>
        <w:gridCol w:w="146"/>
        <w:gridCol w:w="146"/>
        <w:gridCol w:w="196"/>
        <w:gridCol w:w="826"/>
        <w:gridCol w:w="146"/>
        <w:gridCol w:w="146"/>
        <w:gridCol w:w="292"/>
        <w:gridCol w:w="901"/>
        <w:gridCol w:w="593"/>
      </w:tblGrid>
      <w:tr>
        <w:trPr/>
        <w:tc>
          <w:tcPr>
            <w:tcW w:w="3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2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September 30, 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w:t>
              <w:br/>
              <w:t xml:space="preserve">Asset Value </w:t>
            </w:r>
            <w:r>
              <w:rPr>
                <w:rFonts w:ascii="Times New Roman" w:hAnsi="Times New Roman"/>
                <w:b/>
                <w:color w:val="000000"/>
                <w:sz w:val="11"/>
              </w:rPr>
              <w:t>(1)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328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2" w:type="dxa"/>
            <w:tcBorders/>
            <w:shd w:fill="CCECFF" w:val="clear"/>
            <w:vAlign w:val="center"/>
          </w:tcPr>
          <w:p>
            <w:pPr>
              <w:pStyle w:val="TableContents"/>
              <w:bidi w:val="0"/>
              <w:spacing w:before="0" w:after="283"/>
              <w:jc w:val="left"/>
              <w:rPr/>
            </w:pPr>
            <w:r>
              <w:rPr/>
              <w:t> </w:t>
            </w:r>
          </w:p>
        </w:tc>
        <w:tc>
          <w:tcPr>
            <w:tcW w:w="901" w:type="dxa"/>
            <w:tcBorders/>
            <w:shd w:fill="CCECFF" w:val="clear"/>
            <w:vAlign w:val="center"/>
          </w:tcPr>
          <w:p>
            <w:pPr>
              <w:pStyle w:val="TableContents"/>
              <w:bidi w:val="0"/>
              <w:spacing w:before="0" w:after="283"/>
              <w:jc w:val="right"/>
              <w:rPr>
                <w:color w:val="000000"/>
              </w:rPr>
            </w:pPr>
            <w:r>
              <w:rPr>
                <w:color w:val="000000"/>
              </w:rPr>
              <w:t>—</w:t>
            </w:r>
          </w:p>
        </w:tc>
        <w:tc>
          <w:tcPr>
            <w:tcW w:w="593" w:type="dxa"/>
            <w:tcBorders/>
            <w:shd w:fill="CCECFF" w:val="clear"/>
            <w:vAlign w:val="center"/>
          </w:tcPr>
          <w:p>
            <w:pPr>
              <w:pStyle w:val="TableContents"/>
              <w:bidi w:val="0"/>
              <w:spacing w:before="0" w:after="283"/>
              <w:jc w:val="left"/>
              <w:rPr/>
            </w:pPr>
            <w:r>
              <w:rPr/>
              <w:t> </w:t>
            </w:r>
          </w:p>
        </w:tc>
      </w:tr>
      <w:tr>
        <w:trPr/>
        <w:tc>
          <w:tcPr>
            <w:tcW w:w="3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87"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1,067,174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60,226</w:t>
            </w:r>
          </w:p>
        </w:tc>
        <w:tc>
          <w:tcPr>
            <w:tcW w:w="5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87"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 and cash and cash equivalents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1,167,729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1,006,948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60,226</w:t>
            </w:r>
          </w:p>
        </w:tc>
        <w:tc>
          <w:tcPr>
            <w:tcW w:w="5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328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 Notes payable</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2" w:type="dxa"/>
            <w:tcBorders/>
            <w:shd w:fill="CCECFF" w:val="clear"/>
            <w:vAlign w:val="center"/>
          </w:tcPr>
          <w:p>
            <w:pPr>
              <w:pStyle w:val="TableContents"/>
              <w:bidi w:val="0"/>
              <w:spacing w:before="0" w:after="283"/>
              <w:jc w:val="left"/>
              <w:rPr/>
            </w:pPr>
            <w:r>
              <w:rPr/>
              <w:t> </w:t>
            </w:r>
          </w:p>
        </w:tc>
        <w:tc>
          <w:tcPr>
            <w:tcW w:w="901" w:type="dxa"/>
            <w:tcBorders/>
            <w:shd w:fill="CCECFF" w:val="clear"/>
            <w:vAlign w:val="center"/>
          </w:tcPr>
          <w:p>
            <w:pPr>
              <w:pStyle w:val="TableContents"/>
              <w:bidi w:val="0"/>
              <w:spacing w:before="0" w:after="283"/>
              <w:jc w:val="right"/>
              <w:rPr>
                <w:color w:val="000000"/>
              </w:rPr>
            </w:pPr>
            <w:r>
              <w:rPr>
                <w:color w:val="000000"/>
              </w:rPr>
              <w:t>—</w:t>
            </w:r>
          </w:p>
        </w:tc>
        <w:tc>
          <w:tcPr>
            <w:tcW w:w="593" w:type="dxa"/>
            <w:tcBorders/>
            <w:shd w:fill="CCECFF" w:val="clear"/>
            <w:vAlign w:val="center"/>
          </w:tcPr>
          <w:p>
            <w:pPr>
              <w:pStyle w:val="TableContents"/>
              <w:bidi w:val="0"/>
              <w:spacing w:before="0" w:after="283"/>
              <w:jc w:val="left"/>
              <w:rPr/>
            </w:pPr>
            <w:r>
              <w:rPr/>
              <w:t> </w:t>
            </w:r>
          </w:p>
        </w:tc>
      </w:tr>
      <w:tr>
        <w:trPr/>
        <w:tc>
          <w:tcPr>
            <w:tcW w:w="3287"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2026 Notes payable </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3287"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2031 Asset-Backed Debt</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226,759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226,759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8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debt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(2)</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pStyle w:val="TextBody"/>
        <w:bidi w:val="0"/>
        <w:jc w:val="center"/>
        <w:rPr/>
      </w:pPr>
      <w:r>
        <w:rPr/>
        <w:t> </w:t>
      </w:r>
    </w:p>
    <w:p>
      <w:pPr>
        <w:pStyle w:val="TextBody"/>
        <w:bidi w:val="0"/>
        <w:ind w:left="0" w:right="0" w:firstLine="432"/>
        <w:jc w:val="left"/>
        <w:rPr>
          <w:rFonts w:ascii="Times New Roman" w:hAnsi="Times New Roman"/>
          <w:sz w:val="20"/>
        </w:rPr>
      </w:pPr>
      <w:r>
        <w:rPr>
          <w:rFonts w:ascii="Times New Roman" w:hAnsi="Times New Roman"/>
          <w:color w:val="000000"/>
          <w:sz w:val="16"/>
        </w:rPr>
        <w:t>The tables below show a reconciliation of the beginning and ending balances for fair valued investments measured using significant unobservable inputs (Level 3)</w:t>
      </w:r>
      <w:r>
        <w:rPr>
          <w:rFonts w:ascii="Times New Roman" w:hAnsi="Times New Roman"/>
          <w:color w:val="000000"/>
          <w:sz w:val="20"/>
        </w:rPr>
        <w:t xml:space="preserve">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 in thousands):</w:t>
      </w:r>
    </w:p>
    <w:p>
      <w:pPr>
        <w:pStyle w:val="TextBody"/>
        <w:bidi w:val="0"/>
        <w:ind w:left="0" w:right="0" w:firstLine="432"/>
        <w:jc w:val="both"/>
        <w:rPr/>
      </w:pPr>
      <w:r>
        <w:rPr/>
        <w:t> </w:t>
      </w:r>
    </w:p>
    <w:tbl>
      <w:tblPr>
        <w:tblW w:w="10205" w:type="dxa"/>
        <w:jc w:val="left"/>
        <w:tblInd w:w="0" w:type="dxa"/>
        <w:tblLayout w:type="fixed"/>
        <w:tblCellMar>
          <w:top w:w="28" w:type="dxa"/>
          <w:left w:w="28" w:type="dxa"/>
          <w:bottom w:w="28" w:type="dxa"/>
          <w:right w:w="28" w:type="dxa"/>
        </w:tblCellMar>
      </w:tblPr>
      <w:tblGrid>
        <w:gridCol w:w="5592"/>
        <w:gridCol w:w="146"/>
        <w:gridCol w:w="196"/>
        <w:gridCol w:w="826"/>
        <w:gridCol w:w="166"/>
        <w:gridCol w:w="146"/>
        <w:gridCol w:w="261"/>
        <w:gridCol w:w="926"/>
        <w:gridCol w:w="166"/>
        <w:gridCol w:w="146"/>
        <w:gridCol w:w="196"/>
        <w:gridCol w:w="826"/>
        <w:gridCol w:w="612"/>
      </w:tblGrid>
      <w:tr>
        <w:trPr/>
        <w:tc>
          <w:tcPr>
            <w:tcW w:w="5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55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 2023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subordinated</w:t>
              <w:br/>
              <w:t>debt and 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Totals</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balance</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906,166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100,782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1,006,948</w:t>
            </w:r>
          </w:p>
        </w:tc>
        <w:tc>
          <w:tcPr>
            <w:tcW w:w="612" w:type="dxa"/>
            <w:tcBorders/>
            <w:shd w:fill="CCECFF" w:val="clear"/>
            <w:vAlign w:val="center"/>
          </w:tcPr>
          <w:p>
            <w:pPr>
              <w:pStyle w:val="TableContents"/>
              <w:bidi w:val="0"/>
              <w:spacing w:before="0" w:after="283"/>
              <w:ind w:left="0" w:right="0" w:firstLine="400"/>
              <w:jc w:val="left"/>
              <w:rPr/>
            </w:pPr>
            <w:r>
              <w:rPr/>
              <w:t> </w:t>
            </w:r>
          </w:p>
        </w:tc>
      </w:tr>
      <w:tr>
        <w:trPr/>
        <w:tc>
          <w:tcPr>
            <w:tcW w:w="55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612"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592"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1"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612" w:type="dxa"/>
            <w:tcBorders/>
            <w:shd w:fill="CCECFF" w:val="clear"/>
            <w:vAlign w:val="center"/>
          </w:tcPr>
          <w:p>
            <w:pPr>
              <w:pStyle w:val="TableContents"/>
              <w:bidi w:val="0"/>
              <w:spacing w:before="0" w:after="283"/>
              <w:ind w:left="0" w:right="0" w:firstLine="400"/>
              <w:jc w:val="left"/>
              <w:rPr/>
            </w:pPr>
            <w:r>
              <w:rPr/>
              <w:t> </w:t>
            </w:r>
          </w:p>
        </w:tc>
      </w:tr>
      <w:tr>
        <w:trPr/>
        <w:tc>
          <w:tcPr>
            <w:tcW w:w="55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PIK interest, net discount accretion and non-cash exchanges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307,198</w:t>
            </w:r>
          </w:p>
        </w:tc>
        <w:tc>
          <w:tcPr>
            <w:tcW w:w="612" w:type="dxa"/>
            <w:tcBorders/>
            <w:shd w:fill="FFFFFF" w:val="clear"/>
            <w:vAlign w:val="center"/>
          </w:tcPr>
          <w:p>
            <w:pPr>
              <w:pStyle w:val="TableContents"/>
              <w:bidi w:val="0"/>
              <w:spacing w:before="0" w:after="283"/>
              <w:ind w:left="0" w:right="0" w:firstLine="400"/>
              <w:jc w:val="left"/>
              <w:rPr/>
            </w:pPr>
            <w:r>
              <w:rPr/>
              <w:t> </w:t>
            </w:r>
          </w:p>
        </w:tc>
      </w:tr>
      <w:tr>
        <w:trPr/>
        <w:tc>
          <w:tcPr>
            <w:tcW w:w="5592"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Sales, repayments and non-cash exchanges</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(105,124</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61"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(106,508</w:t>
            </w:r>
          </w:p>
        </w:tc>
        <w:tc>
          <w:tcPr>
            <w:tcW w:w="612"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5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Transfers in and/or out of Level 3</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balance</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1,090,464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118,705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1,209,169</w:t>
            </w:r>
          </w:p>
        </w:tc>
        <w:tc>
          <w:tcPr>
            <w:tcW w:w="6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5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reported within the net change in unrealized</w:t>
              <w:br/>
              <w:t>   appreciaiton (depreciation) on investments in our consolidated statements of operations</w:t>
              <w:br/>
              <w:t>   attributable to our Level 3 assets still held at the reporting date.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ind w:left="0" w:right="0" w:firstLine="432"/>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92"/>
        <w:gridCol w:w="146"/>
        <w:gridCol w:w="196"/>
        <w:gridCol w:w="826"/>
        <w:gridCol w:w="166"/>
        <w:gridCol w:w="146"/>
        <w:gridCol w:w="291"/>
        <w:gridCol w:w="896"/>
        <w:gridCol w:w="166"/>
        <w:gridCol w:w="146"/>
        <w:gridCol w:w="196"/>
        <w:gridCol w:w="826"/>
        <w:gridCol w:w="612"/>
      </w:tblGrid>
      <w:tr>
        <w:trPr/>
        <w:tc>
          <w:tcPr>
            <w:tcW w:w="5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55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 2022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subordinated</w:t>
              <w:br/>
              <w:t>debt and 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Totals</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balance</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1,009,642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95,285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1,104,927</w:t>
            </w:r>
          </w:p>
        </w:tc>
        <w:tc>
          <w:tcPr>
            <w:tcW w:w="612" w:type="dxa"/>
            <w:tcBorders/>
            <w:shd w:fill="CCECFF" w:val="clear"/>
            <w:vAlign w:val="center"/>
          </w:tcPr>
          <w:p>
            <w:pPr>
              <w:pStyle w:val="TableContents"/>
              <w:bidi w:val="0"/>
              <w:spacing w:before="0" w:after="283"/>
              <w:ind w:left="0" w:right="0" w:firstLine="400"/>
              <w:jc w:val="left"/>
              <w:rPr/>
            </w:pPr>
            <w:r>
              <w:rPr/>
              <w:t> </w:t>
            </w:r>
          </w:p>
        </w:tc>
      </w:tr>
      <w:tr>
        <w:trPr/>
        <w:tc>
          <w:tcPr>
            <w:tcW w:w="55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612" w:type="dxa"/>
            <w:tcBorders/>
            <w:shd w:fill="FFFFFF" w:val="clear"/>
            <w:vAlign w:val="center"/>
          </w:tcPr>
          <w:p>
            <w:pPr>
              <w:pStyle w:val="TableContents"/>
              <w:bidi w:val="0"/>
              <w:spacing w:before="0" w:after="283"/>
              <w:ind w:left="0" w:right="0" w:firstLine="400"/>
              <w:jc w:val="left"/>
              <w:rPr/>
            </w:pPr>
            <w:r>
              <w:rPr/>
              <w:t> </w:t>
            </w:r>
          </w:p>
        </w:tc>
      </w:tr>
      <w:tr>
        <w:trPr/>
        <w:tc>
          <w:tcPr>
            <w:tcW w:w="5592"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(7,399</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jc w:val="left"/>
              <w:rPr/>
            </w:pPr>
            <w:r>
              <w:rPr/>
              <w:t> </w:t>
            </w:r>
          </w:p>
        </w:tc>
        <w:tc>
          <w:tcPr>
            <w:tcW w:w="89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(10,845</w:t>
            </w:r>
          </w:p>
        </w:tc>
        <w:tc>
          <w:tcPr>
            <w:tcW w:w="612"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5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PIK interest, net discount accretion and non-cash exchanges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62,667</w:t>
            </w:r>
          </w:p>
        </w:tc>
        <w:tc>
          <w:tcPr>
            <w:tcW w:w="612" w:type="dxa"/>
            <w:tcBorders/>
            <w:shd w:fill="FFFFFF" w:val="clear"/>
            <w:vAlign w:val="center"/>
          </w:tcPr>
          <w:p>
            <w:pPr>
              <w:pStyle w:val="TableContents"/>
              <w:bidi w:val="0"/>
              <w:spacing w:before="0" w:after="283"/>
              <w:ind w:left="0" w:right="0" w:firstLine="400"/>
              <w:jc w:val="left"/>
              <w:rPr/>
            </w:pPr>
            <w:r>
              <w:rPr/>
              <w:t> </w:t>
            </w:r>
          </w:p>
        </w:tc>
      </w:tr>
      <w:tr>
        <w:trPr/>
        <w:tc>
          <w:tcPr>
            <w:tcW w:w="5592"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Sales, repayments and non-cash exchanges</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(62,720</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jc w:val="left"/>
              <w:rPr/>
            </w:pPr>
            <w:r>
              <w:rPr/>
              <w:t> </w:t>
            </w:r>
          </w:p>
        </w:tc>
        <w:tc>
          <w:tcPr>
            <w:tcW w:w="89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(62,998</w:t>
            </w:r>
          </w:p>
        </w:tc>
        <w:tc>
          <w:tcPr>
            <w:tcW w:w="612"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5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Transfers in and/or out of Level 3</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balance</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998,209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95,605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1,093,814</w:t>
            </w:r>
          </w:p>
        </w:tc>
        <w:tc>
          <w:tcPr>
            <w:tcW w:w="6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5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reported within the net change in unrealized</w:t>
              <w:br/>
              <w:t>appreciaiton (depreciation) on investments in our consolidated statements of operations</w:t>
              <w:br/>
              <w:t>attributable to our Level 3 assets still held at the reporting date.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(8,198</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The table below shows a reconciliation of the beginning and ending balances for liabilities recognized at fair value and measured using significant unobservable inputs (Level 3)($ in thousands):</w:t>
      </w:r>
    </w:p>
    <w:p>
      <w:pPr>
        <w:pStyle w:val="TextBody"/>
        <w:bidi w:val="0"/>
        <w:ind w:left="0" w:right="0" w:firstLine="432"/>
        <w:jc w:val="left"/>
        <w:rPr/>
      </w:pPr>
      <w:r>
        <w:rPr/>
        <w:t> </w:t>
      </w:r>
    </w:p>
    <w:tbl>
      <w:tblPr>
        <w:tblW w:w="8949" w:type="dxa"/>
        <w:jc w:val="left"/>
        <w:tblInd w:w="0" w:type="dxa"/>
        <w:tblLayout w:type="fixed"/>
        <w:tblCellMar>
          <w:top w:w="28" w:type="dxa"/>
          <w:left w:w="28" w:type="dxa"/>
          <w:bottom w:w="28" w:type="dxa"/>
          <w:right w:w="28" w:type="dxa"/>
        </w:tblCellMar>
      </w:tblPr>
      <w:tblGrid>
        <w:gridCol w:w="5621"/>
        <w:gridCol w:w="146"/>
        <w:gridCol w:w="243"/>
        <w:gridCol w:w="859"/>
        <w:gridCol w:w="206"/>
        <w:gridCol w:w="181"/>
        <w:gridCol w:w="243"/>
        <w:gridCol w:w="859"/>
        <w:gridCol w:w="591"/>
      </w:tblGrid>
      <w:tr>
        <w:trPr/>
        <w:tc>
          <w:tcPr>
            <w:tcW w:w="5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Long-Term Credit Facility and 2023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Beginning balance (cost – $85,619</w:t>
            </w:r>
            <w:r>
              <w:rPr>
                <w:rFonts w:ascii="Times New Roman" w:hAnsi="Times New Roman"/>
                <w:color w:val="000000"/>
                <w:sz w:val="20"/>
              </w:rPr>
              <w:t> </w:t>
            </w:r>
            <w:r>
              <w:rPr>
                <w:rFonts w:ascii="Times New Roman" w:hAnsi="Times New Roman"/>
                <w:color w:val="000000"/>
                <w:sz w:val="16"/>
              </w:rPr>
              <w:t>and $168,830, respectively)</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85,619</w:t>
            </w:r>
          </w:p>
        </w:tc>
        <w:tc>
          <w:tcPr>
            <w:tcW w:w="20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167,563</w:t>
            </w:r>
          </w:p>
        </w:tc>
        <w:tc>
          <w:tcPr>
            <w:tcW w:w="591" w:type="dxa"/>
            <w:tcBorders/>
            <w:shd w:fill="CCECFF" w:val="clear"/>
            <w:vAlign w:val="center"/>
          </w:tcPr>
          <w:p>
            <w:pPr>
              <w:pStyle w:val="TableContents"/>
              <w:bidi w:val="0"/>
              <w:spacing w:before="0" w:after="283"/>
              <w:ind w:left="0" w:right="0" w:firstLine="400"/>
              <w:jc w:val="left"/>
              <w:rPr/>
            </w:pPr>
            <w:r>
              <w:rPr/>
              <w:t> </w:t>
            </w:r>
          </w:p>
        </w:tc>
      </w:tr>
      <w:tr>
        <w:trPr/>
        <w:tc>
          <w:tcPr>
            <w:tcW w:w="56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(depreciation) appreciation included in earnings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5621"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Borrowings</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251,455</w:t>
            </w:r>
          </w:p>
        </w:tc>
        <w:tc>
          <w:tcPr>
            <w:tcW w:w="20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591" w:type="dxa"/>
            <w:tcBorders/>
            <w:shd w:fill="CCECFF" w:val="clear"/>
            <w:vAlign w:val="center"/>
          </w:tcPr>
          <w:p>
            <w:pPr>
              <w:pStyle w:val="TableContents"/>
              <w:bidi w:val="0"/>
              <w:spacing w:before="0" w:after="283"/>
              <w:ind w:left="0" w:right="0" w:firstLine="400"/>
              <w:jc w:val="left"/>
              <w:rPr/>
            </w:pPr>
            <w:r>
              <w:rPr/>
              <w:t> </w:t>
            </w:r>
          </w:p>
        </w:tc>
      </w:tr>
      <w:tr>
        <w:trPr/>
        <w:tc>
          <w:tcPr>
            <w:tcW w:w="56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Repayments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(76,219</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5621"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859" w:type="dxa"/>
            <w:tcBorders/>
            <w:shd w:fill="CCECFF" w:val="clear"/>
            <w:vAlign w:val="center"/>
          </w:tcPr>
          <w:p>
            <w:pPr>
              <w:pStyle w:val="TableContents"/>
              <w:bidi w:val="0"/>
              <w:spacing w:before="0" w:after="283"/>
              <w:jc w:val="right"/>
              <w:rPr>
                <w:color w:val="000000"/>
              </w:rPr>
            </w:pPr>
            <w:r>
              <w:rPr>
                <w:color w:val="000000"/>
              </w:rPr>
              <w:t>—</w:t>
            </w:r>
          </w:p>
        </w:tc>
        <w:tc>
          <w:tcPr>
            <w:tcW w:w="20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859" w:type="dxa"/>
            <w:tcBorders/>
            <w:shd w:fill="CCECFF" w:val="clear"/>
            <w:vAlign w:val="center"/>
          </w:tcPr>
          <w:p>
            <w:pPr>
              <w:pStyle w:val="TableContents"/>
              <w:bidi w:val="0"/>
              <w:spacing w:before="0" w:after="283"/>
              <w:jc w:val="right"/>
              <w:rPr>
                <w:color w:val="000000"/>
              </w:rPr>
            </w:pPr>
            <w:r>
              <w:rPr>
                <w:color w:val="000000"/>
              </w:rPr>
              <w:t>—</w:t>
            </w:r>
          </w:p>
        </w:tc>
        <w:tc>
          <w:tcPr>
            <w:tcW w:w="591" w:type="dxa"/>
            <w:tcBorders/>
            <w:shd w:fill="CCECFF" w:val="clear"/>
            <w:vAlign w:val="center"/>
          </w:tcPr>
          <w:p>
            <w:pPr>
              <w:pStyle w:val="TableContents"/>
              <w:bidi w:val="0"/>
              <w:spacing w:before="0" w:after="283"/>
              <w:ind w:left="0" w:right="0" w:firstLine="400"/>
              <w:jc w:val="left"/>
              <w:rPr/>
            </w:pPr>
            <w:r>
              <w:rPr/>
              <w:t> </w:t>
            </w:r>
          </w:p>
        </w:tc>
      </w:tr>
      <w:tr>
        <w:trPr/>
        <w:tc>
          <w:tcPr>
            <w:tcW w:w="56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Transfers in and/or out of Level 3</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Ending balance (cost – $260,855</w:t>
            </w:r>
            <w:r>
              <w:rPr>
                <w:rFonts w:ascii="Times New Roman" w:hAnsi="Times New Roman"/>
                <w:color w:val="000000"/>
                <w:sz w:val="20"/>
              </w:rPr>
              <w:t> </w:t>
            </w:r>
            <w:r>
              <w:rPr>
                <w:rFonts w:ascii="Times New Roman" w:hAnsi="Times New Roman"/>
                <w:color w:val="000000"/>
                <w:sz w:val="16"/>
              </w:rPr>
              <w:t>and $259,277, respectively)</w:t>
            </w:r>
          </w:p>
        </w:tc>
        <w:tc>
          <w:tcPr>
            <w:tcW w:w="146" w:type="dxa"/>
            <w:tcBorders/>
            <w:shd w:fill="CCECFF" w:val="clear"/>
            <w:vAlign w:val="center"/>
          </w:tcPr>
          <w:p>
            <w:pPr>
              <w:pStyle w:val="TableContents"/>
              <w:bidi w:val="0"/>
              <w:spacing w:before="0" w:after="283"/>
              <w:jc w:val="left"/>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260,917</w:t>
            </w:r>
          </w:p>
        </w:tc>
        <w:tc>
          <w:tcPr>
            <w:tcW w:w="2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197,688</w:t>
            </w:r>
          </w:p>
        </w:tc>
        <w:tc>
          <w:tcPr>
            <w:tcW w:w="5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32"/>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As of December 31, 2023, we had outstanding non-U.S. dollar borrowings on our Credit Facility. Net change in fair value from currency translation on outstanding borrowings is listed below ($ in thousands):</w:t>
      </w:r>
    </w:p>
    <w:tbl>
      <w:tblPr>
        <w:tblW w:w="8112" w:type="dxa"/>
        <w:jc w:val="left"/>
        <w:tblInd w:w="0" w:type="dxa"/>
        <w:tblLayout w:type="fixed"/>
        <w:tblCellMar>
          <w:top w:w="28" w:type="dxa"/>
          <w:left w:w="28" w:type="dxa"/>
          <w:bottom w:w="28" w:type="dxa"/>
          <w:right w:w="28" w:type="dxa"/>
        </w:tblCellMar>
      </w:tblPr>
      <w:tblGrid>
        <w:gridCol w:w="1426"/>
        <w:gridCol w:w="146"/>
        <w:gridCol w:w="228"/>
        <w:gridCol w:w="598"/>
        <w:gridCol w:w="146"/>
        <w:gridCol w:w="146"/>
        <w:gridCol w:w="348"/>
        <w:gridCol w:w="912"/>
        <w:gridCol w:w="146"/>
        <w:gridCol w:w="146"/>
        <w:gridCol w:w="255"/>
        <w:gridCol w:w="900"/>
        <w:gridCol w:w="146"/>
        <w:gridCol w:w="146"/>
        <w:gridCol w:w="886"/>
        <w:gridCol w:w="146"/>
        <w:gridCol w:w="405"/>
        <w:gridCol w:w="795"/>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Borrowed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Dollar</w:t>
            </w:r>
          </w:p>
        </w:tc>
        <w:tc>
          <w:tcPr>
            <w:tcW w:w="146" w:type="dxa"/>
            <w:tcBorders/>
            <w:shd w:fill="CCECFF" w:val="clear"/>
            <w:vAlign w:val="center"/>
          </w:tcPr>
          <w:p>
            <w:pPr>
              <w:pStyle w:val="TableContents"/>
              <w:bidi w:val="0"/>
              <w:spacing w:before="0" w:after="283"/>
              <w:jc w:val="right"/>
              <w:rPr/>
            </w:pPr>
            <w:r>
              <w:rPr/>
              <w:t> </w:t>
            </w:r>
          </w:p>
        </w:tc>
        <w:tc>
          <w:tcPr>
            <w:tcW w:w="22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9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CECFF" w:val="clear"/>
            <w:vAlign w:val="center"/>
          </w:tcPr>
          <w:p>
            <w:pPr>
              <w:pStyle w:val="TableContents"/>
              <w:bidi w:val="0"/>
              <w:spacing w:before="0" w:after="283"/>
              <w:jc w:val="left"/>
              <w:rPr/>
            </w:pPr>
            <w:r>
              <w:rPr/>
              <w:t> </w:t>
            </w:r>
          </w:p>
        </w:tc>
        <w:tc>
          <w:tcPr>
            <w:tcW w:w="405" w:type="dxa"/>
            <w:tcBorders/>
            <w:shd w:fill="CCECFF" w:val="clear"/>
            <w:vAlign w:val="center"/>
          </w:tcPr>
          <w:p>
            <w:pPr>
              <w:pStyle w:val="TableContents"/>
              <w:bidi w:val="0"/>
              <w:spacing w:before="0" w:after="283"/>
              <w:jc w:val="left"/>
              <w:rPr/>
            </w:pPr>
            <w:r>
              <w:rPr/>
              <w:t> </w:t>
            </w:r>
          </w:p>
        </w:tc>
        <w:tc>
          <w:tcPr>
            <w:tcW w:w="79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91" w:type="dxa"/>
            <w:tcBorders/>
            <w:shd w:fill="CCECFF" w:val="clear"/>
            <w:vAlign w:val="center"/>
          </w:tcPr>
          <w:p>
            <w:pPr>
              <w:pStyle w:val="TableContents"/>
              <w:bidi w:val="0"/>
              <w:spacing w:before="0" w:after="283"/>
              <w:jc w:val="left"/>
              <w:rPr/>
            </w:pPr>
            <w:r>
              <w:rPr/>
              <w:t> </w:t>
            </w:r>
          </w:p>
        </w:tc>
      </w:tr>
    </w:tbl>
    <w:p>
      <w:pPr>
        <w:pStyle w:val="TextBody"/>
        <w:bidi w:val="0"/>
        <w:ind w:left="0" w:right="0" w:firstLine="432"/>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As of September 30, 2023 we did not have any outstanding non-U.S. dollar borrowings on the Credit Facility.</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months ended December 31,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For the three months ended December 31, 2023 and 2022, the Credit Facility and the 2023 Notes had a net change in unrealized appreciation (depreciation) of less than $0.1</w:t>
      </w:r>
      <w:r>
        <w:rPr>
          <w:rFonts w:ascii="Times New Roman" w:hAnsi="Times New Roman"/>
          <w:color w:val="000000"/>
          <w:sz w:val="20"/>
        </w:rPr>
        <w:t xml:space="preserve"> </w:t>
      </w:r>
      <w:r>
        <w:rPr>
          <w:rFonts w:ascii="Times New Roman" w:hAnsi="Times New Roman"/>
          <w:color w:val="000000"/>
          <w:sz w:val="16"/>
        </w:rPr>
        <w:t>million and $(2.1) million, respectively. As of December 31, 2023 and September 30, 2023, the net unrealized appreciation (depreciation) on the Credit Facility and the 2023 Notes totaled $0.1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zero, respectively. We use a nationally recognized independent valuation service to measure the fair value of the Credit Facility in a manner consistent with the valuation process that our board of directors uses to value our investments. Our 2023 Notes traded on the TASE and were fully paid off during the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6. TRANSACTIONS WITH AFFILIATED COMPANIES</w:t>
      </w:r>
    </w:p>
    <w:p>
      <w:pPr>
        <w:pStyle w:val="TextBody"/>
        <w:bidi w:val="0"/>
        <w:jc w:val="left"/>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three months ended December 31, 2023 were as follows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4"/>
        <w:gridCol w:w="146"/>
        <w:gridCol w:w="1185"/>
        <w:gridCol w:w="146"/>
        <w:gridCol w:w="882"/>
        <w:gridCol w:w="146"/>
        <w:gridCol w:w="1119"/>
        <w:gridCol w:w="146"/>
        <w:gridCol w:w="1107"/>
        <w:gridCol w:w="146"/>
        <w:gridCol w:w="1140"/>
        <w:gridCol w:w="146"/>
        <w:gridCol w:w="766"/>
        <w:gridCol w:w="146"/>
        <w:gridCol w:w="796"/>
        <w:gridCol w:w="146"/>
        <w:gridCol w:w="848"/>
      </w:tblGrid>
      <w:tr>
        <w:trPr/>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of/ Distribution from Affiliates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w:t>
              <w:br/>
              <w:t>Unrealized</w:t>
              <w:br/>
              <w:t>Appreciation</w:t>
              <w:br/>
              <w:t>(Depreciation)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br/>
              <w:t>Other</w:t>
              <w:br/>
              <w: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br/>
              <w:t>Gains (Losses)</w:t>
            </w:r>
          </w:p>
        </w:tc>
      </w:tr>
      <w:tr>
        <w:trPr/>
        <w:tc>
          <w:tcPr>
            <w:tcW w:w="1194"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Controlled Affiliates</w:t>
            </w:r>
          </w:p>
        </w:tc>
        <w:tc>
          <w:tcPr>
            <w:tcW w:w="146" w:type="dxa"/>
            <w:tcBorders/>
            <w:shd w:fill="CCECFF" w:val="clear"/>
            <w:vAlign w:val="center"/>
          </w:tcPr>
          <w:p>
            <w:pPr>
              <w:pStyle w:val="TableContents"/>
              <w:bidi w:val="0"/>
              <w:spacing w:before="0" w:after="283"/>
              <w:jc w:val="left"/>
              <w:rPr/>
            </w:pPr>
            <w:r>
              <w:rPr/>
              <w:t> </w:t>
            </w:r>
          </w:p>
        </w:tc>
        <w:tc>
          <w:tcPr>
            <w:tcW w:w="1185"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9"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07"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40"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48" w:type="dxa"/>
            <w:tcBorders/>
            <w:shd w:fill="CCECFF" w:val="clear"/>
            <w:vAlign w:val="center"/>
          </w:tcPr>
          <w:p>
            <w:pPr>
              <w:pStyle w:val="TableContents"/>
              <w:bidi w:val="0"/>
              <w:spacing w:before="0" w:after="283"/>
              <w:jc w:val="right"/>
              <w:rPr/>
            </w:pPr>
            <w:r>
              <w:rPr/>
              <w:t> </w:t>
            </w:r>
          </w:p>
        </w:tc>
      </w:tr>
      <w:tr>
        <w:trPr/>
        <w:tc>
          <w:tcPr>
            <w:tcW w:w="11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Marketplace Events, LLC</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$34,028</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4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$34,115</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119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PennantPark Senior Secured</w:t>
            </w:r>
          </w:p>
        </w:tc>
        <w:tc>
          <w:tcPr>
            <w:tcW w:w="146" w:type="dxa"/>
            <w:tcBorders/>
            <w:shd w:fill="CCECFF" w:val="clear"/>
            <w:vAlign w:val="center"/>
          </w:tcPr>
          <w:p>
            <w:pPr>
              <w:pStyle w:val="TableContents"/>
              <w:bidi w:val="0"/>
              <w:spacing w:before="0" w:after="283"/>
              <w:jc w:val="left"/>
              <w:rPr/>
            </w:pPr>
            <w:r>
              <w:rPr/>
              <w:t> </w:t>
            </w:r>
          </w:p>
        </w:tc>
        <w:tc>
          <w:tcPr>
            <w:tcW w:w="1185"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9"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07"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40"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48" w:type="dxa"/>
            <w:tcBorders/>
            <w:shd w:fill="CCECFF" w:val="clear"/>
            <w:vAlign w:val="center"/>
          </w:tcPr>
          <w:p>
            <w:pPr>
              <w:pStyle w:val="TableContents"/>
              <w:bidi w:val="0"/>
              <w:spacing w:before="0" w:after="283"/>
              <w:ind w:left="0" w:right="0" w:firstLine="100"/>
              <w:jc w:val="right"/>
              <w:rPr/>
            </w:pPr>
            <w:r>
              <w:rPr/>
              <w:t> </w:t>
            </w:r>
          </w:p>
        </w:tc>
      </w:tr>
      <w:tr>
        <w:trPr/>
        <w:tc>
          <w:tcPr>
            <w:tcW w:w="1194" w:type="dxa"/>
            <w:tcBorders/>
            <w:shd w:fill="CCEC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Loan Fund I LLC *</w:t>
            </w:r>
          </w:p>
        </w:tc>
        <w:tc>
          <w:tcPr>
            <w:tcW w:w="146" w:type="dxa"/>
            <w:tcBorders/>
            <w:shd w:fill="CCECFF" w:val="clear"/>
            <w:vAlign w:val="center"/>
          </w:tcPr>
          <w:p>
            <w:pPr>
              <w:pStyle w:val="TableContents"/>
              <w:bidi w:val="0"/>
              <w:spacing w:before="0" w:after="283"/>
              <w:jc w:val="left"/>
              <w:rPr/>
            </w:pPr>
            <w:r>
              <w:rPr/>
              <w:t> </w:t>
            </w:r>
          </w:p>
        </w:tc>
        <w:tc>
          <w:tcPr>
            <w:tcW w:w="11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260,969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8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1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Controlled Affiliates</w:t>
            </w:r>
          </w:p>
        </w:tc>
        <w:tc>
          <w:tcPr>
            <w:tcW w:w="146" w:type="dxa"/>
            <w:tcBorders/>
            <w:shd w:fill="FFFFFF" w:val="cle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2"/>
        </w:rPr>
        <w:t xml:space="preserve">* </w:t>
      </w:r>
      <w:r>
        <w:rPr>
          <w:rFonts w:ascii="Times New Roman" w:hAnsi="Times New Roman"/>
          <w:color w:val="000000"/>
          <w:sz w:val="13"/>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pStyle w:val="TextBody"/>
        <w:bidi w:val="0"/>
        <w:jc w:val="left"/>
        <w:rPr/>
      </w:pPr>
      <w:r>
        <w:rPr/>
        <w:t> </w:t>
      </w:r>
    </w:p>
    <w:p>
      <w:pPr>
        <w:pStyle w:val="TextBody"/>
        <w:bidi w:val="0"/>
        <w:jc w:val="left"/>
        <w:rPr>
          <w:rFonts w:ascii="Times New Roman" w:hAnsi="Times New Roman"/>
          <w:b/>
          <w:color w:val="000000"/>
          <w:sz w:val="16"/>
        </w:rPr>
      </w:pPr>
      <w:bookmarkStart w:id="14" w:name="footnote_7"/>
      <w:bookmarkEnd w:id="14"/>
      <w:r>
        <w:rPr>
          <w:rFonts w:ascii="Times New Roman" w:hAnsi="Times New Roman"/>
          <w:b/>
          <w:color w:val="000000"/>
          <w:sz w:val="16"/>
        </w:rPr>
        <w:t>7. CHANGE IN NET ASSETS FROM OPERATIONS PER COMMON SHARE</w:t>
      </w:r>
    </w:p>
    <w:p>
      <w:pPr>
        <w:pStyle w:val="TextBody"/>
        <w:bidi w:val="0"/>
        <w:ind w:left="0" w:right="0" w:firstLine="490"/>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The following information sets forth the computation of basic and diluted per share net increase (decrease) in net assets resulting from operations</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 in thousands, except per share data):</w:t>
      </w:r>
    </w:p>
    <w:p>
      <w:pPr>
        <w:pStyle w:val="TextBody"/>
        <w:bidi w:val="0"/>
        <w:jc w:val="both"/>
        <w:rPr/>
      </w:pPr>
      <w:r>
        <w:rPr/>
        <w:t> </w:t>
      </w:r>
    </w:p>
    <w:tbl>
      <w:tblPr>
        <w:tblW w:w="8486" w:type="dxa"/>
        <w:jc w:val="left"/>
        <w:tblInd w:w="0" w:type="dxa"/>
        <w:tblLayout w:type="fixed"/>
        <w:tblCellMar>
          <w:top w:w="28" w:type="dxa"/>
          <w:left w:w="28" w:type="dxa"/>
          <w:bottom w:w="28" w:type="dxa"/>
          <w:right w:w="28" w:type="dxa"/>
        </w:tblCellMar>
      </w:tblPr>
      <w:tblGrid>
        <w:gridCol w:w="5491"/>
        <w:gridCol w:w="146"/>
        <w:gridCol w:w="205"/>
        <w:gridCol w:w="961"/>
        <w:gridCol w:w="153"/>
        <w:gridCol w:w="153"/>
        <w:gridCol w:w="205"/>
        <w:gridCol w:w="961"/>
        <w:gridCol w:w="2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Numerator for net increase (decrease) in net assets resulting from operations</w:t>
            </w:r>
          </w:p>
        </w:tc>
        <w:tc>
          <w:tcPr>
            <w:tcW w:w="146" w:type="dxa"/>
            <w:tcBorders/>
            <w:shd w:fill="CCECFF" w:val="clear"/>
            <w:vAlign w:val="center"/>
          </w:tcPr>
          <w:p>
            <w:pPr>
              <w:pStyle w:val="TableContents"/>
              <w:bidi w:val="0"/>
              <w:spacing w:before="0" w:after="283"/>
              <w:jc w:val="lef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22,469</w:t>
            </w:r>
          </w:p>
        </w:tc>
        <w:tc>
          <w:tcPr>
            <w:tcW w:w="153"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righ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Denominator for basic and diluted weighted average shares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58,734,702</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45,368,844</w:t>
            </w:r>
          </w:p>
        </w:tc>
        <w:tc>
          <w:tcPr>
            <w:tcW w:w="211" w:type="dxa"/>
            <w:tcBorders/>
            <w:shd w:fill="FFFFFF" w:val="clear"/>
            <w:vAlign w:val="center"/>
          </w:tcPr>
          <w:p>
            <w:pPr>
              <w:pStyle w:val="TableContents"/>
              <w:bidi w:val="0"/>
              <w:spacing w:before="0" w:after="283"/>
              <w:jc w:val="left"/>
              <w:rPr/>
            </w:pPr>
            <w:r>
              <w:rPr/>
              <w:t> </w:t>
            </w:r>
          </w:p>
        </w:tc>
      </w:tr>
      <w:tr>
        <w:trPr/>
        <w:tc>
          <w:tcPr>
            <w:tcW w:w="54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Basic and diluted net increase in net assets per share resulting from operations</w:t>
            </w:r>
          </w:p>
        </w:tc>
        <w:tc>
          <w:tcPr>
            <w:tcW w:w="146" w:type="dxa"/>
            <w:tcBorders/>
            <w:shd w:fill="CCECFF" w:val="clear"/>
            <w:vAlign w:val="center"/>
          </w:tcPr>
          <w:p>
            <w:pPr>
              <w:pStyle w:val="TableContents"/>
              <w:bidi w:val="0"/>
              <w:spacing w:before="0" w:after="283"/>
              <w:jc w:val="lef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53"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righ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8. CASH AND CASH EQUIVALENTS</w:t>
      </w:r>
    </w:p>
    <w:p>
      <w:pPr>
        <w:pStyle w:val="TextBody"/>
        <w:bidi w:val="0"/>
        <w:ind w:left="0" w:right="0" w:firstLine="49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Cash equivalents represent cash in money market funds pending investment in longer-term portfolio holdings and for other general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2023 and September 30, 2023, cash and cash equivalents consisted of money market funds in the amounts of $75.8</w:t>
      </w:r>
      <w:r>
        <w:rPr>
          <w:rFonts w:ascii="Times New Roman" w:hAnsi="Times New Roman"/>
          <w:color w:val="000000"/>
          <w:sz w:val="20"/>
        </w:rPr>
        <w:t xml:space="preserve"> </w:t>
      </w:r>
      <w:r>
        <w:rPr>
          <w:rFonts w:ascii="Times New Roman" w:hAnsi="Times New Roman"/>
          <w:color w:val="000000"/>
          <w:sz w:val="16"/>
        </w:rPr>
        <w:t>million and $100.6</w:t>
      </w:r>
      <w:r>
        <w:rPr>
          <w:rFonts w:ascii="Times New Roman" w:hAnsi="Times New Roman"/>
          <w:color w:val="000000"/>
          <w:sz w:val="20"/>
        </w:rPr>
        <w:t xml:space="preserve"> </w:t>
      </w:r>
      <w:r>
        <w:rPr>
          <w:rFonts w:ascii="Times New Roman" w:hAnsi="Times New Roman"/>
          <w:color w:val="000000"/>
          <w:sz w:val="16"/>
        </w:rPr>
        <w:t>million at fair value, respectively.</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9. FINANCIAL HIGHLIGHTS</w:t>
      </w:r>
    </w:p>
    <w:p>
      <w:pPr>
        <w:pStyle w:val="TextBody"/>
        <w:bidi w:val="0"/>
        <w:ind w:left="0" w:right="0" w:firstLine="490"/>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Below are the financial highlights ($ in thousands, except per share data):</w:t>
      </w:r>
    </w:p>
    <w:p>
      <w:pPr>
        <w:pStyle w:val="TextBody"/>
        <w:bidi w:val="0"/>
        <w:jc w:val="left"/>
        <w:rPr/>
      </w:pPr>
      <w:r>
        <w:rPr/>
        <w:t> </w:t>
      </w:r>
    </w:p>
    <w:tbl>
      <w:tblPr>
        <w:tblW w:w="7601" w:type="dxa"/>
        <w:jc w:val="left"/>
        <w:tblInd w:w="0" w:type="dxa"/>
        <w:tblLayout w:type="fixed"/>
        <w:tblCellMar>
          <w:top w:w="28" w:type="dxa"/>
          <w:left w:w="28" w:type="dxa"/>
          <w:bottom w:w="28" w:type="dxa"/>
          <w:right w:w="28" w:type="dxa"/>
        </w:tblCellMar>
      </w:tblPr>
      <w:tblGrid>
        <w:gridCol w:w="4531"/>
        <w:gridCol w:w="146"/>
        <w:gridCol w:w="198"/>
        <w:gridCol w:w="926"/>
        <w:gridCol w:w="243"/>
        <w:gridCol w:w="147"/>
        <w:gridCol w:w="198"/>
        <w:gridCol w:w="926"/>
        <w:gridCol w:w="28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86" w:type="dxa"/>
            <w:tcBorders/>
            <w:shd w:fill="FFFFFF" w:val="cle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146" w:type="dxa"/>
            <w:tcBorders/>
            <w:shd w:fill="CCECFF" w:val="clear"/>
            <w:vAlign w:val="center"/>
          </w:tcPr>
          <w:p>
            <w:pPr>
              <w:pStyle w:val="TableContents"/>
              <w:bidi w:val="0"/>
              <w:spacing w:before="0" w:after="283"/>
              <w:jc w:val="left"/>
              <w:rPr/>
            </w:pPr>
            <w:r>
              <w:rPr/>
              <w:t> </w:t>
            </w:r>
          </w:p>
        </w:tc>
        <w:tc>
          <w:tcPr>
            <w:tcW w:w="1124" w:type="dxa"/>
            <w:gridSpan w:val="2"/>
            <w:tcBorders/>
            <w:shd w:fill="CCECFF" w:val="clear"/>
            <w:vAlign w:val="center"/>
          </w:tcPr>
          <w:p>
            <w:pPr>
              <w:pStyle w:val="TableContents"/>
              <w:bidi w:val="0"/>
              <w:spacing w:before="0" w:after="283"/>
              <w:jc w:val="right"/>
              <w:rPr/>
            </w:pPr>
            <w:r>
              <w:rPr/>
              <w:t> </w:t>
            </w:r>
          </w:p>
        </w:tc>
        <w:tc>
          <w:tcPr>
            <w:tcW w:w="243" w:type="dxa"/>
            <w:tcBorders/>
            <w:shd w:fill="CCECFF" w:val="clear"/>
            <w:vAlign w:val="center"/>
          </w:tcPr>
          <w:p>
            <w:pPr>
              <w:pStyle w:val="TableContents"/>
              <w:bidi w:val="0"/>
              <w:spacing w:before="0" w:after="283"/>
              <w:jc w:val="right"/>
              <w:rPr/>
            </w:pPr>
            <w:r>
              <w:rPr/>
              <w:t> </w:t>
            </w:r>
          </w:p>
        </w:tc>
        <w:tc>
          <w:tcPr>
            <w:tcW w:w="147" w:type="dxa"/>
            <w:tcBorders/>
            <w:shd w:fill="CCECFF" w:val="clear"/>
            <w:vAlign w:val="center"/>
          </w:tcPr>
          <w:p>
            <w:pPr>
              <w:pStyle w:val="TableContents"/>
              <w:bidi w:val="0"/>
              <w:spacing w:before="0" w:after="283"/>
              <w:jc w:val="left"/>
              <w:rPr/>
            </w:pPr>
            <w:r>
              <w:rPr/>
              <w:t> </w:t>
            </w:r>
          </w:p>
        </w:tc>
        <w:tc>
          <w:tcPr>
            <w:tcW w:w="1124" w:type="dxa"/>
            <w:gridSpan w:val="2"/>
            <w:tcBorders/>
            <w:shd w:fill="CCECFF" w:val="clear"/>
            <w:vAlign w:val="center"/>
          </w:tcPr>
          <w:p>
            <w:pPr>
              <w:pStyle w:val="TableContents"/>
              <w:bidi w:val="0"/>
              <w:spacing w:before="0" w:after="283"/>
              <w:jc w:val="right"/>
              <w:rPr/>
            </w:pPr>
            <w:r>
              <w:rPr/>
              <w:t> </w:t>
            </w:r>
          </w:p>
        </w:tc>
        <w:tc>
          <w:tcPr>
            <w:tcW w:w="286" w:type="dxa"/>
            <w:tcBorders/>
            <w:shd w:fill="CCECFF" w:val="clear"/>
            <w:vAlign w:val="center"/>
          </w:tcPr>
          <w:p>
            <w:pPr>
              <w:pStyle w:val="TableContents"/>
              <w:bidi w:val="0"/>
              <w:spacing w:before="0" w:after="283"/>
              <w:jc w:val="righ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beginning of period</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24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286" w:type="dxa"/>
            <w:tcBorders/>
            <w:shd w:fill="FFFFFF" w:val="cle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investment income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243" w:type="dxa"/>
            <w:tcBorders/>
            <w:shd w:fill="CCECFF" w:val="cle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286" w:type="dxa"/>
            <w:tcBorders/>
            <w:shd w:fill="CCECFF"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change in realized and unrealized gain (loss) </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increase (decrease) in net assets resulting from operations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243" w:type="dxa"/>
            <w:tcBorders/>
            <w:shd w:fill="CCECFF" w:val="cle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Distributions to stockholders </w:t>
            </w:r>
            <w:r>
              <w:rPr>
                <w:rFonts w:ascii="Times New Roman" w:hAnsi="Times New Roman"/>
                <w:color w:val="000000"/>
                <w:sz w:val="11"/>
              </w:rPr>
              <w:t>(1), (2)</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(0.31</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Accretive effect of common stock issuance</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end of period</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end of period</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2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Total return </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right"/>
              <w:rPr/>
            </w:pPr>
            <w:r>
              <w:rPr/>
              <w:t> </w:t>
            </w:r>
          </w:p>
        </w:tc>
        <w:tc>
          <w:tcPr>
            <w:tcW w:w="1124"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286" w:type="dxa"/>
            <w:tcBorders/>
            <w:shd w:fill="FFFFFF" w:val="clear"/>
            <w:vAlign w:val="center"/>
          </w:tcPr>
          <w:p>
            <w:pPr>
              <w:pStyle w:val="TableContents"/>
              <w:bidi w:val="0"/>
              <w:spacing w:before="0" w:after="283"/>
              <w:jc w:val="righ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58,734,702</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45,431,815</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Ratios</w:t>
            </w:r>
            <w:r>
              <w:rPr>
                <w:rFonts w:ascii="Times New Roman" w:hAnsi="Times New Roman"/>
                <w:b/>
                <w:color w:val="000000"/>
                <w:sz w:val="11"/>
              </w:rPr>
              <w:t>**</w:t>
            </w:r>
            <w:r>
              <w:rPr>
                <w:rFonts w:ascii="Times New Roman" w:hAnsi="Times New Roman"/>
                <w:color w:val="000000"/>
                <w:sz w:val="16"/>
              </w:rPr>
              <w:t> </w:t>
            </w:r>
            <w:r>
              <w:rPr>
                <w:rFonts w:ascii="Times New Roman" w:hAnsi="Times New Roman"/>
                <w:b/>
                <w:color w:val="000000"/>
                <w:sz w:val="16"/>
              </w:rPr>
              <w:t>/ Supplemental Data:</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operating expenses to average net assets** </w:t>
            </w:r>
            <w:r>
              <w:rPr>
                <w:rFonts w:ascii="Times New Roman" w:hAnsi="Times New Roman"/>
                <w:color w:val="000000"/>
                <w:sz w:val="11"/>
              </w:rPr>
              <w:t>(4)</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debt related expenses to average net assets** </w:t>
            </w: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total expenses to average net assets** </w:t>
            </w:r>
            <w:r>
              <w:rPr>
                <w:rFonts w:ascii="Times New Roman" w:hAnsi="Times New Roman"/>
                <w:color w:val="000000"/>
                <w:sz w:val="11"/>
              </w:rPr>
              <w:t>(5)</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net investment income to average net assets** </w:t>
            </w: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658,013</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513,530</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debt outstanding</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528,462</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688,165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Weighted average debt per share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243" w:type="dxa"/>
            <w:tcBorders/>
            <w:shd w:fill="CCECFF" w:val="cle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286" w:type="dxa"/>
            <w:tcBorders/>
            <w:shd w:fill="CCECFF"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Asset coverage per unit </w:t>
            </w:r>
            <w:r>
              <w:rPr>
                <w:rFonts w:ascii="Times New Roman" w:hAnsi="Times New Roman"/>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w:t>
            </w:r>
          </w:p>
        </w:tc>
        <w:tc>
          <w:tcPr>
            <w:tcW w:w="24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w:t>
            </w:r>
          </w:p>
        </w:tc>
        <w:tc>
          <w:tcPr>
            <w:tcW w:w="286" w:type="dxa"/>
            <w:tcBorders/>
            <w:shd w:fill="FFFFFF" w:val="cle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Note: The expense and investment income ratios above do not reflect the Company's proportionate share of income and expenses of PSSL and PTSF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 xml:space="preserve">* </w:t>
      </w:r>
      <w:r>
        <w:rPr>
          <w:rFonts w:ascii="Times New Roman" w:hAnsi="Times New Roman"/>
          <w:color w:val="000000"/>
          <w:sz w:val="12"/>
        </w:rPr>
        <w:t>Not annualized for periods less than one year.</w:t>
      </w:r>
    </w:p>
    <w:p>
      <w:pPr>
        <w:pStyle w:val="TextBody"/>
        <w:bidi w:val="0"/>
        <w:jc w:val="left"/>
        <w:rPr>
          <w:rFonts w:ascii="Times New Roman" w:hAnsi="Times New Roman"/>
          <w:sz w:val="20"/>
        </w:rPr>
      </w:pPr>
      <w:r>
        <w:rPr>
          <w:rFonts w:ascii="Times New Roman" w:hAnsi="Times New Roman"/>
          <w:b/>
          <w:color w:val="000000"/>
          <w:sz w:val="12"/>
        </w:rPr>
        <w:t xml:space="preserve">** </w:t>
      </w:r>
      <w:r>
        <w:rPr>
          <w:rFonts w:ascii="Times New Roman" w:hAnsi="Times New Roman"/>
          <w:color w:val="000000"/>
          <w:sz w:val="12"/>
        </w:rPr>
        <w:t>Re-occuring investment income and expenses included in these ratios are annualized for periods less than one year</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Based on the weighted average shares outstanding for the respective periods.</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The tax status of distributions is calculated in accordance with income tax regulations, which may differ from amounts determined under GAAP, and reported on Form 1099-DIV each calendar year.</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(3)</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Based on the change in market price per share during the periods and assumes distributions, if any, are reinvested.</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(4)</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Excludes debt-related costs.</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(5)</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Includes interest and expenses on debt (annualized) as well as Credit Facility amendment and debt issuance costs, if any, (not annualized).</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(6)</w:t>
      </w:r>
    </w:p>
    <w:p>
      <w:pPr>
        <w:pStyle w:val="TextBody"/>
        <w:bidi w:val="0"/>
        <w:jc w:val="left"/>
        <w:rPr>
          <w:rFonts w:ascii="Times New Roman" w:hAnsi="Times New Roman"/>
          <w:sz w:val="16"/>
        </w:rPr>
      </w:pPr>
      <w:r>
        <w:rPr>
          <w:rFonts w:ascii="Times New Roman" w:hAnsi="Times New Roman"/>
          <w:color w:val="000000"/>
          <w:sz w:val="12"/>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w:t>
      </w:r>
      <w:r>
        <w:rPr>
          <w:rFonts w:ascii="Times New Roman" w:hAnsi="Times New Roman"/>
          <w:color w:val="000000"/>
          <w:sz w:val="16"/>
        </w:rPr>
        <w:t xml:space="preserve"> </w:t>
      </w:r>
      <w:r>
        <w:rPr>
          <w:rFonts w:ascii="Times New Roman" w:hAnsi="Times New Roman"/>
          <w:color w:val="000000"/>
          <w:sz w:val="12"/>
        </w:rPr>
        <w:t>to determine the asset coverage per unit.</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10. DEBT</w:t>
      </w:r>
    </w:p>
    <w:p>
      <w:pPr>
        <w:pStyle w:val="TextBody"/>
        <w:bidi w:val="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 annualized weighted average cost of debt for the three months ended December 31, 2023 and 2022, inclusive of the fee on the undrawn commitment on the Credit Facility, amendment costs and debt issuance costs, was 6.8% and 5.8%, respectively.</w:t>
      </w:r>
      <w:r>
        <w:rPr>
          <w:rFonts w:ascii="Times New Roman" w:hAnsi="Times New Roman"/>
          <w:color w:val="000000"/>
          <w:sz w:val="20"/>
        </w:rPr>
        <w:t xml:space="preserve"> </w:t>
      </w:r>
    </w:p>
    <w:p>
      <w:pPr>
        <w:pStyle w:val="TextBody"/>
        <w:bidi w:val="0"/>
        <w:ind w:left="0" w:right="0" w:firstLine="45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2023 and September 30, 2023, our asset coverage ratio, as computed in accordance with the 1940 Act, was 197%</w:t>
      </w:r>
      <w:r>
        <w:rPr>
          <w:rFonts w:ascii="Times New Roman" w:hAnsi="Times New Roman"/>
          <w:color w:val="000000"/>
          <w:sz w:val="20"/>
        </w:rPr>
        <w:t xml:space="preserve"> </w:t>
      </w:r>
      <w:r>
        <w:rPr>
          <w:rFonts w:ascii="Times New Roman" w:hAnsi="Times New Roman"/>
          <w:color w:val="000000"/>
          <w:sz w:val="16"/>
        </w:rPr>
        <w:t>and 230%, respectively.</w:t>
      </w:r>
    </w:p>
    <w:p>
      <w:pPr>
        <w:pStyle w:val="TextBody"/>
        <w:bidi w:val="0"/>
        <w:jc w:val="both"/>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Credit Facility</w:t>
      </w:r>
    </w:p>
    <w:p>
      <w:pPr>
        <w:pStyle w:val="TextBody"/>
        <w:bidi w:val="0"/>
        <w:ind w:left="0" w:right="0" w:firstLine="49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Funding I’s multi-currency Credit Facility with affiliates of Truist Bank, or the Lenders, was $386.0</w:t>
      </w:r>
      <w:r>
        <w:rPr>
          <w:rFonts w:ascii="Times New Roman" w:hAnsi="Times New Roman"/>
          <w:color w:val="000000"/>
          <w:sz w:val="20"/>
        </w:rPr>
        <w:t xml:space="preserve"> </w:t>
      </w:r>
      <w:r>
        <w:rPr>
          <w:rFonts w:ascii="Times New Roman" w:hAnsi="Times New Roman"/>
          <w:color w:val="000000"/>
          <w:sz w:val="16"/>
        </w:rPr>
        <w:t>million as of December 31, 2023, subject to satisfaction of certain conditions and the regulatory restrictions that the 1940 Act imposes on us as a BDC, has an interest rate spread above SOFR (or an alternative risk-free floating interest rate index) of 236 basis points, a maturity date of August 2026</w:t>
      </w:r>
      <w:r>
        <w:rPr>
          <w:rFonts w:ascii="Times New Roman" w:hAnsi="Times New Roman"/>
          <w:color w:val="000000"/>
          <w:sz w:val="20"/>
        </w:rPr>
        <w:t xml:space="preserve"> </w:t>
      </w:r>
      <w:r>
        <w:rPr>
          <w:rFonts w:ascii="Times New Roman" w:hAnsi="Times New Roman"/>
          <w:color w:val="000000"/>
          <w:sz w:val="16"/>
        </w:rPr>
        <w:t>and a revolving period that ends in August 2024. As of December 31, 2023 and September 30, 2023, Funding I had $260.9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$9.4</w:t>
      </w:r>
      <w:r>
        <w:rPr>
          <w:rFonts w:ascii="Times New Roman" w:hAnsi="Times New Roman"/>
          <w:color w:val="000000"/>
          <w:sz w:val="20"/>
        </w:rPr>
        <w:t xml:space="preserve"> </w:t>
      </w:r>
      <w:r>
        <w:rPr>
          <w:rFonts w:ascii="Times New Roman" w:hAnsi="Times New Roman"/>
          <w:color w:val="000000"/>
          <w:sz w:val="16"/>
        </w:rPr>
        <w:t>million of outstanding borrowings under the Credit Facility, respectively. The Credit Facility had a weighted average interest rate of 7.7%</w:t>
      </w:r>
      <w:r>
        <w:rPr>
          <w:rFonts w:ascii="Times New Roman" w:hAnsi="Times New Roman"/>
          <w:color w:val="000000"/>
          <w:sz w:val="20"/>
        </w:rPr>
        <w:t xml:space="preserve"> </w:t>
      </w:r>
      <w:r>
        <w:rPr>
          <w:rFonts w:ascii="Times New Roman" w:hAnsi="Times New Roman"/>
          <w:color w:val="000000"/>
          <w:sz w:val="16"/>
        </w:rPr>
        <w:t>and 7.7%, exclusive of the fee on undrawn commitments as of December 31, 2023 and September 30, 2023, respectively. As of December 31, 2023 and September 30, 2023, we had</w:t>
      </w:r>
      <w:r>
        <w:rPr>
          <w:rFonts w:ascii="Times New Roman" w:hAnsi="Times New Roman"/>
          <w:color w:val="000000"/>
          <w:sz w:val="20"/>
        </w:rPr>
        <w:t xml:space="preserve"> </w:t>
      </w:r>
      <w:r>
        <w:rPr>
          <w:rFonts w:ascii="Times New Roman" w:hAnsi="Times New Roman"/>
          <w:color w:val="000000"/>
          <w:sz w:val="16"/>
        </w:rPr>
        <w:t>$125.1</w:t>
      </w:r>
      <w:r>
        <w:rPr>
          <w:rFonts w:ascii="Times New Roman" w:hAnsi="Times New Roman"/>
          <w:color w:val="000000"/>
          <w:sz w:val="20"/>
        </w:rPr>
        <w:t xml:space="preserve"> </w:t>
      </w:r>
      <w:r>
        <w:rPr>
          <w:rFonts w:ascii="Times New Roman" w:hAnsi="Times New Roman"/>
          <w:color w:val="000000"/>
          <w:sz w:val="16"/>
        </w:rPr>
        <w:t>million and $376.6</w:t>
      </w:r>
      <w:r>
        <w:rPr>
          <w:rFonts w:ascii="Times New Roman" w:hAnsi="Times New Roman"/>
          <w:color w:val="000000"/>
          <w:sz w:val="20"/>
        </w:rPr>
        <w:t xml:space="preserve"> </w:t>
      </w:r>
      <w:r>
        <w:rPr>
          <w:rFonts w:ascii="Times New Roman" w:hAnsi="Times New Roman"/>
          <w:color w:val="000000"/>
          <w:sz w:val="16"/>
        </w:rPr>
        <w:t>million of unused borrowing capacity under the Credit Facility, respectively, subject to leverage and borrowing base restrictions.</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During the revolving period, the Credit Facility bears interest at SOFR (or an alternative risk-free floating interest rate index) plus 236 basis points and, after the revolving period, the rate will reset to Base Rate (or an alternative risk-free floating interest rate index) plus 250 basis points for the remaining two years, maturing in August 2026.</w:t>
      </w:r>
      <w:r>
        <w:rPr>
          <w:rFonts w:ascii="Times New Roman" w:hAnsi="Times New Roman"/>
          <w:color w:val="000000"/>
          <w:sz w:val="20"/>
        </w:rPr>
        <w:t xml:space="preserve"> </w:t>
      </w:r>
      <w:r>
        <w:rPr>
          <w:rFonts w:ascii="Times New Roman" w:hAnsi="Times New Roman"/>
          <w:color w:val="000000"/>
          <w:sz w:val="16"/>
        </w:rPr>
        <w:t>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pStyle w:val="TextBody"/>
        <w:bidi w:val="0"/>
        <w:ind w:left="0" w:right="0" w:firstLine="432"/>
        <w:jc w:val="both"/>
        <w:rPr/>
      </w:pPr>
      <w:r>
        <w:rPr/>
        <w:t> </w:t>
      </w:r>
    </w:p>
    <w:p>
      <w:pPr>
        <w:pStyle w:val="TextBody"/>
        <w:bidi w:val="0"/>
        <w:ind w:left="0" w:right="0" w:firstLine="432"/>
        <w:jc w:val="both"/>
        <w:rPr>
          <w:rFonts w:ascii="Times New Roman" w:hAnsi="Times New Roman"/>
          <w:color w:val="000000"/>
          <w:sz w:val="16"/>
        </w:rPr>
      </w:pPr>
      <w:r>
        <w:rPr>
          <w:rFonts w:ascii="Times New Roman" w:hAnsi="Times New Roman"/>
          <w:color w:val="000000"/>
          <w:sz w:val="16"/>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2023, we were in compliance with the covenants relating to the Credit Facility.</w:t>
      </w:r>
    </w:p>
    <w:p>
      <w:pPr>
        <w:pStyle w:val="TextBody"/>
        <w:bidi w:val="0"/>
        <w:ind w:left="0" w:right="0" w:firstLine="490"/>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We own 100% of the equity interest in Funding I and treat the indebtedness of Funding I as our leverage. Our Investment Adviser serves as collateral manager to Funding I under the Credit Facility.</w:t>
      </w:r>
      <w:r>
        <w:rPr>
          <w:rFonts w:ascii="Times New Roman" w:hAnsi="Times New Roman"/>
          <w:color w:val="000000"/>
          <w:sz w:val="20"/>
        </w:rPr>
        <w:t xml:space="preserve"> </w:t>
      </w:r>
    </w:p>
    <w:p>
      <w:pPr>
        <w:pStyle w:val="TextBody"/>
        <w:bidi w:val="0"/>
        <w:spacing w:before="160" w:after="283"/>
        <w:ind w:left="0" w:right="0" w:firstLine="432"/>
        <w:jc w:val="both"/>
        <w:rPr>
          <w:rFonts w:ascii="Times New Roman" w:hAnsi="Times New Roman"/>
          <w:color w:val="000000"/>
          <w:sz w:val="16"/>
        </w:rPr>
      </w:pPr>
      <w:r>
        <w:rPr>
          <w:rFonts w:ascii="Times New Roman" w:hAnsi="Times New Roman"/>
          <w:color w:val="000000"/>
          <w:sz w:val="16"/>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pStyle w:val="TextBody"/>
        <w:bidi w:val="0"/>
        <w:spacing w:before="160" w:after="283"/>
        <w:jc w:val="left"/>
        <w:rPr>
          <w:rFonts w:ascii="Times New Roman" w:hAnsi="Times New Roman"/>
          <w:b/>
          <w:i/>
          <w:color w:val="000000"/>
          <w:sz w:val="16"/>
        </w:rPr>
      </w:pPr>
      <w:r>
        <w:rPr>
          <w:rFonts w:ascii="Times New Roman" w:hAnsi="Times New Roman"/>
          <w:b/>
          <w:i/>
          <w:color w:val="000000"/>
          <w:sz w:val="16"/>
        </w:rPr>
        <w:t>2023 Notes</w:t>
      </w:r>
    </w:p>
    <w:p>
      <w:pPr>
        <w:pStyle w:val="TextBody"/>
        <w:bidi w:val="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November 2017, we issued $138.6</w:t>
      </w:r>
      <w:r>
        <w:rPr>
          <w:rFonts w:ascii="Times New Roman" w:hAnsi="Times New Roman"/>
          <w:color w:val="000000"/>
          <w:sz w:val="20"/>
        </w:rPr>
        <w:t xml:space="preserve"> </w:t>
      </w:r>
      <w:r>
        <w:rPr>
          <w:rFonts w:ascii="Times New Roman" w:hAnsi="Times New Roman"/>
          <w:color w:val="000000"/>
          <w:sz w:val="16"/>
        </w:rPr>
        <w:t>million aggregate principal amount of our 2023 Notes that matured on December 15, 2023. The 2023 Notes were issued pursuant to a deed of trust between the Company and Mishmeret Trust Company, Ltd., as trustee, in November 2017. In connection with this offering, we have dual listed our common stock on the TASE.</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 2023 Notes paid interest at a rate of 4.3% per year. As a result of the downgrade of the 2023 Notes from “ilA+” to “ilA-” in March 2020, the interest rate of the 2023 Notes was increased to 4.3% from 3.8%. Interest on the 2023 Notes was payable semi-annually in arrears on June 15 and December 15 of each year, commencing June 15, 2018.</w:t>
      </w:r>
      <w:r>
        <w:rPr>
          <w:rFonts w:ascii="Times New Roman" w:hAnsi="Times New Roman"/>
          <w:color w:val="000000"/>
          <w:sz w:val="20"/>
        </w:rPr>
        <w:t xml:space="preserve"> </w:t>
      </w:r>
      <w:r>
        <w:rPr>
          <w:rFonts w:ascii="Times New Roman" w:hAnsi="Times New Roman"/>
          <w:color w:val="000000"/>
          <w:sz w:val="16"/>
        </w:rPr>
        <w:t>The principal on the 2023 Notes was payable in four annual installments</w:t>
      </w:r>
      <w:r>
        <w:rPr>
          <w:rFonts w:ascii="Times New Roman" w:hAnsi="Times New Roman"/>
          <w:color w:val="000000"/>
          <w:sz w:val="20"/>
        </w:rPr>
        <w:t xml:space="preserve"> </w:t>
      </w:r>
      <w:r>
        <w:rPr>
          <w:rFonts w:ascii="Times New Roman" w:hAnsi="Times New Roman"/>
          <w:color w:val="000000"/>
          <w:sz w:val="16"/>
        </w:rPr>
        <w:t>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pStyle w:val="TextBody"/>
        <w:bidi w:val="0"/>
        <w:spacing w:before="160" w:after="283"/>
        <w:jc w:val="both"/>
        <w:rPr>
          <w:rFonts w:ascii="Times New Roman" w:hAnsi="Times New Roman"/>
          <w:b/>
          <w:i/>
          <w:color w:val="000000"/>
          <w:sz w:val="16"/>
        </w:rPr>
      </w:pPr>
      <w:r>
        <w:rPr>
          <w:rFonts w:ascii="Times New Roman" w:hAnsi="Times New Roman"/>
          <w:b/>
          <w:i/>
          <w:color w:val="000000"/>
          <w:sz w:val="16"/>
        </w:rPr>
        <w:t>2026 Notes</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March 2021 and in October 2021, we issued $100.0</w:t>
      </w:r>
      <w:r>
        <w:rPr>
          <w:rFonts w:ascii="Times New Roman" w:hAnsi="Times New Roman"/>
          <w:color w:val="000000"/>
          <w:sz w:val="20"/>
        </w:rPr>
        <w:t xml:space="preserve"> </w:t>
      </w:r>
      <w:r>
        <w:rPr>
          <w:rFonts w:ascii="Times New Roman" w:hAnsi="Times New Roman"/>
          <w:color w:val="000000"/>
          <w:sz w:val="16"/>
        </w:rPr>
        <w:t>million and $85.0</w:t>
      </w:r>
      <w:r>
        <w:rPr>
          <w:rFonts w:ascii="Times New Roman" w:hAnsi="Times New Roman"/>
          <w:color w:val="000000"/>
          <w:sz w:val="20"/>
        </w:rPr>
        <w:t xml:space="preserve"> </w:t>
      </w:r>
      <w:r>
        <w:rPr>
          <w:rFonts w:ascii="Times New Roman" w:hAnsi="Times New Roman"/>
          <w:color w:val="000000"/>
          <w:sz w:val="16"/>
        </w:rPr>
        <w:t>million, respectively, in aggregate principal amount of $185.0</w:t>
      </w:r>
      <w:r>
        <w:rPr>
          <w:rFonts w:ascii="Times New Roman" w:hAnsi="Times New Roman"/>
          <w:color w:val="000000"/>
          <w:sz w:val="20"/>
        </w:rPr>
        <w:t xml:space="preserve"> </w:t>
      </w:r>
      <w:r>
        <w:rPr>
          <w:rFonts w:ascii="Times New Roman" w:hAnsi="Times New Roman"/>
          <w:color w:val="000000"/>
          <w:sz w:val="16"/>
        </w:rPr>
        <w:t>million of our 2026 Notes at a public offering price per note of 99.4% and 101.5%, respectively. Interest on the 2026 Notes is paid semi-annually on April 1 and October 1 of each year, at a rate of 4.25% per year, commencing October 1, 2021.</w:t>
      </w:r>
      <w:r>
        <w:rPr>
          <w:rFonts w:ascii="Times New Roman" w:hAnsi="Times New Roman"/>
          <w:color w:val="000000"/>
          <w:sz w:val="20"/>
        </w:rPr>
        <w:t xml:space="preserve"> </w:t>
      </w:r>
      <w:r>
        <w:rPr>
          <w:rFonts w:ascii="Times New Roman" w:hAnsi="Times New Roman"/>
          <w:color w:val="000000"/>
          <w:sz w:val="16"/>
        </w:rPr>
        <w:t>The 2026 Notes mature on April 1, 2026</w:t>
      </w:r>
      <w:r>
        <w:rPr>
          <w:rFonts w:ascii="Times New Roman" w:hAnsi="Times New Roman"/>
          <w:color w:val="000000"/>
          <w:sz w:val="20"/>
        </w:rPr>
        <w:t xml:space="preserve"> </w:t>
      </w:r>
      <w:r>
        <w:rPr>
          <w:rFonts w:ascii="Times New Roman" w:hAnsi="Times New Roman"/>
          <w:color w:val="000000"/>
          <w:sz w:val="16"/>
        </w:rPr>
        <w:t>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pStyle w:val="TextBody"/>
        <w:bidi w:val="0"/>
        <w:jc w:val="both"/>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2031 Asset-Backed Debt</w:t>
      </w:r>
    </w:p>
    <w:p>
      <w:pPr>
        <w:pStyle w:val="TextBody"/>
        <w:bidi w:val="0"/>
        <w:ind w:left="0" w:right="0" w:firstLine="432"/>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In September 2019, the Company completed the $301.4</w:t>
      </w:r>
      <w:r>
        <w:rPr>
          <w:rFonts w:ascii="Times New Roman" w:hAnsi="Times New Roman"/>
          <w:color w:val="000000"/>
          <w:sz w:val="20"/>
        </w:rPr>
        <w:t xml:space="preserve"> </w:t>
      </w:r>
      <w:r>
        <w:rPr>
          <w:rFonts w:ascii="Times New Roman" w:hAnsi="Times New Roman"/>
          <w:color w:val="000000"/>
          <w:sz w:val="16"/>
        </w:rPr>
        <w:t>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w:t>
      </w:r>
      <w:r>
        <w:rPr>
          <w:rFonts w:ascii="Times New Roman" w:hAnsi="Times New Roman"/>
          <w:color w:val="000000"/>
          <w:sz w:val="20"/>
        </w:rPr>
        <w:t xml:space="preserve"> </w:t>
      </w:r>
      <w:r>
        <w:rPr>
          <w:rFonts w:ascii="Times New Roman" w:hAnsi="Times New Roman"/>
          <w:color w:val="000000"/>
          <w:sz w:val="16"/>
        </w:rPr>
        <w:t>million Class A-1 Senior Secured Floating Rate Loans maturing 2031, which bear interest at the</w:t>
      </w:r>
      <w:r>
        <w:rPr>
          <w:rFonts w:ascii="Times New Roman" w:hAnsi="Times New Roman"/>
          <w:color w:val="000000"/>
          <w:sz w:val="20"/>
        </w:rPr>
        <w:t xml:space="preserve"> </w:t>
      </w:r>
      <w:r>
        <w:rPr>
          <w:rFonts w:ascii="Times New Roman" w:hAnsi="Times New Roman"/>
          <w:color w:val="000000"/>
          <w:sz w:val="16"/>
        </w:rPr>
        <w:t>three-month SOFR plus 1.8%, (ii) $15.0</w:t>
      </w:r>
      <w:r>
        <w:rPr>
          <w:rFonts w:ascii="Times New Roman" w:hAnsi="Times New Roman"/>
          <w:color w:val="000000"/>
          <w:sz w:val="20"/>
        </w:rPr>
        <w:t xml:space="preserve"> </w:t>
      </w:r>
      <w:r>
        <w:rPr>
          <w:rFonts w:ascii="Times New Roman" w:hAnsi="Times New Roman"/>
          <w:color w:val="000000"/>
          <w:sz w:val="16"/>
        </w:rPr>
        <w:t>million Class A-2 Senior Secured Fixed Rate Notes due 2031, which bear interest at 3.7%, (iii) $14.0</w:t>
      </w:r>
      <w:r>
        <w:rPr>
          <w:rFonts w:ascii="Times New Roman" w:hAnsi="Times New Roman"/>
          <w:color w:val="000000"/>
          <w:sz w:val="20"/>
        </w:rPr>
        <w:t xml:space="preserve"> </w:t>
      </w:r>
      <w:r>
        <w:rPr>
          <w:rFonts w:ascii="Times New Roman" w:hAnsi="Times New Roman"/>
          <w:color w:val="000000"/>
          <w:sz w:val="16"/>
        </w:rPr>
        <w:t>million Class B-1 Senior Secured Floating Rate Notes due 2031, which bear interest at the three-month SOFR plus 2.9%, (iv) $16.0</w:t>
      </w:r>
      <w:r>
        <w:rPr>
          <w:rFonts w:ascii="Times New Roman" w:hAnsi="Times New Roman"/>
          <w:color w:val="000000"/>
          <w:sz w:val="20"/>
        </w:rPr>
        <w:t xml:space="preserve"> </w:t>
      </w:r>
      <w:r>
        <w:rPr>
          <w:rFonts w:ascii="Times New Roman" w:hAnsi="Times New Roman"/>
          <w:color w:val="000000"/>
          <w:sz w:val="16"/>
        </w:rPr>
        <w:t>million Class B-2 Senior Secured Fixed Rate Notes due 2031, which bear interest at 4.3%, (v) $19.0</w:t>
      </w:r>
      <w:r>
        <w:rPr>
          <w:rFonts w:ascii="Times New Roman" w:hAnsi="Times New Roman"/>
          <w:color w:val="000000"/>
          <w:sz w:val="20"/>
        </w:rPr>
        <w:t xml:space="preserve"> </w:t>
      </w:r>
      <w:r>
        <w:rPr>
          <w:rFonts w:ascii="Times New Roman" w:hAnsi="Times New Roman"/>
          <w:color w:val="000000"/>
          <w:sz w:val="16"/>
        </w:rPr>
        <w:t>million Class C</w:t>
        <w:noBreakHyphen/>
        <w:t>1 Secured Deferrable Floating Rate Notes due 2031, which bear interest at the three-month SOFR</w:t>
      </w:r>
      <w:r>
        <w:rPr>
          <w:rFonts w:ascii="Times New Roman" w:hAnsi="Times New Roman"/>
          <w:color w:val="000000"/>
          <w:sz w:val="20"/>
        </w:rPr>
        <w:t xml:space="preserve"> </w:t>
      </w:r>
      <w:r>
        <w:rPr>
          <w:rFonts w:ascii="Times New Roman" w:hAnsi="Times New Roman"/>
          <w:color w:val="000000"/>
          <w:sz w:val="16"/>
        </w:rPr>
        <w:t>plus 4.0%, (vi) $8.0</w:t>
      </w:r>
      <w:r>
        <w:rPr>
          <w:rFonts w:ascii="Times New Roman" w:hAnsi="Times New Roman"/>
          <w:color w:val="000000"/>
          <w:sz w:val="20"/>
        </w:rPr>
        <w:t xml:space="preserve"> </w:t>
      </w:r>
      <w:r>
        <w:rPr>
          <w:rFonts w:ascii="Times New Roman" w:hAnsi="Times New Roman"/>
          <w:color w:val="000000"/>
          <w:sz w:val="16"/>
        </w:rPr>
        <w:t>million Class C-2 Secured Deferrable Fixed Rate Notes due 2031, which bear interest at 5.4%, and (vii) $18.0</w:t>
      </w:r>
      <w:r>
        <w:rPr>
          <w:rFonts w:ascii="Times New Roman" w:hAnsi="Times New Roman"/>
          <w:color w:val="000000"/>
          <w:sz w:val="20"/>
        </w:rPr>
        <w:t xml:space="preserve"> </w:t>
      </w:r>
      <w:r>
        <w:rPr>
          <w:rFonts w:ascii="Times New Roman" w:hAnsi="Times New Roman"/>
          <w:color w:val="000000"/>
          <w:sz w:val="16"/>
        </w:rPr>
        <w:t>million Class D Secured Deferrable Floating Rate Loans due 2031, which bear interest at the three-month SOFR plus 4.8%</w:t>
      </w:r>
      <w:r>
        <w:rPr>
          <w:rFonts w:ascii="Times New Roman" w:hAnsi="Times New Roman"/>
          <w:color w:val="000000"/>
          <w:sz w:val="20"/>
        </w:rPr>
        <w:t xml:space="preserve"> </w:t>
      </w:r>
      <w:r>
        <w:rPr>
          <w:rFonts w:ascii="Times New Roman" w:hAnsi="Times New Roman"/>
          <w:color w:val="000000"/>
          <w:sz w:val="16"/>
        </w:rPr>
        <w:t>and (B) the borrowing of $77.5</w:t>
      </w:r>
      <w:r>
        <w:rPr>
          <w:rFonts w:ascii="Times New Roman" w:hAnsi="Times New Roman"/>
          <w:color w:val="000000"/>
          <w:sz w:val="20"/>
        </w:rPr>
        <w:t xml:space="preserve"> </w:t>
      </w:r>
      <w:r>
        <w:rPr>
          <w:rFonts w:ascii="Times New Roman" w:hAnsi="Times New Roman"/>
          <w:color w:val="000000"/>
          <w:sz w:val="16"/>
        </w:rPr>
        <w:t>million Class A</w:t>
        <w:noBreakHyphen/>
        <w:t>1 Senior Secured Floating Rate Notes due 2031, which bear interest at the three-month SOFR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r>
        <w:rPr>
          <w:rFonts w:ascii="Times New Roman" w:hAnsi="Times New Roman"/>
          <w:color w:val="000000"/>
          <w:sz w:val="20"/>
        </w:rPr>
        <w:t xml:space="preserve"> </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FLOATING RATE CAPITAL LTD.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w:t>
      </w:r>
      <w:r>
        <w:rPr>
          <w:rFonts w:ascii="Times New Roman" w:hAnsi="Times New Roman"/>
          <w:color w:val="000000"/>
          <w:sz w:val="20"/>
        </w:rPr>
        <w:t xml:space="preserve"> </w:t>
      </w:r>
      <w:r>
        <w:rPr>
          <w:rFonts w:ascii="Times New Roman" w:hAnsi="Times New Roman"/>
          <w:color w:val="000000"/>
          <w:sz w:val="16"/>
        </w:rPr>
        <w:t>million at the closing of the Debt Securitization.</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The 2031 Asset-Backed Debt is included in the Consolidated Statement of Assets and Liabilities as debt of the Company and the Class D Secured Deferrable Floating Rate Notes and the Preferred Shares of the Securitization Issuer were eliminated in consolidation. As of both December 31, 2023 and September 30, 2023, the Company had $228.0</w:t>
      </w:r>
      <w:r>
        <w:rPr>
          <w:rFonts w:ascii="Times New Roman" w:hAnsi="Times New Roman"/>
          <w:color w:val="000000"/>
          <w:sz w:val="20"/>
        </w:rPr>
        <w:t xml:space="preserve"> </w:t>
      </w:r>
      <w:r>
        <w:rPr>
          <w:rFonts w:ascii="Times New Roman" w:hAnsi="Times New Roman"/>
          <w:color w:val="000000"/>
          <w:sz w:val="16"/>
        </w:rPr>
        <w:t>million of 2031 Asset-Backed Debt outstanding with a weighted average interest rate of 7.2% and 7.1%, respectively. As of December 31, 2023 and September 30, 2023, the unamortized fees on the 2031 Asset-Backed Debt were</w:t>
      </w:r>
      <w:r>
        <w:rPr>
          <w:rFonts w:ascii="Times New Roman" w:hAnsi="Times New Roman"/>
          <w:color w:val="000000"/>
          <w:sz w:val="20"/>
        </w:rPr>
        <w:t xml:space="preserve"> </w:t>
      </w:r>
      <w:r>
        <w:rPr>
          <w:rFonts w:ascii="Times New Roman" w:hAnsi="Times New Roman"/>
          <w:color w:val="000000"/>
          <w:sz w:val="16"/>
        </w:rPr>
        <w:t>$1.1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$1.2</w:t>
      </w:r>
      <w:r>
        <w:rPr>
          <w:rFonts w:ascii="Times New Roman" w:hAnsi="Times New Roman"/>
          <w:color w:val="000000"/>
          <w:sz w:val="20"/>
        </w:rPr>
        <w:t xml:space="preserve"> </w:t>
      </w:r>
      <w:r>
        <w:rPr>
          <w:rFonts w:ascii="Times New Roman" w:hAnsi="Times New Roman"/>
          <w:color w:val="000000"/>
          <w:sz w:val="16"/>
        </w:rPr>
        <w:t>million, respectively.</w:t>
      </w:r>
    </w:p>
    <w:p>
      <w:pPr>
        <w:pStyle w:val="TextBody"/>
        <w:bidi w:val="0"/>
        <w:ind w:left="0" w:right="0" w:firstLine="432"/>
        <w:jc w:val="both"/>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11. COMMITMENTS AND CONTINGENCIES</w:t>
      </w:r>
    </w:p>
    <w:p>
      <w:pPr>
        <w:pStyle w:val="TextBody"/>
        <w:bidi w:val="0"/>
        <w:ind w:left="0" w:right="0" w:firstLine="490"/>
        <w:jc w:val="left"/>
        <w:rPr/>
      </w:pPr>
      <w:r>
        <w:rPr/>
        <w:t> </w:t>
      </w:r>
    </w:p>
    <w:p>
      <w:pPr>
        <w:pStyle w:val="TextBody"/>
        <w:bidi w:val="0"/>
        <w:ind w:left="0" w:right="0" w:firstLine="432"/>
        <w:jc w:val="both"/>
        <w:rPr>
          <w:rFonts w:ascii="Times New Roman" w:hAnsi="Times New Roman"/>
          <w:sz w:val="20"/>
        </w:rPr>
      </w:pPr>
      <w:r>
        <w:rPr>
          <w:rFonts w:ascii="Times New Roman" w:hAnsi="Times New Roman"/>
          <w:color w:val="000000"/>
          <w:sz w:val="16"/>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2023 and September 30, 2023, we had $270.7</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$155.5</w:t>
      </w:r>
      <w:r>
        <w:rPr>
          <w:rFonts w:ascii="Times New Roman" w:hAnsi="Times New Roman"/>
          <w:color w:val="000000"/>
          <w:sz w:val="20"/>
        </w:rPr>
        <w:t xml:space="preserve"> </w:t>
      </w:r>
      <w:r>
        <w:rPr>
          <w:rFonts w:ascii="Times New Roman" w:hAnsi="Times New Roman"/>
          <w:color w:val="000000"/>
          <w:sz w:val="16"/>
        </w:rPr>
        <w:t>million, respectively, in commitments to fund investments. Additionally, as described in Note 4, the Company had unfunded commitments of $39.4</w:t>
      </w:r>
      <w:r>
        <w:rPr>
          <w:rFonts w:ascii="Times New Roman" w:hAnsi="Times New Roman"/>
          <w:color w:val="000000"/>
          <w:sz w:val="20"/>
        </w:rPr>
        <w:t xml:space="preserve"> </w:t>
      </w:r>
      <w:r>
        <w:rPr>
          <w:rFonts w:ascii="Times New Roman" w:hAnsi="Times New Roman"/>
          <w:color w:val="000000"/>
          <w:sz w:val="16"/>
        </w:rPr>
        <w:t>million and $39.4</w:t>
      </w:r>
      <w:r>
        <w:rPr>
          <w:rFonts w:ascii="Times New Roman" w:hAnsi="Times New Roman"/>
          <w:color w:val="000000"/>
          <w:sz w:val="20"/>
        </w:rPr>
        <w:t xml:space="preserve"> </w:t>
      </w:r>
      <w:r>
        <w:rPr>
          <w:rFonts w:ascii="Times New Roman" w:hAnsi="Times New Roman"/>
          <w:color w:val="000000"/>
          <w:sz w:val="16"/>
        </w:rPr>
        <w:t>million to PSSL as of December 31, 2023 and September 30, 2023, respectively, that may be contributed primarily for the purpose of funding new investments approved by the PSSL board of directors or investment committee.</w:t>
      </w:r>
    </w:p>
    <w:p>
      <w:pPr>
        <w:pStyle w:val="TextBody"/>
        <w:bidi w:val="0"/>
        <w:ind w:left="0" w:right="0" w:firstLine="432"/>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15" w:name="report_independent_registered_public_acc"/>
      <w:bookmarkEnd w:id="15"/>
      <w:r>
        <w:rPr>
          <w:rFonts w:ascii="Times New Roman" w:hAnsi="Times New Roman"/>
          <w:b/>
          <w:color w:val="000000"/>
          <w:sz w:val="16"/>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To the Stockholders and Board of Directors of PennantPark Floating Rate Capital Ltd. and its Subsidiaries</w:t>
      </w:r>
    </w:p>
    <w:p>
      <w:pPr>
        <w:pStyle w:val="TextBody"/>
        <w:bidi w:val="0"/>
        <w:jc w:val="left"/>
        <w:rPr>
          <w:rFonts w:ascii="Times New Roman" w:hAnsi="Times New Roman"/>
          <w:sz w:val="20"/>
        </w:rPr>
      </w:pPr>
      <w:r>
        <w:rPr>
          <w:rFonts w:ascii="Times New Roman" w:hAnsi="Times New Roman"/>
          <w:b/>
          <w:color w:val="000000"/>
          <w:sz w:val="16"/>
        </w:rPr>
        <w:t>Results of Review of Interim Financial Statements</w:t>
        <w:br/>
        <w:br/>
      </w:r>
      <w:r>
        <w:rPr>
          <w:rFonts w:ascii="Times New Roman" w:hAnsi="Times New Roman"/>
          <w:color w:val="000000"/>
          <w:sz w:val="16"/>
        </w:rPr>
        <w:t>We have reviewed the accompanying consolidated statement of assets and liabilities of PennantPark Floating Rate Capital Ltd. and its Subsidiaries (the Company), including the consolidated schedule of investments, as of December 31, 2023, the related consolidated statements of operations and changes in net assets for the three-month periods ended December 31, 2023 and 2022 and cash flows for the three-month periods ended December 31, 2023 and 2022, and the related notes to</w:t>
        <w:br/>
        <w:t>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br/>
        <w:br/>
      </w:r>
      <w:r>
        <w:rPr>
          <w:rFonts w:ascii="Times New Roman" w:hAnsi="Times New Roman"/>
          <w:color w:val="000000"/>
          <w:sz w:val="20"/>
        </w:rPr>
        <w:t> </w:t>
      </w:r>
    </w:p>
    <w:p>
      <w:pPr>
        <w:pStyle w:val="TextBody"/>
        <w:bidi w:val="0"/>
        <w:jc w:val="left"/>
        <w:rPr>
          <w:rFonts w:ascii="Times New Roman" w:hAnsi="Times New Roman"/>
          <w:color w:val="000000"/>
          <w:sz w:val="16"/>
        </w:rPr>
      </w:pPr>
      <w:r>
        <w:rPr>
          <w:rFonts w:ascii="Times New Roman" w:hAnsi="Times New Roman"/>
          <w:color w:val="000000"/>
          <w:sz w:val="16"/>
        </w:rPr>
        <w:t>We have previously audited, in accordance with the standards of the Public Company Accounting Oversight Board (United States) (PCAOB), the consolidated statement of assets and liabilities of the Company, including the consolidated schedule of investments, as of September 30, 2023, and the related consolidated statements of operations, changes in net assets, and cash flows for the year then ended (not presented herein); and in our report dated December 7, 2023, we expressed an unqualified opinion on those consolidated financial statements. In our opinion, the information set forth in the accompanying consolidated statement of assets and liabilities, including the consolidated schedule of investments, as of September 30, 2023, is fairly stated, in all material respects, in relation to the consolidated statement of assets and liabilities, including the consolidated schedule of investments, from which it has been derived.</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Emphasis of Matter</w:t>
      </w:r>
    </w:p>
    <w:p>
      <w:pPr>
        <w:pStyle w:val="TextBody"/>
        <w:bidi w:val="0"/>
        <w:jc w:val="left"/>
        <w:rPr>
          <w:rFonts w:ascii="Times New Roman" w:hAnsi="Times New Roman"/>
          <w:color w:val="000000"/>
          <w:sz w:val="16"/>
        </w:rPr>
      </w:pPr>
      <w:r>
        <w:rPr>
          <w:rFonts w:ascii="Times New Roman" w:hAnsi="Times New Roman"/>
          <w:color w:val="000000"/>
          <w:sz w:val="16"/>
        </w:rPr>
        <w:t>As discussed in Note 2 of the consolidated financial statements, the consolidated statements of cash flows for the three months ended December 31, 2022 has been restated to reclassify certain amounts presented within.</w:t>
      </w:r>
    </w:p>
    <w:p>
      <w:pPr>
        <w:pStyle w:val="TextBody"/>
        <w:bidi w:val="0"/>
        <w:jc w:val="left"/>
        <w:rPr>
          <w:rFonts w:ascii="Times New Roman" w:hAnsi="Times New Roman"/>
          <w:sz w:val="20"/>
        </w:rPr>
      </w:pPr>
      <w:r>
        <w:rPr>
          <w:rFonts w:ascii="Times New Roman" w:hAnsi="Times New Roman"/>
          <w:color w:val="000000"/>
          <w:sz w:val="16"/>
        </w:rPr>
        <w:br/>
        <w:br/>
      </w:r>
      <w:r>
        <w:rPr>
          <w:rFonts w:ascii="Times New Roman" w:hAnsi="Times New Roman"/>
          <w:b/>
          <w:color w:val="000000"/>
          <w:sz w:val="16"/>
        </w:rPr>
        <w:t>Basis for Review Results</w:t>
      </w:r>
      <w:r>
        <w:rPr>
          <w:rFonts w:ascii="Times New Roman" w:hAnsi="Times New Roman"/>
          <w:color w:val="000000"/>
          <w:sz w:val="16"/>
        </w:rPr>
        <w:br/>
        <w:b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jc w:val="left"/>
        <w:rPr>
          <w:rFonts w:ascii="Times New Roman" w:hAnsi="Times New Roman"/>
          <w:color w:val="000000"/>
          <w:sz w:val="16"/>
        </w:rPr>
      </w:pPr>
      <w:r>
        <w:rPr>
          <w:rFonts w:ascii="Times New Roman" w:hAnsi="Times New Roman"/>
          <w:color w:val="000000"/>
          <w:sz w:val="16"/>
        </w:rPr>
        <w:t>/s/ RSM US LLP</w:t>
      </w:r>
    </w:p>
    <w:p>
      <w:pPr>
        <w:pStyle w:val="TextBody"/>
        <w:bidi w:val="0"/>
        <w:jc w:val="left"/>
        <w:rPr>
          <w:rFonts w:ascii="Times New Roman" w:hAnsi="Times New Roman"/>
          <w:color w:val="000000"/>
          <w:sz w:val="16"/>
        </w:rPr>
      </w:pPr>
      <w:r>
        <w:rPr>
          <w:rFonts w:ascii="Times New Roman" w:hAnsi="Times New Roman"/>
          <w:color w:val="000000"/>
          <w:sz w:val="16"/>
        </w:rPr>
        <w:t>New York, New York</w:t>
      </w:r>
    </w:p>
    <w:p>
      <w:pPr>
        <w:pStyle w:val="TextBody"/>
        <w:bidi w:val="0"/>
        <w:jc w:val="left"/>
        <w:rPr>
          <w:rFonts w:ascii="Times New Roman" w:hAnsi="Times New Roman"/>
          <w:sz w:val="20"/>
        </w:rPr>
      </w:pPr>
      <w:r>
        <w:rPr>
          <w:rFonts w:ascii="Times New Roman" w:hAnsi="Times New Roman"/>
          <w:color w:val="000000"/>
          <w:sz w:val="16"/>
        </w:rPr>
        <w:t>February 7, 2024</w:t>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Awareness Letter of Independent Registered Public Accounting Firm</w:t>
      </w:r>
    </w:p>
    <w:p>
      <w:pPr>
        <w:pStyle w:val="TextBody"/>
        <w:bidi w:val="0"/>
        <w:jc w:val="left"/>
        <w:rPr>
          <w:rFonts w:ascii="Times New Roman" w:hAnsi="Times New Roman"/>
          <w:color w:val="000000"/>
          <w:sz w:val="16"/>
        </w:rPr>
      </w:pPr>
      <w:r>
        <w:rPr>
          <w:rFonts w:ascii="Times New Roman" w:hAnsi="Times New Roman"/>
          <w:color w:val="000000"/>
          <w:sz w:val="16"/>
        </w:rPr>
        <w:t>To the Board of Directors and Stockholders of PennantPark Floating Rate Capital Ltd. and its Subsidiaries</w:t>
      </w:r>
    </w:p>
    <w:p>
      <w:pPr>
        <w:pStyle w:val="TextBody"/>
        <w:bidi w:val="0"/>
        <w:jc w:val="both"/>
        <w:rPr>
          <w:rFonts w:ascii="Times New Roman" w:hAnsi="Times New Roman"/>
          <w:sz w:val="20"/>
        </w:rPr>
      </w:pPr>
      <w:r>
        <w:rPr>
          <w:rFonts w:ascii="Times New Roman" w:hAnsi="Times New Roman"/>
          <w:color w:val="000000"/>
          <w:sz w:val="16"/>
        </w:rPr>
        <w:t>We have reviewed, in accordance with the standards of the Public Company Accounting Oversight Board (United States), the unaudited interim financial information of PennantPark Floating Rate Capital Ltd. for the periods ended December 31, 2023 and 2022, as indicated in our report dated February 7, 2024; because we did not perform an audit, we expressed no opinion on that information.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are aware that our report referred to above, which is included in your Quarterly Report on Form 10-Q for the quarter ended December 31, 2023, is incorporated by reference in Registration Statement No.333-268813 on Form N-2.</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pStyle w:val="TextBody"/>
        <w:bidi w:val="0"/>
        <w:jc w:val="both"/>
        <w:rPr>
          <w:rFonts w:ascii="Times New Roman" w:hAnsi="Times New Roman"/>
          <w:color w:val="000000"/>
          <w:sz w:val="16"/>
        </w:rPr>
      </w:pPr>
      <w:r>
        <w:rPr>
          <w:rFonts w:ascii="Times New Roman" w:hAnsi="Times New Roman"/>
          <w:color w:val="000000"/>
          <w:sz w:val="16"/>
        </w:rPr>
        <w:t>/s/ RSM US LLP</w:t>
      </w:r>
    </w:p>
    <w:p>
      <w:pPr>
        <w:pStyle w:val="TextBody"/>
        <w:bidi w:val="0"/>
        <w:jc w:val="both"/>
        <w:rPr>
          <w:rFonts w:ascii="Times New Roman" w:hAnsi="Times New Roman"/>
          <w:color w:val="000000"/>
          <w:sz w:val="16"/>
        </w:rPr>
      </w:pPr>
      <w:r>
        <w:rPr>
          <w:rFonts w:ascii="Times New Roman" w:hAnsi="Times New Roman"/>
          <w:color w:val="000000"/>
          <w:sz w:val="16"/>
        </w:rPr>
        <w:t>New York, New York</w:t>
      </w:r>
    </w:p>
    <w:p>
      <w:pPr>
        <w:pStyle w:val="TextBody"/>
        <w:bidi w:val="0"/>
        <w:jc w:val="both"/>
        <w:rPr>
          <w:rFonts w:ascii="Times New Roman" w:hAnsi="Times New Roman"/>
          <w:color w:val="000000"/>
          <w:sz w:val="16"/>
        </w:rPr>
      </w:pPr>
      <w:r>
        <w:rPr>
          <w:rFonts w:ascii="Times New Roman" w:hAnsi="Times New Roman"/>
          <w:color w:val="000000"/>
          <w:sz w:val="16"/>
        </w:rPr>
        <w:t>February 7, 2024</w:t>
      </w:r>
    </w:p>
    <w:p>
      <w:pPr>
        <w:pStyle w:val="TextBody"/>
        <w:bidi w:val="0"/>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toc90073_10"/>
      <w:bookmarkEnd w:id="16"/>
      <w:r>
        <w:rPr>
          <w:rFonts w:ascii="Times New Roman" w:hAnsi="Times New Roman"/>
          <w:b/>
          <w:color w:val="000000"/>
          <w:sz w:val="16"/>
        </w:rPr>
        <w:t>Item 2. MANAGEMENT’S DISCUSSION AND ANALYSIS OF</w:t>
      </w:r>
      <w:bookmarkStart w:id="17" w:name="item_2_managements_discussion_analysis_f"/>
      <w:bookmarkEnd w:id="17"/>
      <w:r>
        <w:rPr>
          <w:rFonts w:ascii="Times New Roman" w:hAnsi="Times New Roman"/>
          <w:color w:val="000000"/>
          <w:sz w:val="20"/>
        </w:rPr>
        <w:t xml:space="preserve"> </w:t>
      </w:r>
      <w:r>
        <w:rPr>
          <w:rFonts w:ascii="Times New Roman" w:hAnsi="Times New Roman"/>
          <w:b/>
          <w:color w:val="000000"/>
          <w:sz w:val="16"/>
        </w:rPr>
        <w:t>FINANCIAL CONDITION AND RESULTS OF OPERATIONS</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FORWARD-LOOKING STATEMENTS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pStyle w:val="TextBody"/>
        <w:bidi w:val="0"/>
        <w:jc w:val="both"/>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our future operating results;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our business prospects and the prospects of our prospective portfolio companies;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changes in political, economic or industry conditions, the interest rate environment or conditions affecting the financial and capital markets that could result in changes to the value of our assets;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dependence of our future success on the general economy and its impact on the industries in which we invest;</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impact of a protracted decline in the liquidity of credit markets on our business;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impact of investments that we expect to make;</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impact of fluctuations in interest rates and foreign exchange rates on our business and our portfolio companies;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our contractual arrangements and relationships with third parties;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valuation of our investments in portfolio companies, particularly those having no liquid trading market;</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ability of our prospective portfolio companies to achieve their objectives;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our expected financings and investments and ability to fund capital commitments to PSSL;</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adequacy of our cash resources and working capital;</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timing of cash flows, if any, from the operations of our prospective portfolio companies;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impact of price and volume fluctuations in the stock market;</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increasing levels of inflation, and its impact on us and our portfolio companies;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ability of our Investment Adviser to locate suitable investments for us and to monitor and administer our investments;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impact of future legislation and regulation on our business and our portfolio companies;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impact of the ongoing invasion of Ukraine by Russia other world economic and political issues; and</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inability to develop and maintain effective internal control over financial reporting.</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following analysis of our financial condition and results of operations should be read in conjunction with our Consolidated Financial Statements and the related notes thereto contained elsewhere in this Report.</w:t>
      </w:r>
    </w:p>
    <w:p>
      <w:pPr>
        <w:pStyle w:val="TextBody"/>
        <w:bidi w:val="0"/>
        <w:jc w:val="both"/>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Overview</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Organization and Structure of PennantPark Floating Rate Capital Ltd.</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Our board of directors, a majority of whom are independent of us, provides overall supervision of our activities, and the Investment Adviser supervises our day-to-day activities.</w:t>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Revenues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and amendment fees and agency fees, and are recorded as other investment income when earned. Litigation settlements are accounted for in accordance with the gain contingency provisions of ASC Subtopic 450-30, Gain Contingencies, or ASC 450-30.</w:t>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Expenses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cost of calculating our NAV, including the cost of any third-party valuation services;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the cost of effecting sales and repurchases of shares of our common stock and other securities;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fees payable to third parties relating to, or associated with, making investments, including fees and expenses associated with performing due diligence and reviews of prospective investments or complementary businesses;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expenses incurred by the Investment Adviser in performing due diligence and reviews of investments, including expenses incurred by the Investment Adviser payable to third parties (including agents and consultants) in monitoring our financial and legal affairs for and in monitoring our investments;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transfer agent and custodial fees;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fees and expenses associated with marketing efforts;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federal and state registration fees and any exchange listing fees;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federal, state, local and foreign taxes;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independent directors’ fees and expenses;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brokerage commissions;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fidelity bond, directors and officers, errors and omissions liability insurance and other insurance premiums;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direct costs such as printing, mailing, long distance telephone and staff;</w:t>
      </w:r>
    </w:p>
    <w:p>
      <w:pPr>
        <w:pStyle w:val="TextBody"/>
        <w:bidi w:val="0"/>
        <w:jc w:val="center"/>
        <w:rPr>
          <w:rFonts w:ascii="Times New Roman" w:hAnsi="Times New Roman"/>
          <w:color w:val="000000"/>
          <w:sz w:val="16"/>
        </w:rPr>
      </w:pPr>
      <w:r>
        <w:rPr>
          <w:rFonts w:ascii="Times New Roman" w:hAnsi="Times New Roman"/>
          <w:color w:val="000000"/>
          <w:sz w:val="16"/>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fees and expenses associated with independent audits and outside legal costs;</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costs associated with our reporting and compliance obligations under the 1940 Act and applicable federal and state securities laws; and</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16"/>
        </w:rPr>
      </w:pPr>
      <w:r>
        <w:rPr>
          <w:rFonts w:ascii="Times New Roman" w:hAnsi="Times New Roman"/>
          <w:color w:val="000000"/>
          <w:sz w:val="16"/>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16"/>
        </w:rPr>
        <w:t>Restatement of Previously Issued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PSSL and PTSF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December 31, 2022, and the impact of the error correction is reflected on the consolidated statement of cash flows for the three months ended December 31, 2022 as an increase to cash and cash equivalents, beginning of period totaling $3.6 million, an increase to cash and cash equivalents, end of period totaling $2.1 million, and decrease in due to affiliates of $1.5 million.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There was no impact from the error correction on net investment income or net increase (decrease) in net assets resulting from operations in total or on a per common share basis as reported on the consolidated statements of operations for the three months ended December 31, 2022. The corrections related to the prior year comparative cash flow statement amounts were reported in the quarter ended December 31, 2023.</w:t>
      </w:r>
    </w:p>
    <w:p>
      <w:pPr>
        <w:pStyle w:val="TextBody"/>
        <w:bidi w:val="0"/>
        <w:spacing w:before="120" w:after="283"/>
        <w:jc w:val="both"/>
        <w:rPr>
          <w:rFonts w:ascii="Times New Roman" w:hAnsi="Times New Roman"/>
          <w:sz w:val="20"/>
        </w:rPr>
      </w:pPr>
      <w:r>
        <w:rPr>
          <w:rFonts w:ascii="Times New Roman" w:hAnsi="Times New Roman"/>
          <w:color w:val="000000"/>
          <w:sz w:val="16"/>
        </w:rPr>
        <w:t>As a result of the error in the classification and presentation of cash described above, we conducted an analysis to determine whether incentive-based compensation was erroneously awarded, thereby necessitating recovery under the Clawback Policy we adopted effective December 1, 2023. Because we do not pay or otherwise award incentive-based compensation to the Company’s executives, we concluded that the error did not result in erroneously-awarded incentive-based compensation, and therefore no compensation recovery is required.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PennantPark Floating Rate Capital Ltd.</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our portfolio totaled $1,270.9 million, and consisted of $1,090.5 million of first lien secured debt (including $210.1 million in PSSL), $0.2 million of second lien secured debt and $180.3 million of preferred and common equity (including $52.1 million in PSSL). Our debt portfolio consisted of approximately 100% variable-rate investments. As of December 31, 2023, we had one portfolio company on non-accrual, representing 0.1% and zero percent of our overall portfolio on a cost and fair value basis, respectively. As of December 31, 2023, the portfolio had net unrealized depreciation of $19.6 million. Our overall portfolio consisted of 141 companies with an average investment size of $9.0 million and had a weighted average yield on debt investments of 12.5%, and was invested 86% in first lien secured debt (including 17% in PSSL), less than 1% in second lien secured debt and 14% in preferred and common equity (including 4% in PSSL). As of December 31, 2023, approximately 100% of the investments held by PSSL were first lien secured debt.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of September 30, 2023, our portfolio totaled $1,067.2 million and consisted of $r906.2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of our overall portfolio on a cost and fair value basis, respectively. As of September 30, 2023, the portfolio had net unrealized depreciation of $25.7 million. Our overall portfolio consisted of 131 companies with an average investment size of $8.1 million, had a weighted average yield on debt investments of 12.6%, and was invested 85% in first lien secured debt (including 20% in PSSL), less than 1% in second lien secured debt and 15% in preferred and common equity (including 5% in PSSL). As of September 30, 2023, 99% of the investments held by PSSL were first lien secured debt.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we invested $302.6 million in 13 new and 34 existing portfolio companies at a weighted average yield on debt investments of 11.9%. For the three months ended December 31, 2023, sales and repayments of investments totaled $103.8 million, including $62.7 million of sales to PSSL.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2022, we invested $65.6 million in four new and 29 existing portfolio companies at a weighted average yield on debt investments of 11.2%. For the three months ended December 31, 2022 sales and repayments of investments totaled $63.0 million, including $18.8 million of sales to PSSL.</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PennantPark Senior Secured Loan Fund I LLC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December 31, 2023, PSSL’s portfolio totaled $836.9 million and consisted of 106 companies with an average investment size of $7.9 million and at a weighted average yield on debt investments of 12.1%. As of September 30, 2023, PSSL’s portfolio totaled $785.9 million, consisted of 105 companies with an average investment size of $7.5 million and at a weighted average yield on debt investments of 12.1%.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PSSL invested $75.7 million (including $62.7 million purchased from the Company) in four new and nine existing portfolio companies at a weighted average yield on debt investments of 12.3%. Sales and repayments of investments for the three months ended December 31, 2023 totaled $27.7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2022, PSSL invested $29.5 million (including $18.8 million purchased from the Company) in seven new and eight existing portfolio companies at a weighted average yield on debt investments of 11.1%. For the three months ended December 31, 2022 sales and repayments of investments totaled $28.8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At-the-Market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On March 27, 2023 we entered into equity distribution agreements with JMP Securities LLC, Raymond James &amp; Associates, Inc. and Truist Securities, Inc. (together, the "Equity Distribution Agreements"), as sales agents (each a "Sales Agent" and together, the "Sales Agents") in connection with the sale of shares of our common stock, which we amended on August 11, 2023 with an aggregate offering of up to $250 million under an at-the-market offering ("ATM Program"). On August 11, 2023, we amended and restated the Equity Distribution Agreements with each of the Sales Agents (together the "Amended and Restated Equity Distribution Agreements") to increase the aggregate offering price to up to $250 million. The Amended and Restated Equity Distribution Agreements provide that we may offer and sell shares of our common stock from time to</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CRITICAL ACCOUNTING POLICIES AND ESTIMATES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2023 Annual Report on Form 10-K. There have been no significant changes in our critical accounting estimates during the three months from those disclosed in our 2023 Annual Report on Form 10-K.</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Investment Valuations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Our quarterly valuation process begins with each portfolio company or investment being initially valued by the investment professionals of our Investment Adviser responsible for the portfolio investment;</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 xml:space="preserve">Preliminary valuation conclusions are then documented and discussed with the management of our Investment Adviser; </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color w:val="000000"/>
          <w:sz w:val="16"/>
        </w:rPr>
      </w:pPr>
      <w:r>
        <w:rPr>
          <w:rFonts w:ascii="Times New Roman" w:hAnsi="Times New Roman"/>
          <w:color w:val="000000"/>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ASC 820 classifies the inputs used to measure these fair values into the following hierarchies: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Level 1: Inputs that are quoted prices (unadjusted) in active markets for identical assets or liabilities, accessible by us at the measurement date.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Level 3: Inputs that are unobservable for an asset or liability because they are based on our own assumptions about how market participants would price the asset or liability.</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 financial instrument’s categorization within the valuation hierarchy is based upon the lowest level of input that is significant to the fair value measurement. Generally, most of our investments, our 2031 Asset-Backed Debt, 2023 Notes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months ended December 31, 2023 and 2022,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the Credit Facility and the 2023 Notes had a net change in unrealized appreciation (depreciation) of less than $0.1 million and $(2.1) million, respectively. As of December 31, 2023 and September 30, 2023, the net unrealized appreciation (depreciation) on the Credit Facility as applicable, and the 2023 Notes totaled $0.1 million and zero, respectively. We use a nationally recognized independent valuation service to measure the fair value of the Credit Facility in a manner consistent with the valuation process that our board of directors uses to value our investments. Our 2023 Notes traded on the TASE and were fully paid off during the quarter.</w:t>
      </w:r>
    </w:p>
    <w:p>
      <w:pPr>
        <w:pStyle w:val="TextBody"/>
        <w:bidi w:val="0"/>
        <w:jc w:val="both"/>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Revenue Recognition</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Net Realized Gains or Losses and Net Change in Unrealized Appreciation or Depreciation</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Foreign Currency Translation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books and records are maintained in U.S. dollars. Any foreign currency amounts are translated into U.S. dollars on the following basis:</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Fair value of investment securities, other assets and liabilities – at the exchange rates prevailing at the end of the applicable period; and</w:t>
      </w:r>
    </w:p>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Purchases and sales of investment securities, income and expenses – at the exchange rates prevailing on the respective dates of such transactions.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16"/>
        </w:rPr>
        <w:t>Payment -in-kind, or PIK Interest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Federal Income Taxes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 w:hAnsi="Times New Roman"/>
          <w:color w:val="000000"/>
          <w:sz w:val="16"/>
          <w:u w:val="single"/>
        </w:rPr>
        <w:t>s</w:t>
      </w:r>
      <w:r>
        <w:rPr>
          <w:rFonts w:ascii="Times New Roman" w:hAnsi="Times New Roman"/>
          <w:color w:val="000000"/>
          <w:sz w:val="16"/>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we recorded a provision for taxes on net investment income of $0.2 million and $0.5 million, respectively, pertaining to federal excise tax.</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Taxable Subsidiary (PFLT Investment Holdings, LLC, a second tier wholly-owned subsidiary of the Company), is subject to U.S. federal, state and local corporate income taxes. The income tax expense and related tax liabilities of the Taxable Subsidiary are reflected in the Company’s consolidated financial statements.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the Company recognized a provision for taxes of zero on unrealized appreciation (depreciation) on investments by the Taxable Subsidiary. For the three months ended December 31, 2022 the Company recognized a provision for taxes of $0.7 million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December 31, 2023 and September 30, 2023, $1.8 and $1.8 million, respectively, was accrued as a deferred tax liability on the Consolidated Statements of Assets and Liabilities relating to unrealized gain on investments held by the Taxable Subsidiary. As of December 31, 2023 and September 30, 2023, zero and $0.3 million, respectively, was accrued as a provision for taxes on the Consolidated Statements of Operations relating to realized gain on investments held by the Taxable Subsidiary. During the three months ended December 31, 2023 and 2022, the Company paid zero and zero, respectively, in taxes on realized gains on the sale of investments held by the Taxable Subsidiary.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RESULTS OF OPERATIONS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Set forth below are the results of operations for the three months ended December 31, 2023 and 2022.</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Investment Income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investment income was $38.0 million, which was attributable to $33.2 million from first lien secured debt and $4.8 million from other investments. For the three months ended December 31, 2022, investment income was $31.3 million, which was attributable to $27.6 million from first lien secured debt and $3.7 million from other investments. The increase in investment income compared to the same period in the prior year was primarily due to the increase in the cost yield of our debt portfolio.</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Expenses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expenses totaled $18.5 million and were comprised of: $8.9 million of debt related interest and expenses, $3.0 million of base management fees, $4.9 million of performance-based incentive fees, $1.6 million of general and administrative expenses and $0.2 million of taxes. For the three months ended December 31, 2022, expenses totaled $17.6 million and were comprised of: $9.9 million of debt related interest and expenses, $2.9 million of base management fees, $3.4 million of performance-based incentive fees, $0.8 million of general and administrative expenses and $0.5 million of taxes. The increase in expenses compared to the same period in the prior year was primarily due to the increase in performance-based incentive fees as a result of higher pre-incentive fee net investment income.</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Net Investment Income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net investment income totaled $19.4 million or $0.33 per share, and $13.7 million or $0.30 per share, respectively. The increase in net investment income was primarily due to an increase in investment income partially offset by an increase in expenses compared to the same period in the prior year.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Net Realized Gains or Losses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net realized gains (losses) totaled $(3.1) million and less than $0.1 million, respectively. The change in net realized gains (losses) compared to the same period in the prior year was primarily due to changes in the market conditions of our investments and the values at which they were realized.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Unrealized Appreciation or Depreciation on Investments, the Credit Facility and the 2023 Notes</w:t>
      </w:r>
    </w:p>
    <w:p>
      <w:pPr>
        <w:pStyle w:val="TextBody"/>
        <w:bidi w:val="0"/>
        <w:jc w:val="both"/>
        <w:rPr>
          <w:rFonts w:ascii="Times New Roman" w:hAnsi="Times New Roman"/>
          <w:sz w:val="20"/>
        </w:rPr>
      </w:pPr>
      <w:r>
        <w:rPr>
          <w:rFonts w:ascii="Times New Roman" w:hAnsi="Times New Roman"/>
          <w:b/>
          <w:i/>
          <w:color w:val="000000"/>
          <w:sz w:val="16"/>
        </w:rPr>
        <w:br/>
        <w:br/>
      </w:r>
      <w:r>
        <w:rPr>
          <w:rFonts w:ascii="Times New Roman" w:hAnsi="Times New Roman"/>
          <w:color w:val="000000"/>
          <w:sz w:val="16"/>
        </w:rPr>
        <w:t>For the three months ended December 31, 2023 and 2022, we reported net change in unrealized appreciation (depreciation) on investments of $6.2 million and $(16.8) million, respectively. As of December 31, 2023 and September 30, 2023, our net unrealized appreciation (depreciation) on investments totaled $(19.6) million and $(25.7) million, respectively. The net change in unrealized appreciation (depreciation) on our investments compared to the same period in the prior year was primarily due to the operating performance of the portfolio companies within our portfolio and changes in the capital market conditions of our investments.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 xml:space="preserve">For the three months ended December 31, 2023 and 2022, our Credit Facility and the 2023 Notes had a net change in unrealized appreciation (depreciation) of less than $0.1 million and $(2.1) million, respectively. As of December 31, 2023 and September 30, 2023, the net unrealized appreciation (depreciation) on the Credit Facility and the 2023 Notes totaled less than $0.1 million and zero, respectively. The net change in net unrealized appreciation or (depreciation) compared to the same period in the prior year was primarily due to changes in the capital markets. </w:t>
      </w:r>
      <w:r>
        <w:rPr>
          <w:rFonts w:ascii="Times New Roman" w:hAnsi="Times New Roman"/>
          <w:b/>
          <w:i/>
          <w:color w:val="000000"/>
          <w:sz w:val="16"/>
        </w:rPr>
        <w:br/>
        <w:br/>
      </w:r>
      <w:r>
        <w:rPr>
          <w:rFonts w:ascii="Times New Roman" w:hAnsi="Times New Roman"/>
          <w:color w:val="000000"/>
          <w:sz w:val="20"/>
        </w:rPr>
        <w:t> </w:t>
      </w:r>
    </w:p>
    <w:p>
      <w:pPr>
        <w:pStyle w:val="TextBody"/>
        <w:bidi w:val="0"/>
        <w:jc w:val="both"/>
        <w:rPr>
          <w:rFonts w:ascii="Times New Roman" w:hAnsi="Times New Roman"/>
          <w:b/>
          <w:i/>
          <w:color w:val="000000"/>
          <w:sz w:val="16"/>
        </w:rPr>
      </w:pPr>
      <w:r>
        <w:rPr>
          <w:rFonts w:ascii="Times New Roman" w:hAnsi="Times New Roman"/>
          <w:b/>
          <w:i/>
          <w:color w:val="000000"/>
          <w:sz w:val="16"/>
        </w:rPr>
        <w:t>Net Increase (Decrease) in Net Assets Resulting from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net increase (decrease) in net assets resulting from operations totaled $22.5 million or $0.38 per share and $(1.6) million, or $(0.04) per share, respectively. The net increase or (decrease) from operations compared to the same period in the prior year was primarily due to operating performance of our portfolio and changes in capital market conditions of our investments along with change in cost yield of our debt portfolio and costs of financing.</w:t>
      </w:r>
      <w:r>
        <w:rPr>
          <w:rFonts w:ascii="Times New Roman" w:hAnsi="Times New Roman"/>
          <w:b/>
          <w:i/>
          <w:color w:val="000000"/>
          <w:sz w:val="16"/>
        </w:rPr>
        <w:br/>
        <w:br/>
      </w:r>
      <w:r>
        <w:rPr>
          <w:rFonts w:ascii="Times New Roman" w:hAnsi="Times New Roman"/>
          <w:color w:val="000000"/>
          <w:sz w:val="20"/>
        </w:rPr>
        <w:t> </w:t>
      </w:r>
    </w:p>
    <w:p>
      <w:pPr>
        <w:pStyle w:val="TextBody"/>
        <w:bidi w:val="0"/>
        <w:jc w:val="both"/>
        <w:rPr>
          <w:rFonts w:ascii="Times New Roman" w:hAnsi="Times New Roman"/>
          <w:b/>
          <w:color w:val="000000"/>
          <w:sz w:val="16"/>
        </w:rPr>
      </w:pPr>
      <w:r>
        <w:rPr>
          <w:rFonts w:ascii="Times New Roman" w:hAnsi="Times New Roman"/>
          <w:b/>
          <w:color w:val="000000"/>
          <w:sz w:val="16"/>
        </w:rPr>
        <w:t>LIQUIDITY AND CAPITAL RESOURCES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December 31, 2023, in accordance with the 1940 Act, with certain limited exceptions, we are only allowed to borrow amounts such that we are in compliance with a 150% asset coverage ratio requirement after such borrowing.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2023 and September 30, 2023, our asset coverage ratio, as computed in accordance with the 1940 Act, was 197% and 230%, respectively.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the annualized weighted average cost of debt, inclusive of the fee on the undrawn commitment on the Credit Facility, amendment costs and debt issuance costs, was 6.8% and 5.7%, respectively. As of December 31, 2023 and September 30, 2023, we had $125.1 million and $376.6 million of unused borrowing capacity under the Credit Facility, as applicable, respectively, subject to leverage and borrowing base restrictions.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Funding I’s multi-currency Credit Facility with the Lenders was $386.0 million as of December 31, 2023 subject to satisfaction of certain conditions and regulatory restrictions that the 1940 Act imposes on us as a BDC, has an interest rate spread above SOFR (or an alternative risk-free floating interest rate index) of 236 basis points, a maturity date of August 2026 and a revolving period that ends in August 2024. As of December 31, 2023 and September 30, 2023, PennantPark Floating Rate Funding I, LLC, our wholly-owned subsidiary, borrowed $260.9 million and $9.4 million under the Credit Facility, respectively, and the weighted average interest rate, exclusive of the fee on undrawn commitments, was of 7.7% and 7.7%, respectively, exclusive of the fee on undrawn commitments.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During the revolving period, the Credit Facility bears interest at SOFR (or an alternative risk-free floating interest rate index) plus 236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2023, we were in compliance with the covenants relating to our Credit Facility.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We own 100% of the equity interest in Funding I and treat the indebtedness of Funding I as our leverage. Our Investment Adviser serves as collateral manager to Funding I under the Credit Facility.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November 2017, we issued $138.6 million of our 2023 Notes. The 2023 Notes were issued pursuant to a deed of trust between the Company and Mishmeret Trust Company, Ltd., as trustee, of which zero and $76.2 million was outstanding as of December 31, 2023 and September 30, 2023, respectively.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2023 Notes paid interest at a rate of 4.3% per year.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SOFR plus 1.8%, (ii) $15.0 million Class A-2 Senior Secured Fixed Rate Notes due 2031, which bear interest at 3.7%, (iii) $14.0 million Class B-1 Senior Secured Floating Rate Notes due 2031, which bear interest at the three-month SOFR plus 2.9%, (iv) $16.0 million Class B-2 Senior Secured Fixed Rate Notes due 2031, which bear interest at 4.3%, (v) $19.0 million Class C</w:t>
        <w:noBreakHyphen/>
        <w:t>1 Secured Deferrable Floating Rate Notes due 2031, which bear interest at the three-month SOFR plus 4.0%, (vi) $8.0 million Class C-2 Secured Deferrable Fixed Rate Notes due 2031, which bear interest at 5.4%, and (vii) $18.0 million Class D Secured Deferrable Floating Rate Notes due 2031, which bear interest at the three-month SOFR plus 4.8% and (B) the borrowing of $77.5 million Class A</w:t>
        <w:noBreakHyphen/>
        <w:t>1 Senior Secured Floating Rate Loans due 2031, which bear interest at the three-month SOFR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December 31, 2023 and September 30, 2023, the Company had $228.0 million of 2031 Asset-Backed Debt outstanding with a weighted average interest rate of 7.2% and 7.1%, respectively.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On March 27, 2023 we entered into equity distribution agreements with JMP Securities LLC, Raymond James &amp; Associates, Inc. and Truist Securities, Inc. (together, the "Equity Distribution Agreements"), as sales agents (each a “Sales Agent” and together, the “Sales Agents”) in connection with the sale of shares of our common stock, with an aggregate offering price of up to $100 million under an at-the-market offering (“ATM Program”). On August 11, 2023, we amended the Equity Distribution Agreements with each of the Sales Agents (together, the "Amended and Restated Equity Distribution Agreements") to increase the aggregate offering price to up to $250 million. The Amended and Restated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During the three months ended December 31, 2023, we did not issue any shares of common stock through the ATM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16"/>
        </w:rPr>
        <w:t>Under our Administration Agreement, which was most recently reapproved by our board of directors, including a majority of our directors who are not interested persons of us, in February 2024,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Financial Officer, Chief Compliance Officer, Corporate Counsel and their respective staffs.</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16"/>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br/>
        <w:br/>
      </w:r>
      <w:r>
        <w:rPr>
          <w:rFonts w:ascii="Times New Roman" w:hAnsi="Times New Roman"/>
          <w:color w:val="000000"/>
          <w:sz w:val="20"/>
        </w:rPr>
        <w:t> </w:t>
      </w:r>
    </w:p>
    <w:p>
      <w:pPr>
        <w:pStyle w:val="TextBody"/>
        <w:bidi w:val="0"/>
        <w:jc w:val="both"/>
        <w:rPr>
          <w:rFonts w:ascii="Times New Roman" w:hAnsi="Times New Roman"/>
          <w:color w:val="000000"/>
          <w:sz w:val="16"/>
        </w:rPr>
      </w:pPr>
      <w:r>
        <w:rPr>
          <w:rFonts w:ascii="Times New Roman" w:hAnsi="Times New Roman"/>
          <w:color w:val="000000"/>
          <w:sz w:val="16"/>
        </w:rPr>
        <w:t>As of December 31, 2023 and September 30, 2023, we had cash and cash equivalents of $75.8 million and $100.6 million, respectively, available for investing and general corporate purposes. We believe our liquidity and capital resources are sufficient to take advantage of market opportunities.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our operating activities used cash of $181.9 million and our financing activities provided cash of $157.2 million. Our operating activities used cash primarily due to our investment activities and our financing activities provided cash primarily due to borrowings under our Credit Facility partially offset by the repayment of the 2023 Notes.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 xml:space="preserve">For the three months ended December 31, 2022, our operating activities provided cash of $6.3 million and our financing activities used cash of $2.7 million. Our operating activities provided cash primarily realized from our investment activities and our financing activities used cash primarily due to borrowings under our Credit Facility and principal repayment of our 2023 Notes. </w:t>
        <w:br/>
        <w:br/>
      </w:r>
      <w:r>
        <w:rPr>
          <w:rFonts w:ascii="Times New Roman" w:hAnsi="Times New Roman"/>
          <w:color w:val="000000"/>
          <w:sz w:val="20"/>
        </w:rPr>
        <w:t> </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PennantPark Senior Secured Loan Fund I LLC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May 2017, we and Kemper formed PSSL, an unconsolidated joint venture. PSSL invests primarily in middle-market and other corporate debt securities consistent with our strategy. PSSL was formed as a Delaware limited liability company. As of December 31, 2023 and September 30, 2023, PSSL had total assets of $879.4 million and $869.4 million, respectively, and its investment portfolio consisted of investments in 106 and 105 portfolio companies, respectively. As of December 31, 2023, at fair value, the largest investment in a single portfolio company in PSSL was $21.1 million and the five largest investments totaled $91.7 million. As of September 30, 2023, at fair value, the largest investment in a single portfolio company in PSSL was $18.5 million and the five largest investments totaled $83.4 million. PSSL invests in portfolio companies in the same industries in which we may directly invest.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and Kemper provide capital to PSSL in the form of first lien secured debt and equity interests. As of December 31, 2023, and September 30, 2023, we and Kemper owned 87.5% and 12.5%, respectively, of each of the outstanding first lien secured debt and equity interests. As of the same dates, our investment in PSSL consisted of first lien secured debt of $210.1 million (additional $27.6 million unfunded) and $210.1 million (additional $27.6 million unfunded), respectively, and equity interests of $90.0 million (additional $11.8 million unfunded) and $90.0 million (additional $11.8 million unfunded), respectively.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August 2023 PSSL entered into a $260.0 million (decreased from $325.0 million) senior secured revolving credit facility which bears interest at SOFR plus 260 basis points (including a spread adjustment) with Ally Bank through its wholly-owned subsidiary, PennantPark Senior Secured Loan Facility LLC II, or PSSL Subsidiary II, subject to leverage and borrowing base restrictions.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April 2023, PSSL completed a $297.8 million debt securitization in the form of a collateralized loan obligation, or the “2035 Asset-Backed Debt”. The 2035 Asset-Backed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Below is a summary of PSSL’s portfolio at fair value:</w:t>
      </w:r>
    </w:p>
    <w:p>
      <w:pPr>
        <w:pStyle w:val="TextBody"/>
        <w:bidi w:val="0"/>
        <w:jc w:val="both"/>
        <w:rPr/>
      </w:pPr>
      <w:r>
        <w:rPr/>
        <w:t> </w:t>
      </w:r>
    </w:p>
    <w:tbl>
      <w:tblPr>
        <w:tblW w:w="8335" w:type="dxa"/>
        <w:jc w:val="left"/>
        <w:tblInd w:w="0" w:type="dxa"/>
        <w:tblLayout w:type="fixed"/>
        <w:tblCellMar>
          <w:top w:w="28" w:type="dxa"/>
          <w:left w:w="28" w:type="dxa"/>
          <w:bottom w:w="28" w:type="dxa"/>
          <w:right w:w="28" w:type="dxa"/>
        </w:tblCellMar>
      </w:tblPr>
      <w:tblGrid>
        <w:gridCol w:w="4471"/>
        <w:gridCol w:w="146"/>
        <w:gridCol w:w="331"/>
        <w:gridCol w:w="1169"/>
        <w:gridCol w:w="241"/>
        <w:gridCol w:w="146"/>
        <w:gridCol w:w="341"/>
        <w:gridCol w:w="1204"/>
        <w:gridCol w:w="28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thousands)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3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836,857</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785,859</w:t>
            </w:r>
          </w:p>
        </w:tc>
        <w:tc>
          <w:tcPr>
            <w:tcW w:w="286" w:type="dxa"/>
            <w:tcBorders/>
            <w:shd w:fill="CCECFF"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cost yield on income producing investments</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7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Number of portfolio companies in PSSL</w:t>
            </w:r>
          </w:p>
        </w:tc>
        <w:tc>
          <w:tcPr>
            <w:tcW w:w="146" w:type="dxa"/>
            <w:tcBorders/>
            <w:shd w:fill="CCECFF" w:val="clear"/>
            <w:vAlign w:val="center"/>
          </w:tcPr>
          <w:p>
            <w:pPr>
              <w:pStyle w:val="TableContents"/>
              <w:bidi w:val="0"/>
              <w:spacing w:before="0" w:after="283"/>
              <w:jc w:val="left"/>
              <w:rPr/>
            </w:pPr>
            <w:r>
              <w:rPr/>
              <w:t> </w:t>
            </w:r>
          </w:p>
        </w:tc>
        <w:tc>
          <w:tcPr>
            <w:tcW w:w="331" w:type="dxa"/>
            <w:tcBorders/>
            <w:shd w:fill="CCECFF" w:val="clear"/>
            <w:vAlign w:val="center"/>
          </w:tcPr>
          <w:p>
            <w:pPr>
              <w:pStyle w:val="TableContents"/>
              <w:bidi w:val="0"/>
              <w:spacing w:before="0" w:after="283"/>
              <w:jc w:val="left"/>
              <w:rPr/>
            </w:pPr>
            <w:r>
              <w:rPr/>
              <w:t> </w:t>
            </w:r>
          </w:p>
        </w:tc>
        <w:tc>
          <w:tcPr>
            <w:tcW w:w="11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pPr>
            <w:r>
              <w:rPr/>
              <w:t> </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286" w:type="dxa"/>
            <w:tcBorders/>
            <w:shd w:fill="CCECFF"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Largest portfolio company investment</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18,463</w:t>
            </w:r>
          </w:p>
        </w:tc>
        <w:tc>
          <w:tcPr>
            <w:tcW w:w="286" w:type="dxa"/>
            <w:tcBorders/>
            <w:shd w:fill="FFFFFF" w:val="clear"/>
            <w:vAlign w:val="center"/>
          </w:tcPr>
          <w:p>
            <w:pPr>
              <w:pStyle w:val="TableContents"/>
              <w:bidi w:val="0"/>
              <w:spacing w:before="0" w:after="283"/>
              <w:jc w:val="left"/>
              <w:rPr/>
            </w:pPr>
            <w:r>
              <w:rPr/>
              <w:t> </w:t>
            </w:r>
          </w:p>
        </w:tc>
      </w:tr>
      <w:tr>
        <w:trPr/>
        <w:tc>
          <w:tcPr>
            <w:tcW w:w="447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of five largest portfolio company investments</w:t>
            </w:r>
          </w:p>
        </w:tc>
        <w:tc>
          <w:tcPr>
            <w:tcW w:w="146" w:type="dxa"/>
            <w:tcBorders/>
            <w:shd w:fill="CCECFF" w:val="clear"/>
            <w:vAlign w:val="center"/>
          </w:tcPr>
          <w:p>
            <w:pPr>
              <w:pStyle w:val="TableContents"/>
              <w:bidi w:val="0"/>
              <w:spacing w:before="0" w:after="283"/>
              <w:jc w:val="left"/>
              <w:rPr/>
            </w:pPr>
            <w:r>
              <w:rPr/>
              <w:t> </w:t>
            </w:r>
          </w:p>
        </w:tc>
        <w:tc>
          <w:tcPr>
            <w:tcW w:w="3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91,715</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83,365</w:t>
            </w:r>
          </w:p>
        </w:tc>
        <w:tc>
          <w:tcPr>
            <w:tcW w:w="286" w:type="dxa"/>
            <w:tcBorders/>
            <w:shd w:fill="CCEC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Below is a listing of PSSL’s individual investments as of December 31, 2023 (Par and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5"/>
        <w:gridCol w:w="146"/>
        <w:gridCol w:w="621"/>
        <w:gridCol w:w="146"/>
        <w:gridCol w:w="1951"/>
        <w:gridCol w:w="146"/>
        <w:gridCol w:w="182"/>
        <w:gridCol w:w="472"/>
        <w:gridCol w:w="211"/>
        <w:gridCol w:w="146"/>
        <w:gridCol w:w="678"/>
        <w:gridCol w:w="146"/>
        <w:gridCol w:w="146"/>
        <w:gridCol w:w="436"/>
        <w:gridCol w:w="146"/>
        <w:gridCol w:w="146"/>
        <w:gridCol w:w="166"/>
        <w:gridCol w:w="436"/>
        <w:gridCol w:w="146"/>
        <w:gridCol w:w="146"/>
        <w:gridCol w:w="204"/>
        <w:gridCol w:w="538"/>
        <w:gridCol w:w="195"/>
      </w:tblGrid>
      <w:tr>
        <w:trPr/>
        <w:tc>
          <w:tcPr>
            <w:tcW w:w="2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Spread Above</w:t>
              <w:br/>
              <w:t xml:space="preserve">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- 1,398.7%</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2,918</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Avenu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Falcon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8/1/2029</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18,696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12,307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 - Incremental Term Loan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4,788</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7/21/2027</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9,553</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7/1/2029</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8,865</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14,904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BlueHalo Financing Holdings,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9/26/2029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Automotive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By Light Professional IT Services,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5/16/2025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6/14/2028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8/20/2026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4/10/2025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5,484</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Challenger Performance Optimization,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8/31/2024</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8,909</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42" w:type="dxa"/>
            <w:gridSpan w:val="2"/>
            <w:tcBorders/>
            <w:shd w:fill="CCECFF" w:val="clear"/>
            <w:vAlign w:val="center"/>
          </w:tcPr>
          <w:p>
            <w:pPr>
              <w:pStyle w:val="TableContents"/>
              <w:bidi w:val="0"/>
              <w:spacing w:before="0" w:after="283"/>
              <w:jc w:val="left"/>
              <w:rPr/>
            </w:pPr>
            <w:r>
              <w:rPr/>
              <w:t> </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Confluent Health,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10/28/2028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7/13/2027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14,675</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2,385</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14,033</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6/30/2024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ECL Entertainment,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8/31/2030</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5,004</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8,843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3/15/2027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12,453</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5/29/2029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6/17/2028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10,150</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3/16/2026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8/10/2027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4,851</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6,075</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Integrative Nutrition,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10,351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2.25%)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8/27/2026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6/30/2025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8,061</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3,822</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1/31/2024</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16,537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2/18/2027</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14,103</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14,676</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2/3/2026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11,964</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1/31/2030</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Industries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First-Out Term Loan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10/2/2028</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Last-Out Term Loan</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10/2/2029</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2,106</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 - Super Priority First Lien Term Loan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Marketplace Events, LLC - Super Priority First Lien Unfunded Term Loan </w:t>
            </w: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9/30/2026</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5/14/2026</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11,558</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4/16/2027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8,282</w:t>
            </w:r>
          </w:p>
        </w:tc>
        <w:tc>
          <w:tcPr>
            <w:tcW w:w="195" w:type="dxa"/>
            <w:tcBorders/>
            <w:shd w:fill="CCECFF" w:val="clear"/>
            <w:vAlign w:val="center"/>
          </w:tcPr>
          <w:p>
            <w:pPr>
              <w:pStyle w:val="TableContents"/>
              <w:bidi w:val="0"/>
              <w:spacing w:before="0" w:after="283"/>
              <w:jc w:val="left"/>
              <w:rPr/>
            </w:pPr>
            <w:r>
              <w:rPr/>
              <w:t> </w:t>
            </w:r>
          </w:p>
        </w:tc>
      </w:tr>
      <w:tr>
        <w:trPr/>
        <w:tc>
          <w:tcPr>
            <w:tcW w:w="26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7/25/2028</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w:t>
            </w:r>
          </w:p>
        </w:tc>
        <w:tc>
          <w:tcPr>
            <w:tcW w:w="195" w:type="dxa"/>
            <w:tcBorders/>
            <w:shd w:fill="FFFFFF" w:val="clear"/>
            <w:vAlign w:val="center"/>
          </w:tcPr>
          <w:p>
            <w:pPr>
              <w:pStyle w:val="TableContents"/>
              <w:bidi w:val="0"/>
              <w:spacing w:before="0" w:after="283"/>
              <w:jc w:val="left"/>
              <w:rPr/>
            </w:pPr>
            <w:r>
              <w:rPr/>
              <w:t> </w:t>
            </w:r>
          </w:p>
        </w:tc>
      </w:tr>
      <w:tr>
        <w:trPr/>
        <w:tc>
          <w:tcPr>
            <w:tcW w:w="265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19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2,295</w:t>
            </w:r>
          </w:p>
        </w:tc>
        <w:tc>
          <w:tcPr>
            <w:tcW w:w="195"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6"/>
        <w:gridCol w:w="146"/>
        <w:gridCol w:w="181"/>
        <w:gridCol w:w="433"/>
        <w:gridCol w:w="146"/>
        <w:gridCol w:w="146"/>
        <w:gridCol w:w="1767"/>
        <w:gridCol w:w="146"/>
        <w:gridCol w:w="177"/>
        <w:gridCol w:w="457"/>
        <w:gridCol w:w="211"/>
        <w:gridCol w:w="146"/>
        <w:gridCol w:w="194"/>
        <w:gridCol w:w="459"/>
        <w:gridCol w:w="146"/>
        <w:gridCol w:w="146"/>
        <w:gridCol w:w="146"/>
        <w:gridCol w:w="436"/>
        <w:gridCol w:w="146"/>
        <w:gridCol w:w="146"/>
        <w:gridCol w:w="166"/>
        <w:gridCol w:w="496"/>
        <w:gridCol w:w="146"/>
        <w:gridCol w:w="146"/>
        <w:gridCol w:w="181"/>
        <w:gridCol w:w="590"/>
        <w:gridCol w:w="199"/>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Spread Above</w:t>
              <w:br/>
              <w:t xml:space="preserve">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Medina Health,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18,957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Mission Critical Electronics,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3/28/2024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SOFR+590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5,769</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9/28/2027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3,418</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&amp; Childcare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10,043</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5/9/2029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Milani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6/6/2024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21,114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Acquisitions,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 - First-Out Term Loan</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 - Last-Out Term Loan</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5/30/2028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SOFR+668</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5/18/2026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4,291</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Pacific Purchaser,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11,848</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 - Term Loan (f/k/a Simplicity Group)</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 Beauty Holdings III,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9/29/2025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4.00%)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5/8/2026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7/6/2028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2,740</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2/28/2028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10,973</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0.50%)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6/13/2029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12,020</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5/17/2028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10,299</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7/17/2025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4,568</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8,985</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2,251</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7,684</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8,554</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13,555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6,732</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3,947</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Junior Revolving Credit Facility</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Walker Edison Furniture Company LLC - DDTL - Unfunded </w:t>
            </w: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15,896</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16,355</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833,276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Equity Securities - 3.9%</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MPE Holdings, LLC</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5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w:t>
            </w:r>
          </w:p>
        </w:tc>
        <w:tc>
          <w:tcPr>
            <w:tcW w:w="199" w:type="dxa"/>
            <w:tcBorders/>
            <w:shd w:fill="CCEC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Output Services Group, Inc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 Common Equity</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7"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5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Equity Securities</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5" w:type="dxa"/>
            <w:gridSpan w:val="7"/>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- 1,404.7%</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847,548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836,857</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25"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- 61.0%</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36,339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—1,465.7%</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883,887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873,196</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(1,365.7)%</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(813,620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614"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59,576</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All securities are subject to a SOFR or Prime rate floor where a spread is provided, unless noted. The spread provided includes PIK interest and other fee rates, if any.</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jc w:val="left"/>
        <w:rPr>
          <w:rFonts w:ascii="Times New Roman" w:hAnsi="Times New Roman"/>
          <w:color w:val="000000"/>
          <w:sz w:val="12"/>
        </w:rPr>
      </w:pPr>
      <w:r>
        <w:rPr>
          <w:rFonts w:ascii="Times New Roman" w:hAnsi="Times New Roman"/>
          <w:color w:val="000000"/>
          <w:sz w:val="12"/>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jc w:val="center"/>
        <w:rPr>
          <w:rFonts w:ascii="Times New Roman" w:hAnsi="Times New Roman"/>
          <w:color w:val="000000"/>
          <w:sz w:val="16"/>
        </w:rPr>
      </w:pPr>
      <w:r>
        <w:rPr>
          <w:rFonts w:ascii="Times New Roman" w:hAnsi="Times New Roman"/>
          <w:color w:val="000000"/>
          <w:sz w:val="16"/>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Below is a listing of PSSL’s individual investments as of September 30, 2023 ($ in thousands):</w:t>
      </w:r>
    </w:p>
    <w:tbl>
      <w:tblPr>
        <w:tblW w:w="10205" w:type="dxa"/>
        <w:jc w:val="left"/>
        <w:tblInd w:w="0" w:type="dxa"/>
        <w:tblLayout w:type="fixed"/>
        <w:tblCellMar>
          <w:top w:w="28" w:type="dxa"/>
          <w:left w:w="28" w:type="dxa"/>
          <w:bottom w:w="28" w:type="dxa"/>
          <w:right w:w="28" w:type="dxa"/>
        </w:tblCellMar>
      </w:tblPr>
      <w:tblGrid>
        <w:gridCol w:w="2679"/>
        <w:gridCol w:w="146"/>
        <w:gridCol w:w="621"/>
        <w:gridCol w:w="146"/>
        <w:gridCol w:w="1950"/>
        <w:gridCol w:w="146"/>
        <w:gridCol w:w="182"/>
        <w:gridCol w:w="472"/>
        <w:gridCol w:w="211"/>
        <w:gridCol w:w="146"/>
        <w:gridCol w:w="678"/>
        <w:gridCol w:w="146"/>
        <w:gridCol w:w="146"/>
        <w:gridCol w:w="436"/>
        <w:gridCol w:w="146"/>
        <w:gridCol w:w="146"/>
        <w:gridCol w:w="166"/>
        <w:gridCol w:w="436"/>
        <w:gridCol w:w="146"/>
        <w:gridCol w:w="146"/>
        <w:gridCol w:w="197"/>
        <w:gridCol w:w="518"/>
        <w:gridCol w:w="199"/>
      </w:tblGrid>
      <w:tr>
        <w:trPr/>
        <w:tc>
          <w:tcPr>
            <w:tcW w:w="2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Spread Above</w:t>
              <w:br/>
              <w:t xml:space="preserve">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- 1,347.5%</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8,754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12,338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Holdings Inc (fka MeritDirect) March 2023</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5/23/2024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Advertising, Printing &amp; Publishing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7/21/2027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B</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2,181</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 DDTL Unfunded (3)</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8/3/2029</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9,126</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7/1/2029</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8,933</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14,905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By Light Professional IT Services,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5/16/2025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Cadence Aerospace,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11/14/2023</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4,011</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2.00%)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6/14/2028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9,636</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 Holdings,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4/10/2025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Challenger Performance Optimization,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15"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Confluent Health,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10/28/2028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6,445</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7/13/2027</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3,681</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14,712</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14,256</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6/30/2024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and Packaging</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ECL Entertainment,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8/31/2030</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1/10/2029</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8,821</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 Rent Corporation</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1/17/2024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2,171</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3/15/2027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5/29/2029</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12,193</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6/17/2028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3/16/2026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Trading Companies &amp; Distributors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9,110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16,453</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Commercial Services &amp; Supplies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6,090</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Integrated Data Services</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8/1/2029</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18,463</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Integrative Nutrition,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2.25%)</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15"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8/27/2026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3/3/2028</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3,861</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12/20/2023</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2/18/2027</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10/31/2024</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14,862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2/3/2026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1/31/2030</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Industries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2,534</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5/26/2028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7,369</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(4)</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 OpCo DIP Loans</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 Gaming and Leisure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SOFR+1000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1,986</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7/31/2028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2,228</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 - Super Priority First Lien Term Loan</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 - Super Priority First Lien Unfunded Term Loan (3)</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9/30/2025</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CCECFF" w:val="clear"/>
            <w:vAlign w:val="center"/>
          </w:tcPr>
          <w:p>
            <w:pPr>
              <w:pStyle w:val="TableContents"/>
              <w:bidi w:val="0"/>
              <w:spacing w:before="0" w:after="283"/>
              <w:jc w:val="left"/>
              <w:rPr/>
            </w:pPr>
            <w:r>
              <w:rPr/>
              <w:t> </w:t>
            </w:r>
          </w:p>
        </w:tc>
        <w:tc>
          <w:tcPr>
            <w:tcW w:w="65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Marketplace Events,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9/30/2026</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4,837</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5/14/2026</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11,472</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4/16/2027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7,749</w:t>
            </w:r>
          </w:p>
        </w:tc>
        <w:tc>
          <w:tcPr>
            <w:tcW w:w="199" w:type="dxa"/>
            <w:tcBorders/>
            <w:shd w:fill="FFFFFF" w:val="clear"/>
            <w:vAlign w:val="center"/>
          </w:tcPr>
          <w:p>
            <w:pPr>
              <w:pStyle w:val="TableContents"/>
              <w:bidi w:val="0"/>
              <w:spacing w:before="0" w:after="283"/>
              <w:jc w:val="left"/>
              <w:rPr/>
            </w:pPr>
            <w:r>
              <w:rPr/>
              <w:t> </w:t>
            </w:r>
          </w:p>
        </w:tc>
      </w:tr>
      <w:tr>
        <w:trPr/>
        <w:tc>
          <w:tcPr>
            <w:tcW w:w="267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CCECFF" w:val="clear"/>
            <w:vAlign w:val="center"/>
          </w:tcPr>
          <w:p>
            <w:pPr>
              <w:pStyle w:val="TableContents"/>
              <w:bidi w:val="0"/>
              <w:spacing w:before="0" w:after="283"/>
              <w:jc w:val="left"/>
              <w:rPr/>
            </w:pPr>
            <w:r>
              <w:rPr/>
              <w:t> </w:t>
            </w:r>
          </w:p>
        </w:tc>
        <w:tc>
          <w:tcPr>
            <w:tcW w:w="62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7/25/2028</w:t>
            </w:r>
          </w:p>
        </w:tc>
        <w:tc>
          <w:tcPr>
            <w:tcW w:w="146" w:type="dxa"/>
            <w:tcBorders/>
            <w:shd w:fill="CCECFF" w:val="clear"/>
            <w:vAlign w:val="center"/>
          </w:tcPr>
          <w:p>
            <w:pPr>
              <w:pStyle w:val="TableContents"/>
              <w:bidi w:val="0"/>
              <w:spacing w:before="0" w:after="283"/>
              <w:jc w:val="left"/>
              <w:rPr/>
            </w:pPr>
            <w:r>
              <w:rPr/>
              <w:t> </w:t>
            </w:r>
          </w:p>
        </w:tc>
        <w:tc>
          <w:tcPr>
            <w:tcW w:w="195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6,244</w:t>
            </w:r>
          </w:p>
        </w:tc>
        <w:tc>
          <w:tcPr>
            <w:tcW w:w="199" w:type="dxa"/>
            <w:tcBorders/>
            <w:shd w:fill="CCEC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2,312</w:t>
            </w:r>
          </w:p>
        </w:tc>
        <w:tc>
          <w:tcPr>
            <w:tcW w:w="19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6"/>
        <w:gridCol w:w="146"/>
        <w:gridCol w:w="181"/>
        <w:gridCol w:w="434"/>
        <w:gridCol w:w="146"/>
        <w:gridCol w:w="146"/>
        <w:gridCol w:w="1797"/>
        <w:gridCol w:w="146"/>
        <w:gridCol w:w="178"/>
        <w:gridCol w:w="460"/>
        <w:gridCol w:w="211"/>
        <w:gridCol w:w="146"/>
        <w:gridCol w:w="171"/>
        <w:gridCol w:w="407"/>
        <w:gridCol w:w="146"/>
        <w:gridCol w:w="146"/>
        <w:gridCol w:w="146"/>
        <w:gridCol w:w="436"/>
        <w:gridCol w:w="146"/>
        <w:gridCol w:w="146"/>
        <w:gridCol w:w="166"/>
        <w:gridCol w:w="496"/>
        <w:gridCol w:w="146"/>
        <w:gridCol w:w="146"/>
        <w:gridCol w:w="176"/>
        <w:gridCol w:w="575"/>
        <w:gridCol w:w="199"/>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w:t>
              <w:br/>
              <w:t> Above</w:t>
              <w:br/>
              <w:t xml:space="preserve"> Index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Mission Critical Electronics,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3/28/2024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Capital Equipment</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9/28/2027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Distributors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3,355</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8/19/2026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&amp; Childcare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10,497</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Milani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6/6/2024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14,213</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5/7/2027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Acquisitions,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Finance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2,023</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Output Services Group, Inc. </w:t>
            </w:r>
            <w:r>
              <w:rPr>
                <w:rFonts w:ascii="Times New Roman" w:hAnsi="Times New Roman"/>
                <w:color w:val="000000"/>
                <w:sz w:val="8"/>
              </w:rPr>
              <w:t>(4)</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5/18/2026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Peaquod Merger Sub,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Financial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11,244</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 Beauty Holdings III,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9/29/2025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7,974</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Textiles, Apparel and Luxury Goods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4.00%)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5/8/2026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Durable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7/6/2028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10,636</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2,761</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Providers and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2/28/2028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Air Freight and Logistics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Products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10,878</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High Tech Industries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9,475</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5,116</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1.00%)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11,407</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0.50%)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6/13/2029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13,580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5/17/2028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Smile Brands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10,598</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7/17/2025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4,563</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Technology</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4,022</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Building</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8,894</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14,575</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7/18/2025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Aegis Technologies Group,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5,518</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5,382</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Construction and Engineering</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7,656</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Goods: Non-Durable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8,654</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Consumer Services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4,316</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IT Services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13,379</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and Pharmaceuticals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Junior Revolving Credit Facility</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Walker Edison Furniture Company LLC - DDTL - Unfunded </w:t>
            </w: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 Equipment, Instruments, and Components</w:t>
            </w:r>
          </w:p>
        </w:tc>
        <w:tc>
          <w:tcPr>
            <w:tcW w:w="146"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shd w:fill="CCECFF" w:val="clear"/>
            <w:vAlign w:val="center"/>
          </w:tcPr>
          <w:p>
            <w:pPr>
              <w:pStyle w:val="TableContents"/>
              <w:bidi w:val="0"/>
              <w:spacing w:before="0" w:after="283"/>
              <w:jc w:val="left"/>
              <w:rPr/>
            </w:pPr>
            <w:r>
              <w:rPr/>
              <w:t> </w:t>
            </w:r>
          </w:p>
        </w:tc>
        <w:tc>
          <w:tcPr>
            <w:tcW w:w="57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10,460</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Automobiles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16,188</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783,598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Equity Securities - 3.9%</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51"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 MPE Holdings,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 Diversified and Production</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 Common Equity</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Wholesale</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Equity Securities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gridSpan w:val="7"/>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- 1,351.4%</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804,608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785,859</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416" w:type="dxa"/>
            <w:gridSpan w:val="7"/>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- 133.2%</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77,446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—1,484.6%</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882,054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863,305</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(1,384.6)%</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(805,155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66"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615"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8"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7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58,150</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All securities are subject to a SOFR or Prime rate floor where a spread is provided, unless noted. The spread provided includes PIK interest and other fee rates, if any.</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Valued based on PSSL’s accounting policy.</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(3)</w:t>
      </w:r>
    </w:p>
    <w:p>
      <w:pPr>
        <w:pStyle w:val="TextBody"/>
        <w:bidi w:val="0"/>
        <w:jc w:val="left"/>
        <w:rPr>
          <w:rFonts w:ascii="Times New Roman" w:hAnsi="Times New Roman"/>
          <w:color w:val="000000"/>
          <w:sz w:val="12"/>
        </w:rPr>
      </w:pPr>
      <w:r>
        <w:rPr>
          <w:rFonts w:ascii="Times New Roman" w:hAnsi="Times New Roman"/>
          <w:color w:val="000000"/>
          <w:sz w:val="12"/>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jc w:val="center"/>
        <w:rPr>
          <w:rFonts w:ascii="Times New Roman" w:hAnsi="Times New Roman"/>
          <w:color w:val="000000"/>
          <w:sz w:val="16"/>
        </w:rPr>
      </w:pPr>
      <w:r>
        <w:rPr>
          <w:rFonts w:ascii="Times New Roman" w:hAnsi="Times New Roman"/>
          <w:color w:val="000000"/>
          <w:sz w:val="16"/>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Below are the consolidated statements of assets and liabilities for PSSL ($ in thousands):</w:t>
      </w:r>
    </w:p>
    <w:tbl>
      <w:tblPr>
        <w:tblW w:w="10205" w:type="dxa"/>
        <w:jc w:val="left"/>
        <w:tblInd w:w="0" w:type="dxa"/>
        <w:tblLayout w:type="fixed"/>
        <w:tblCellMar>
          <w:top w:w="28" w:type="dxa"/>
          <w:left w:w="28" w:type="dxa"/>
          <w:bottom w:w="28" w:type="dxa"/>
          <w:right w:w="28" w:type="dxa"/>
        </w:tblCellMar>
      </w:tblPr>
      <w:tblGrid>
        <w:gridCol w:w="5702"/>
        <w:gridCol w:w="196"/>
        <w:gridCol w:w="260"/>
        <w:gridCol w:w="1231"/>
        <w:gridCol w:w="146"/>
        <w:gridCol w:w="146"/>
        <w:gridCol w:w="196"/>
        <w:gridCol w:w="266"/>
        <w:gridCol w:w="1269"/>
        <w:gridCol w:w="793"/>
      </w:tblGrid>
      <w:tr>
        <w:trPr/>
        <w:tc>
          <w:tcPr>
            <w:tcW w:w="5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702"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535" w:type="dxa"/>
            <w:gridSpan w:val="2"/>
            <w:tcBorders/>
            <w:shd w:fill="FFFFFF" w:val="clear"/>
            <w:vAlign w:val="center"/>
          </w:tcPr>
          <w:p>
            <w:pPr>
              <w:pStyle w:val="TableContents"/>
              <w:bidi w:val="0"/>
              <w:spacing w:before="0" w:after="283"/>
              <w:jc w:val="center"/>
              <w:rPr/>
            </w:pPr>
            <w:r>
              <w:rPr/>
              <w:t> </w:t>
            </w:r>
          </w:p>
        </w:tc>
        <w:tc>
          <w:tcPr>
            <w:tcW w:w="793" w:type="dxa"/>
            <w:tcBorders/>
            <w:shd w:fill="FFFFFF" w:val="clear"/>
            <w:vAlign w:val="center"/>
          </w:tcPr>
          <w:p>
            <w:pPr>
              <w:pStyle w:val="TableContents"/>
              <w:bidi w:val="0"/>
              <w:spacing w:before="0" w:after="283"/>
              <w:jc w:val="center"/>
              <w:rPr/>
            </w:pPr>
            <w:r>
              <w:rPr/>
              <w:t> </w:t>
            </w:r>
          </w:p>
        </w:tc>
      </w:tr>
      <w:tr>
        <w:trPr/>
        <w:tc>
          <w:tcPr>
            <w:tcW w:w="570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535" w:type="dxa"/>
            <w:gridSpan w:val="2"/>
            <w:tcBorders/>
            <w:shd w:fill="FFFFFF" w:val="clear"/>
            <w:vAlign w:val="center"/>
          </w:tcPr>
          <w:p>
            <w:pPr>
              <w:pStyle w:val="TableContents"/>
              <w:bidi w:val="0"/>
              <w:spacing w:before="0" w:after="283"/>
              <w:jc w:val="center"/>
              <w:rPr/>
            </w:pPr>
            <w:r>
              <w:rPr/>
              <w:t> </w:t>
            </w:r>
          </w:p>
        </w:tc>
        <w:tc>
          <w:tcPr>
            <w:tcW w:w="793" w:type="dxa"/>
            <w:tcBorders/>
            <w:shd w:fill="FFFFFF" w:val="clear"/>
            <w:vAlign w:val="center"/>
          </w:tcPr>
          <w:p>
            <w:pPr>
              <w:pStyle w:val="TableContents"/>
              <w:bidi w:val="0"/>
              <w:spacing w:before="0" w:after="283"/>
              <w:jc w:val="center"/>
              <w:rPr/>
            </w:pPr>
            <w:r>
              <w:rPr/>
              <w:t> </w:t>
            </w:r>
          </w:p>
        </w:tc>
      </w:tr>
      <w:tr>
        <w:trPr/>
        <w:tc>
          <w:tcPr>
            <w:tcW w:w="5702"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96" w:type="dxa"/>
            <w:tcBorders/>
            <w:shd w:fill="CCECFF" w:val="clear"/>
            <w:vAlign w:val="center"/>
          </w:tcPr>
          <w:p>
            <w:pPr>
              <w:pStyle w:val="TableContents"/>
              <w:bidi w:val="0"/>
              <w:spacing w:before="0" w:after="283"/>
              <w:jc w:val="left"/>
              <w:rPr/>
            </w:pPr>
            <w:r>
              <w:rPr/>
              <w:t> </w:t>
            </w:r>
          </w:p>
        </w:tc>
        <w:tc>
          <w:tcPr>
            <w:tcW w:w="149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1535" w:type="dxa"/>
            <w:gridSpan w:val="2"/>
            <w:tcBorders/>
            <w:shd w:fill="CCECFF" w:val="clear"/>
            <w:vAlign w:val="center"/>
          </w:tcPr>
          <w:p>
            <w:pPr>
              <w:pStyle w:val="TableContents"/>
              <w:bidi w:val="0"/>
              <w:spacing w:before="0" w:after="283"/>
              <w:jc w:val="right"/>
              <w:rPr/>
            </w:pPr>
            <w:r>
              <w:rPr/>
              <w:t> </w:t>
            </w:r>
          </w:p>
        </w:tc>
        <w:tc>
          <w:tcPr>
            <w:tcW w:w="793" w:type="dxa"/>
            <w:tcBorders/>
            <w:shd w:fill="CCECFF" w:val="clear"/>
            <w:vAlign w:val="center"/>
          </w:tcPr>
          <w:p>
            <w:pPr>
              <w:pStyle w:val="TableContents"/>
              <w:bidi w:val="0"/>
              <w:spacing w:before="0" w:after="283"/>
              <w:jc w:val="righ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 (amortized cost—$847,548 and $804,608, respectively)</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785,859</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(cost—$36,339 and $77,446, respectively)</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77,446</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5,179</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affiliate</w:t>
            </w:r>
          </w:p>
        </w:tc>
        <w:tc>
          <w:tcPr>
            <w:tcW w:w="196" w:type="dxa"/>
            <w:tcBorders/>
            <w:shd w:fill="CCECFF" w:val="clear"/>
            <w:vAlign w:val="center"/>
          </w:tcPr>
          <w:p>
            <w:pPr>
              <w:pStyle w:val="TableContents"/>
              <w:bidi w:val="0"/>
              <w:spacing w:before="0" w:after="283"/>
              <w:jc w:val="righ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righ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2"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assets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879,393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869,410</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96" w:type="dxa"/>
            <w:tcBorders/>
            <w:shd w:fill="FFFFFF" w:val="clear"/>
            <w:vAlign w:val="center"/>
          </w:tcPr>
          <w:p>
            <w:pPr>
              <w:pStyle w:val="TableContents"/>
              <w:bidi w:val="0"/>
              <w:spacing w:before="0" w:after="283"/>
              <w:jc w:val="left"/>
              <w:rPr/>
            </w:pPr>
            <w:r>
              <w:rPr/>
              <w:t> </w:t>
            </w:r>
          </w:p>
        </w:tc>
        <w:tc>
          <w:tcPr>
            <w:tcW w:w="14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535"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payable</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48,600</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Asset-backed debt, net (par—$246,000)</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243,973</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2035 Asset-backed debt, net (par—$246,000)</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243,483</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payable to members</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240,100</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Credit facility and asset backed debt</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14,291</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investments purchased</w:t>
            </w:r>
          </w:p>
        </w:tc>
        <w:tc>
          <w:tcPr>
            <w:tcW w:w="19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13,466</w:t>
            </w:r>
          </w:p>
        </w:tc>
        <w:tc>
          <w:tcPr>
            <w:tcW w:w="793" w:type="dxa"/>
            <w:tcBorders/>
            <w:shd w:fill="FFFFFF" w:val="clear"/>
            <w:vAlign w:val="center"/>
          </w:tcPr>
          <w:p>
            <w:pPr>
              <w:pStyle w:val="TableContents"/>
              <w:bidi w:val="0"/>
              <w:spacing w:before="0" w:after="283"/>
              <w:jc w:val="left"/>
              <w:rPr/>
            </w:pPr>
            <w:r>
              <w:rPr/>
              <w:t> </w:t>
            </w:r>
          </w:p>
        </w:tc>
      </w:tr>
      <w:tr>
        <w:trPr/>
        <w:tc>
          <w:tcPr>
            <w:tcW w:w="570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notes to members</w:t>
            </w:r>
          </w:p>
        </w:tc>
        <w:tc>
          <w:tcPr>
            <w:tcW w:w="196" w:type="dxa"/>
            <w:tcBorders/>
            <w:shd w:fill="CCECFF" w:val="clear"/>
            <w:vAlign w:val="center"/>
          </w:tcPr>
          <w:p>
            <w:pPr>
              <w:pStyle w:val="TableContents"/>
              <w:bidi w:val="0"/>
              <w:spacing w:before="0" w:after="283"/>
              <w:jc w:val="left"/>
              <w:rPr/>
            </w:pPr>
            <w:r>
              <w:rPr/>
              <w:t> </w:t>
            </w:r>
          </w:p>
        </w:tc>
        <w:tc>
          <w:tcPr>
            <w:tcW w:w="260" w:type="dxa"/>
            <w:tcBorders/>
            <w:shd w:fill="CCECFF" w:val="clear"/>
            <w:vAlign w:val="center"/>
          </w:tcPr>
          <w:p>
            <w:pPr>
              <w:pStyle w:val="TableContents"/>
              <w:bidi w:val="0"/>
              <w:spacing w:before="0" w:after="283"/>
              <w:jc w:val="left"/>
              <w:rPr/>
            </w:pPr>
            <w:r>
              <w:rPr/>
              <w:t> </w:t>
            </w:r>
          </w:p>
        </w:tc>
        <w:tc>
          <w:tcPr>
            <w:tcW w:w="123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26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w:t>
            </w:r>
          </w:p>
        </w:tc>
        <w:tc>
          <w:tcPr>
            <w:tcW w:w="793" w:type="dxa"/>
            <w:tcBorders/>
            <w:shd w:fill="CCECFF" w:val="cle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2"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819,817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811,260</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Commitments and contingencies</w:t>
            </w:r>
            <w:r>
              <w:rPr>
                <w:rFonts w:ascii="Times New Roman" w:hAnsi="Times New Roman"/>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5702"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Members' equity</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59,576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58,150</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 and members'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869,410</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8"/>
        </w:rPr>
        <w:t>(1)</w:t>
      </w:r>
      <w:r>
        <w:rPr>
          <w:rFonts w:ascii="Times New Roman" w:hAnsi="Times New Roman"/>
          <w:color w:val="000000"/>
          <w:sz w:val="20"/>
        </w:rPr>
        <w:t xml:space="preserve"> </w:t>
      </w:r>
      <w:r>
        <w:rPr>
          <w:rFonts w:ascii="Times New Roman" w:hAnsi="Times New Roman"/>
          <w:color w:val="000000"/>
          <w:sz w:val="12"/>
        </w:rPr>
        <w:t>As of December 31, 2023 and September 30, 2023, PSSL had unfunded commitments to fund investments of $1.6 million and $1.1 million, respectively.</w:t>
      </w:r>
    </w:p>
    <w:p>
      <w:pPr>
        <w:pStyle w:val="TextBody"/>
        <w:bidi w:val="0"/>
        <w:jc w:val="left"/>
        <w:rPr/>
      </w:pPr>
      <w:r>
        <w:rPr/>
        <w:t>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Below are the consolidated statements of operations for PSSL ($ in thousands):</w:t>
      </w:r>
    </w:p>
    <w:tbl>
      <w:tblPr>
        <w:tblW w:w="8235" w:type="dxa"/>
        <w:jc w:val="left"/>
        <w:tblInd w:w="0" w:type="dxa"/>
        <w:tblLayout w:type="fixed"/>
        <w:tblCellMar>
          <w:top w:w="28" w:type="dxa"/>
          <w:left w:w="28" w:type="dxa"/>
          <w:bottom w:w="28" w:type="dxa"/>
          <w:right w:w="28" w:type="dxa"/>
        </w:tblCellMar>
      </w:tblPr>
      <w:tblGrid>
        <w:gridCol w:w="5086"/>
        <w:gridCol w:w="146"/>
        <w:gridCol w:w="266"/>
        <w:gridCol w:w="818"/>
        <w:gridCol w:w="226"/>
        <w:gridCol w:w="198"/>
        <w:gridCol w:w="266"/>
        <w:gridCol w:w="818"/>
        <w:gridCol w:w="4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shd w:fill="FFFFFF" w:val="cle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084"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11" w:type="dxa"/>
            <w:tcBorders/>
            <w:shd w:fill="FFFFFF" w:val="cle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CCECFF" w:val="clear"/>
            <w:vAlign w:val="center"/>
          </w:tcPr>
          <w:p>
            <w:pPr>
              <w:pStyle w:val="TableContents"/>
              <w:bidi w:val="0"/>
              <w:spacing w:before="0" w:after="283"/>
              <w:jc w:val="right"/>
              <w:rPr/>
            </w:pPr>
            <w:r>
              <w:rPr/>
              <w:t> </w:t>
            </w:r>
          </w:p>
        </w:tc>
        <w:tc>
          <w:tcPr>
            <w:tcW w:w="2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26,048</w:t>
            </w:r>
          </w:p>
        </w:tc>
        <w:tc>
          <w:tcPr>
            <w:tcW w:w="22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19,617</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26,225</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19,727</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Expenses</w:t>
            </w:r>
            <w:r>
              <w:rPr>
                <w:rFonts w:ascii="Times New Roman" w:hAnsi="Times New Roman"/>
                <w:b/>
                <w:color w:val="000000"/>
                <w:sz w:val="11"/>
              </w:rPr>
              <w:t>(1)</w:t>
            </w: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and expense on credit facility and asset-backed debt</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13,398</w:t>
            </w:r>
          </w:p>
        </w:tc>
        <w:tc>
          <w:tcPr>
            <w:tcW w:w="22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8,641</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expense on notes to members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8,220</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Administration fees</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w:t>
            </w:r>
          </w:p>
        </w:tc>
        <w:tc>
          <w:tcPr>
            <w:tcW w:w="22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81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expenses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22,438</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16,259</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w:t>
            </w:r>
          </w:p>
        </w:tc>
        <w:tc>
          <w:tcPr>
            <w:tcW w:w="146" w:type="dxa"/>
            <w:tcBorders/>
            <w:shd w:fill="CCECFF" w:val="clear"/>
            <w:vAlign w:val="center"/>
          </w:tcPr>
          <w:p>
            <w:pPr>
              <w:pStyle w:val="TableContents"/>
              <w:bidi w:val="0"/>
              <w:spacing w:before="0" w:after="283"/>
              <w:jc w:val="left"/>
              <w:rPr/>
            </w:pPr>
            <w:r>
              <w:rPr/>
              <w:t> </w:t>
            </w:r>
          </w:p>
        </w:tc>
        <w:tc>
          <w:tcPr>
            <w:tcW w:w="1084" w:type="dxa"/>
            <w:gridSpan w:val="2"/>
            <w:tcBorders/>
            <w:shd w:fill="CCECFF" w:val="clear"/>
            <w:vAlign w:val="center"/>
          </w:tcPr>
          <w:p>
            <w:pPr>
              <w:pStyle w:val="TableContents"/>
              <w:bidi w:val="0"/>
              <w:spacing w:before="0" w:after="283"/>
              <w:jc w:val="right"/>
              <w:rPr/>
            </w:pPr>
            <w:r>
              <w:rPr/>
              <w:t> </w:t>
            </w:r>
          </w:p>
        </w:tc>
        <w:tc>
          <w:tcPr>
            <w:tcW w:w="22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1084"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(6,420</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8,059</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members' equity resulting from operations</w:t>
            </w:r>
          </w:p>
        </w:tc>
        <w:tc>
          <w:tcPr>
            <w:tcW w:w="146" w:type="dxa"/>
            <w:tcBorders/>
            <w:shd w:fill="CCECFF" w:val="clear"/>
            <w:vAlign w:val="center"/>
          </w:tcPr>
          <w:p>
            <w:pPr>
              <w:pStyle w:val="TableContents"/>
              <w:bidi w:val="0"/>
              <w:spacing w:before="0" w:after="283"/>
              <w:jc w:val="right"/>
              <w:rPr/>
            </w:pPr>
            <w:r>
              <w:rPr/>
              <w:t> </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5,426</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jc w:val="left"/>
        <w:rPr>
          <w:rFonts w:ascii="Times New Roman" w:hAnsi="Times New Roman"/>
          <w:color w:val="000000"/>
          <w:sz w:val="12"/>
        </w:rPr>
      </w:pPr>
      <w:r>
        <w:rPr>
          <w:rFonts w:ascii="Times New Roman" w:hAnsi="Times New Roman"/>
          <w:color w:val="000000"/>
          <w:sz w:val="12"/>
        </w:rPr>
        <w:t>Currently, no management or incentive fees are payable by PSSL. If any fees were to be charged, they would be separately disclosed in the Statements of Operations.</w:t>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Off-Balance Sheet Arrangements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currently engage in no off-balance sheet arrangements other than our funding requirements for the unfunded investments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16"/>
        </w:rPr>
        <w:t>Distributions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During the three months ended December 31, 2023 and 2022, we declared distributions of $0.3075 and $0.285 per share for total distributions of $18.1 million and $12.9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intend to continue to make monthly distributions to our stockholders. Our monthly distributions, if any, are determined by our board of directors quarterly.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Recent Accounting Pronouncements</w:t>
      </w:r>
    </w:p>
    <w:p>
      <w:pPr>
        <w:pStyle w:val="TextBody"/>
        <w:bidi w:val="0"/>
        <w:jc w:val="both"/>
        <w:rPr>
          <w:rFonts w:ascii="Times New Roman" w:hAnsi="Times New Roman"/>
          <w:color w:val="000000"/>
          <w:sz w:val="16"/>
        </w:rPr>
      </w:pPr>
      <w:r>
        <w:rPr>
          <w:rFonts w:ascii="Times New Roman" w:hAnsi="Times New Roman"/>
          <w:color w:val="000000"/>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months ended December 31, 2023, the effect of which was not material to the consolidated financial statements and the notes thereto.</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6"/>
        </w:rPr>
      </w:pPr>
      <w:bookmarkStart w:id="18" w:name="item_3_quantitative_qualitative_disclosu"/>
      <w:bookmarkEnd w:id="18"/>
      <w:r>
        <w:rPr>
          <w:rFonts w:ascii="Times New Roman" w:hAnsi="Times New Roman"/>
          <w:b/>
          <w:color w:val="000000"/>
          <w:sz w:val="16"/>
        </w:rPr>
        <w:t>Item 3. Quantitative and Qualitative Disclosures About Market Risk</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are subject to financial market risks, including changes in interest rates. As of December 31, 2023, our debt portfolio consisted of approximately 100.0%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pStyle w:val="TextBody"/>
        <w:bidi w:val="0"/>
        <w:jc w:val="both"/>
        <w:rPr/>
      </w:pPr>
      <w:r>
        <w:rPr/>
        <w:t> </w:t>
      </w:r>
    </w:p>
    <w:tbl>
      <w:tblPr>
        <w:tblW w:w="6730" w:type="dxa"/>
        <w:jc w:val="left"/>
        <w:tblInd w:w="0" w:type="dxa"/>
        <w:tblLayout w:type="fixed"/>
        <w:tblCellMar>
          <w:top w:w="28" w:type="dxa"/>
          <w:left w:w="28" w:type="dxa"/>
          <w:bottom w:w="28" w:type="dxa"/>
          <w:right w:w="28" w:type="dxa"/>
        </w:tblCellMar>
      </w:tblPr>
      <w:tblGrid>
        <w:gridCol w:w="1906"/>
        <w:gridCol w:w="146"/>
        <w:gridCol w:w="516"/>
        <w:gridCol w:w="1584"/>
        <w:gridCol w:w="166"/>
        <w:gridCol w:w="146"/>
        <w:gridCol w:w="595"/>
        <w:gridCol w:w="1460"/>
        <w:gridCol w:w="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in Interest Income, </w:t>
              <w:br/>
              <w:t>Net of Interest Expense</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Interest Income,</w:t>
              <w:br/>
              <w:t>Net of Interest</w:t>
              <w:br/>
              <w:t>Expense Per 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Down 1%</w:t>
            </w:r>
          </w:p>
        </w:tc>
        <w:tc>
          <w:tcPr>
            <w:tcW w:w="146" w:type="dxa"/>
            <w:tcBorders/>
            <w:shd w:fill="CCECFF" w:val="clear"/>
            <w:vAlign w:val="center"/>
          </w:tcPr>
          <w:p>
            <w:pPr>
              <w:pStyle w:val="TableContents"/>
              <w:bidi w:val="0"/>
              <w:spacing w:before="0" w:after="283"/>
              <w:jc w:val="left"/>
              <w:rPr/>
            </w:pPr>
            <w:r>
              <w:rPr/>
              <w:t> </w:t>
            </w:r>
          </w:p>
        </w:tc>
        <w:tc>
          <w:tcPr>
            <w:tcW w:w="51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(6,603</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59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1%</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21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2%</w:t>
            </w:r>
          </w:p>
        </w:tc>
        <w:tc>
          <w:tcPr>
            <w:tcW w:w="146" w:type="dxa"/>
            <w:tcBorders/>
            <w:shd w:fill="CCECFF" w:val="clear"/>
            <w:vAlign w:val="center"/>
          </w:tcPr>
          <w:p>
            <w:pPr>
              <w:pStyle w:val="TableContents"/>
              <w:bidi w:val="0"/>
              <w:spacing w:before="0" w:after="283"/>
              <w:jc w:val="left"/>
              <w:rPr/>
            </w:pPr>
            <w:r>
              <w:rPr/>
              <w:t> </w:t>
            </w:r>
          </w:p>
        </w:tc>
        <w:tc>
          <w:tcPr>
            <w:tcW w:w="516" w:type="dxa"/>
            <w:tcBorders/>
            <w:shd w:fill="CCECFF" w:val="clear"/>
            <w:vAlign w:val="center"/>
          </w:tcPr>
          <w:p>
            <w:pPr>
              <w:pStyle w:val="TableContents"/>
              <w:bidi w:val="0"/>
              <w:spacing w:before="0" w:after="283"/>
              <w:jc w:val="left"/>
              <w:rPr/>
            </w:pPr>
            <w:r>
              <w:rPr/>
              <w:t> </w:t>
            </w:r>
          </w:p>
        </w:tc>
        <w:tc>
          <w:tcPr>
            <w:tcW w:w="158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95" w:type="dxa"/>
            <w:tcBorders/>
            <w:shd w:fill="CCECFF" w:val="clear"/>
            <w:vAlign w:val="center"/>
          </w:tcPr>
          <w:p>
            <w:pPr>
              <w:pStyle w:val="TableContents"/>
              <w:bidi w:val="0"/>
              <w:spacing w:before="0" w:after="283"/>
              <w:jc w:val="left"/>
              <w:rPr/>
            </w:pPr>
            <w:r>
              <w:rPr/>
              <w:t> </w:t>
            </w:r>
          </w:p>
        </w:tc>
        <w:tc>
          <w:tcPr>
            <w:tcW w:w="146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211" w:type="dxa"/>
            <w:tcBorders/>
            <w:shd w:fill="CCECFF"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3%</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21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4%</w:t>
            </w:r>
          </w:p>
        </w:tc>
        <w:tc>
          <w:tcPr>
            <w:tcW w:w="146" w:type="dxa"/>
            <w:tcBorders/>
            <w:shd w:fill="CCECFF" w:val="clear"/>
            <w:vAlign w:val="center"/>
          </w:tcPr>
          <w:p>
            <w:pPr>
              <w:pStyle w:val="TableContents"/>
              <w:bidi w:val="0"/>
              <w:spacing w:before="0" w:after="283"/>
              <w:jc w:val="left"/>
              <w:rPr/>
            </w:pPr>
            <w:r>
              <w:rPr/>
              <w:t> </w:t>
            </w:r>
          </w:p>
        </w:tc>
        <w:tc>
          <w:tcPr>
            <w:tcW w:w="516" w:type="dxa"/>
            <w:tcBorders/>
            <w:shd w:fill="CCECFF" w:val="clear"/>
            <w:vAlign w:val="center"/>
          </w:tcPr>
          <w:p>
            <w:pPr>
              <w:pStyle w:val="TableContents"/>
              <w:bidi w:val="0"/>
              <w:spacing w:before="0" w:after="283"/>
              <w:jc w:val="left"/>
              <w:rPr/>
            </w:pPr>
            <w:r>
              <w:rPr/>
              <w:t> </w:t>
            </w:r>
          </w:p>
        </w:tc>
        <w:tc>
          <w:tcPr>
            <w:tcW w:w="158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95" w:type="dxa"/>
            <w:tcBorders/>
            <w:shd w:fill="CCECFF" w:val="clear"/>
            <w:vAlign w:val="center"/>
          </w:tcPr>
          <w:p>
            <w:pPr>
              <w:pStyle w:val="TableContents"/>
              <w:bidi w:val="0"/>
              <w:spacing w:before="0" w:after="283"/>
              <w:jc w:val="left"/>
              <w:rPr/>
            </w:pPr>
            <w:r>
              <w:rPr/>
              <w:t> </w:t>
            </w:r>
          </w:p>
        </w:tc>
        <w:tc>
          <w:tcPr>
            <w:tcW w:w="146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211"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pStyle w:val="TextBody"/>
        <w:bidi w:val="0"/>
        <w:jc w:val="left"/>
        <w:rPr>
          <w:rFonts w:ascii="Times New Roman" w:hAnsi="Times New Roman"/>
          <w:b/>
          <w:color w:val="000000"/>
          <w:sz w:val="16"/>
        </w:rPr>
      </w:pPr>
      <w:bookmarkStart w:id="19" w:name="item_4_controls_and_proc"/>
      <w:bookmarkEnd w:id="19"/>
      <w:r>
        <w:rPr>
          <w:rFonts w:ascii="Times New Roman" w:hAnsi="Times New Roman"/>
          <w:b/>
          <w:color w:val="000000"/>
          <w:sz w:val="16"/>
        </w:rPr>
        <w:t>Item 4. Controls and Procedures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the quarter ended December 31, 2023, we, including our Chief Executive Officer and Chief Financial Officer, evaluated the effectiveness of the design and operation of our disclosure controls and procedures (as defined in Rule 13a-15(e) under the Exchange Act). As disclosed in our Annual Report on Form 10-K for the fiscal year ended September 30, 2023, a material weakness was previously identified in connection with our internal control over financial reporting relating to the review of quarterly cash and investment reconciliations. Additionally, a material weakness was identified in the operation of our internal controls over financial reporting relating to our review of interest income and non-accrual classification of investments. We have taken steps to remediate these material weaknesses, which steps have included (i) enhancing existing controls to ensure the appropriate review of the quarterly cash and investment reconciliation and that it is adequately documented so as to provide evidence that the controls are operating effectively, (ii) enhancing existing controls to ensure that our internal controls over financial reporting relating to our analysis of interest income and assessment of investments for classification as non-accrual investments are operating effectively and (iii) enhancing policies and procedures to demonstrate a commitment to improving our overall control environment.</w:t>
      </w:r>
    </w:p>
    <w:p>
      <w:pPr>
        <w:pStyle w:val="TextBody"/>
        <w:bidi w:val="0"/>
        <w:jc w:val="center"/>
        <w:rPr>
          <w:rFonts w:ascii="Times New Roman" w:hAnsi="Times New Roman"/>
          <w:color w:val="000000"/>
          <w:sz w:val="16"/>
        </w:rPr>
      </w:pPr>
      <w:r>
        <w:rPr>
          <w:rFonts w:ascii="Times New Roman" w:hAnsi="Times New Roman"/>
          <w:color w:val="000000"/>
          <w:sz w:val="16"/>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Taking the above efforts into consideration, our management, including the Chief Executive Officer and Chief Financial Officer, concluded that our disclosure controls and procedures for the quarter ended December 31, 2023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bidi w:val="0"/>
        <w:jc w:val="both"/>
        <w:rPr>
          <w:rFonts w:ascii="Times New Roman" w:hAnsi="Times New Roman"/>
          <w:sz w:val="20"/>
        </w:rPr>
      </w:pPr>
      <w:r>
        <w:rPr>
          <w:rFonts w:ascii="Times New Roman" w:hAnsi="Times New Roman"/>
          <w:color w:val="000000"/>
          <w:sz w:val="16"/>
        </w:rPr>
        <w:t>Other than disclosed in this Item 4, there have been no changes in our internal control over financial reporting that occurred during the quarter ended December 31, 2023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6"/>
        </w:rPr>
      </w:pPr>
      <w:bookmarkStart w:id="20" w:name="part_ii_or_information"/>
      <w:bookmarkEnd w:id="20"/>
      <w:r>
        <w:rPr>
          <w:rFonts w:ascii="Times New Roman" w:hAnsi="Times New Roman"/>
          <w:b/>
          <w:color w:val="000000"/>
          <w:sz w:val="16"/>
        </w:rPr>
        <w:t>PART II – OTHER INFORMATION</w:t>
      </w:r>
    </w:p>
    <w:p>
      <w:pPr>
        <w:pStyle w:val="TextBody"/>
        <w:bidi w:val="0"/>
        <w:spacing w:before="160" w:after="283"/>
        <w:jc w:val="left"/>
        <w:rPr>
          <w:rFonts w:ascii="Times New Roman" w:hAnsi="Times New Roman"/>
          <w:sz w:val="20"/>
        </w:rPr>
      </w:pPr>
      <w:bookmarkStart w:id="21" w:name="item_1_3_5"/>
      <w:bookmarkStart w:id="22" w:name="toc90073_14"/>
      <w:bookmarkEnd w:id="21"/>
      <w:bookmarkEnd w:id="22"/>
      <w:r>
        <w:rPr>
          <w:rFonts w:ascii="Times New Roman" w:hAnsi="Times New Roman"/>
          <w:b/>
          <w:color w:val="000000"/>
          <w:sz w:val="16"/>
        </w:rPr>
        <w:t>Item 1. Legal</w:t>
      </w:r>
      <w:bookmarkStart w:id="23" w:name="item_1_legal_proceedings"/>
      <w:bookmarkEnd w:id="23"/>
      <w:r>
        <w:rPr>
          <w:rFonts w:ascii="Times New Roman" w:hAnsi="Times New Roman"/>
          <w:color w:val="000000"/>
          <w:sz w:val="20"/>
        </w:rPr>
        <w:t xml:space="preserve"> </w:t>
      </w:r>
      <w:r>
        <w:rPr>
          <w:rFonts w:ascii="Times New Roman" w:hAnsi="Times New Roman"/>
          <w:b/>
          <w:color w:val="000000"/>
          <w:sz w:val="16"/>
        </w:rPr>
        <w:t>Proceedings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pStyle w:val="TextBody"/>
        <w:bidi w:val="0"/>
        <w:spacing w:before="160" w:after="283"/>
        <w:jc w:val="left"/>
        <w:rPr>
          <w:rFonts w:ascii="Times New Roman" w:hAnsi="Times New Roman"/>
          <w:sz w:val="20"/>
        </w:rPr>
      </w:pPr>
      <w:bookmarkStart w:id="24" w:name="item_1_3_6"/>
      <w:bookmarkStart w:id="25" w:name="toc90073_15"/>
      <w:bookmarkEnd w:id="24"/>
      <w:bookmarkEnd w:id="25"/>
      <w:r>
        <w:rPr>
          <w:rFonts w:ascii="Times New Roman" w:hAnsi="Times New Roman"/>
          <w:b/>
          <w:color w:val="000000"/>
          <w:sz w:val="16"/>
        </w:rPr>
        <w:t>Item 1A. R</w:t>
      </w:r>
      <w:bookmarkStart w:id="26" w:name="item_1a_risk_factors"/>
      <w:bookmarkEnd w:id="26"/>
      <w:r>
        <w:rPr>
          <w:rFonts w:ascii="Times New Roman" w:hAnsi="Times New Roman"/>
          <w:b/>
          <w:color w:val="000000"/>
          <w:sz w:val="16"/>
        </w:rPr>
        <w:t>isk Factors</w:t>
      </w:r>
      <w:r>
        <w:rPr>
          <w:rFonts w:ascii="Times New Roman" w:hAnsi="Times New Roman"/>
          <w:color w:val="000000"/>
          <w:sz w:val="20"/>
        </w:rPr>
        <w:t xml:space="preserve"> </w:t>
      </w:r>
    </w:p>
    <w:p>
      <w:pPr>
        <w:pStyle w:val="TextBody"/>
        <w:bidi w:val="0"/>
        <w:ind w:left="0" w:right="115" w:firstLine="720"/>
        <w:jc w:val="left"/>
        <w:rPr/>
      </w:pPr>
      <w:r>
        <w:rPr/>
        <w:t> </w:t>
      </w:r>
    </w:p>
    <w:p>
      <w:pPr>
        <w:pStyle w:val="TextBody"/>
        <w:bidi w:val="0"/>
        <w:ind w:left="0" w:right="0" w:firstLine="432"/>
        <w:jc w:val="left"/>
        <w:rPr>
          <w:rFonts w:ascii="Times New Roman" w:hAnsi="Times New Roman"/>
          <w:color w:val="000000"/>
          <w:sz w:val="16"/>
        </w:rPr>
      </w:pPr>
      <w:r>
        <w:rPr>
          <w:rFonts w:ascii="Times New Roman" w:hAnsi="Times New Roman"/>
          <w:color w:val="000000"/>
          <w:sz w:val="16"/>
        </w:rPr>
        <w:t>In addition to the other information set forth in this Report, you should consider carefully the factors discussed below, as well as in Part I “Item 1A. Risk Factors” in our Annual Report on Form 10-K for the fiscal year ended September 30, 2023 filed on December 8, 2023,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6"/>
        </w:rPr>
      </w:pPr>
      <w:bookmarkStart w:id="27" w:name="item_2_unregistered_sales_equity_securit"/>
      <w:bookmarkEnd w:id="27"/>
      <w:r>
        <w:rPr>
          <w:rFonts w:ascii="Times New Roman" w:hAnsi="Times New Roman"/>
          <w:b/>
          <w:color w:val="000000"/>
          <w:sz w:val="16"/>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None.</w:t>
      </w:r>
    </w:p>
    <w:p>
      <w:pPr>
        <w:pStyle w:val="TextBody"/>
        <w:bidi w:val="0"/>
        <w:spacing w:before="160" w:after="283"/>
        <w:jc w:val="left"/>
        <w:rPr>
          <w:rFonts w:ascii="Times New Roman" w:hAnsi="Times New Roman"/>
          <w:sz w:val="20"/>
        </w:rPr>
      </w:pPr>
      <w:bookmarkStart w:id="28" w:name="item_1_3_8"/>
      <w:bookmarkStart w:id="29" w:name="toc90073_17"/>
      <w:bookmarkEnd w:id="28"/>
      <w:bookmarkEnd w:id="29"/>
      <w:r>
        <w:rPr>
          <w:rFonts w:ascii="Times New Roman" w:hAnsi="Times New Roman"/>
          <w:b/>
          <w:color w:val="000000"/>
          <w:sz w:val="16"/>
        </w:rPr>
        <w:t>Item 3. Defaults Upo</w:t>
      </w:r>
      <w:bookmarkStart w:id="30" w:name="item_3_defaults_upon_senior_securities"/>
      <w:bookmarkEnd w:id="30"/>
      <w:r>
        <w:rPr>
          <w:rFonts w:ascii="Times New Roman" w:hAnsi="Times New Roman"/>
          <w:b/>
          <w:color w:val="000000"/>
          <w:sz w:val="16"/>
        </w:rPr>
        <w:t>n Senior Securities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None.</w:t>
      </w:r>
    </w:p>
    <w:p>
      <w:pPr>
        <w:pStyle w:val="TextBody"/>
        <w:bidi w:val="0"/>
        <w:spacing w:before="160" w:after="283"/>
        <w:jc w:val="left"/>
        <w:rPr>
          <w:rFonts w:ascii="Times New Roman" w:hAnsi="Times New Roman"/>
          <w:sz w:val="20"/>
        </w:rPr>
      </w:pPr>
      <w:bookmarkStart w:id="31" w:name="item_1_3_9"/>
      <w:bookmarkStart w:id="32" w:name="toc90073_18"/>
      <w:bookmarkEnd w:id="31"/>
      <w:bookmarkEnd w:id="32"/>
      <w:r>
        <w:rPr>
          <w:rFonts w:ascii="Times New Roman" w:hAnsi="Times New Roman"/>
          <w:b/>
          <w:color w:val="000000"/>
          <w:sz w:val="16"/>
        </w:rPr>
        <w:t>Item 4. Mine Saf</w:t>
      </w:r>
      <w:bookmarkStart w:id="33" w:name="item_4_mine_safety_disclosures"/>
      <w:bookmarkEnd w:id="33"/>
      <w:r>
        <w:rPr>
          <w:rFonts w:ascii="Times New Roman" w:hAnsi="Times New Roman"/>
          <w:b/>
          <w:color w:val="000000"/>
          <w:sz w:val="16"/>
        </w:rPr>
        <w:t>ety Disclosures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Not applicable.</w:t>
      </w:r>
    </w:p>
    <w:p>
      <w:pPr>
        <w:pStyle w:val="TextBody"/>
        <w:bidi w:val="0"/>
        <w:spacing w:before="160" w:after="283"/>
        <w:jc w:val="left"/>
        <w:rPr>
          <w:rFonts w:ascii="Times New Roman" w:hAnsi="Times New Roman"/>
          <w:sz w:val="20"/>
        </w:rPr>
      </w:pPr>
      <w:bookmarkStart w:id="34" w:name="toc90073_19"/>
      <w:bookmarkEnd w:id="34"/>
      <w:r>
        <w:rPr>
          <w:rFonts w:ascii="Times New Roman" w:hAnsi="Times New Roman"/>
          <w:b/>
          <w:color w:val="000000"/>
          <w:sz w:val="16"/>
        </w:rPr>
        <w:t>Item 5. Other</w:t>
      </w:r>
      <w:bookmarkStart w:id="35" w:name="item_5_or_information"/>
      <w:bookmarkEnd w:id="35"/>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left"/>
        <w:rPr/>
      </w:pPr>
      <w:bookmarkStart w:id="36" w:name="toc90073_20"/>
      <w:bookmarkEnd w:id="36"/>
      <w:r>
        <w:rPr/>
        <w:t> </w:t>
      </w:r>
    </w:p>
    <w:p>
      <w:pPr>
        <w:pStyle w:val="TextBody"/>
        <w:bidi w:val="0"/>
        <w:jc w:val="left"/>
        <w:rPr>
          <w:rFonts w:ascii="Times New Roman" w:hAnsi="Times New Roman"/>
          <w:b/>
          <w:color w:val="000000"/>
          <w:sz w:val="16"/>
        </w:rPr>
      </w:pPr>
      <w:r>
        <w:rPr>
          <w:rFonts w:ascii="Times New Roman" w:hAnsi="Times New Roman"/>
          <w:b/>
          <w:color w:val="000000"/>
          <w:sz w:val="16"/>
        </w:rPr>
        <w:t>10b5-1 Disclosure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None of the officers or directors of the Company have adopted</w:t>
      </w:r>
      <w:r>
        <w:rPr>
          <w:rFonts w:ascii="Times New Roman" w:hAnsi="Times New Roman"/>
          <w:color w:val="000000"/>
          <w:sz w:val="20"/>
        </w:rPr>
        <w:t xml:space="preserve"> </w:t>
      </w:r>
      <w:r>
        <w:rPr>
          <w:rFonts w:ascii="Times New Roman" w:hAnsi="Times New Roman"/>
          <w:color w:val="000000"/>
          <w:sz w:val="16"/>
        </w:rPr>
        <w:t>or terminated</w:t>
      </w:r>
      <w:r>
        <w:rPr>
          <w:rFonts w:ascii="Times New Roman" w:hAnsi="Times New Roman"/>
          <w:color w:val="000000"/>
          <w:sz w:val="20"/>
        </w:rPr>
        <w:t xml:space="preserve"> </w:t>
      </w:r>
      <w:r>
        <w:rPr>
          <w:rFonts w:ascii="Times New Roman" w:hAnsi="Times New Roman"/>
          <w:color w:val="000000"/>
          <w:sz w:val="16"/>
        </w:rPr>
        <w:t>any Rule 10b5-1 trading arrangements applicable to them (if any) or the Company.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7" w:name="item_6_exhibits"/>
      <w:bookmarkEnd w:id="37"/>
      <w:r>
        <w:rPr>
          <w:rFonts w:ascii="Times New Roman" w:hAnsi="Times New Roman"/>
          <w:b/>
          <w:color w:val="000000"/>
          <w:sz w:val="16"/>
        </w:rPr>
        <w:t>Item 6.</w:t>
      </w:r>
      <w:r>
        <w:rPr>
          <w:rFonts w:ascii="Times New Roman" w:hAnsi="Times New Roman"/>
          <w:color w:val="000000"/>
          <w:sz w:val="20"/>
        </w:rPr>
        <w:t xml:space="preserve"> </w:t>
      </w:r>
      <w:r>
        <w:rPr>
          <w:rFonts w:ascii="Times New Roman" w:hAnsi="Times New Roman"/>
          <w:b/>
          <w:color w:val="000000"/>
          <w:sz w:val="16"/>
        </w:rPr>
        <w:t>Exhibits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Unless specifically indicated otherwise, the following exhibits are incorporated by reference to exhibits previously filed with the SEC: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7"/>
        <w:gridCol w:w="9538"/>
      </w:tblGrid>
      <w:tr>
        <w:trPr/>
        <w:tc>
          <w:tcPr>
            <w:tcW w:w="667" w:type="dxa"/>
            <w:tcBorders/>
            <w:vAlign w:val="center"/>
          </w:tcPr>
          <w:p>
            <w:pPr>
              <w:pStyle w:val="TableContents"/>
              <w:bidi w:val="0"/>
              <w:spacing w:before="0" w:after="283"/>
              <w:jc w:val="left"/>
              <w:rPr>
                <w:sz w:val="4"/>
                <w:szCs w:val="4"/>
              </w:rPr>
            </w:pPr>
            <w:r>
              <w:rPr>
                <w:sz w:val="4"/>
                <w:szCs w:val="4"/>
              </w:rPr>
            </w:r>
          </w:p>
        </w:tc>
        <w:tc>
          <w:tcPr>
            <w:tcW w:w="9538"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w:t>
            </w:r>
          </w:p>
        </w:tc>
        <w:tc>
          <w:tcPr>
            <w:tcW w:w="9538" w:type="dxa"/>
            <w:tcBorders/>
            <w:vAlign w:val="center"/>
          </w:tcPr>
          <w:p>
            <w:pPr>
              <w:pStyle w:val="TableContents"/>
              <w:bidi w:val="0"/>
              <w:spacing w:before="0" w:after="283"/>
              <w:jc w:val="left"/>
              <w:rPr/>
            </w:pPr>
            <w:hyperlink r:id="rId2">
              <w:r>
                <w:rPr>
                  <w:rStyle w:val="InternetLink"/>
                  <w:rFonts w:ascii="Times New Roman" w:hAnsi="Times New Roman"/>
                  <w:color w:val="0000FF"/>
                  <w:sz w:val="16"/>
                  <w:u w:val="single"/>
                </w:rPr>
                <w:t>Articles of Amendment and Restatement of the Registrant (Incorporated by reference to Exhibit 99(A) to the Registrant's Pre-Effective Amendment No. 3 to the Registration Statement on Form N-2 (File No. 333-170243), filed on March 29, 2011).</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3.2</w:t>
            </w:r>
          </w:p>
        </w:tc>
        <w:tc>
          <w:tcPr>
            <w:tcW w:w="9538" w:type="dxa"/>
            <w:tcBorders/>
            <w:vAlign w:val="center"/>
          </w:tcPr>
          <w:p>
            <w:pPr>
              <w:pStyle w:val="TableContents"/>
              <w:bidi w:val="0"/>
              <w:spacing w:before="0" w:after="283"/>
              <w:jc w:val="left"/>
              <w:rPr/>
            </w:pPr>
            <w:hyperlink r:id="rId3">
              <w:r>
                <w:rPr>
                  <w:rStyle w:val="InternetLink"/>
                  <w:rFonts w:ascii="Times New Roman" w:hAnsi="Times New Roman"/>
                  <w:color w:val="0000FF"/>
                  <w:sz w:val="16"/>
                  <w:u w:val="single"/>
                </w:rPr>
                <w:t>Second Amended and Restated Bylaws of the Registrant (Incorporated by reference to Exhibit 3.2 to the Registrant's Quarterly Report on Form 10-Q (File No. 814-00891), filed on May 11, 2020).</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4.1</w:t>
            </w:r>
          </w:p>
        </w:tc>
        <w:tc>
          <w:tcPr>
            <w:tcW w:w="9538" w:type="dxa"/>
            <w:tcBorders/>
            <w:vAlign w:val="center"/>
          </w:tcPr>
          <w:p>
            <w:pPr>
              <w:pStyle w:val="TableContents"/>
              <w:bidi w:val="0"/>
              <w:spacing w:before="0" w:after="283"/>
              <w:jc w:val="left"/>
              <w:rPr/>
            </w:pPr>
            <w:hyperlink r:id="rId4">
              <w:r>
                <w:rPr>
                  <w:rStyle w:val="InternetLink"/>
                  <w:rFonts w:ascii="Times New Roman" w:hAnsi="Times New Roman"/>
                  <w:color w:val="0000FF"/>
                  <w:sz w:val="16"/>
                  <w:u w:val="single"/>
                </w:rPr>
                <w:t>Form of Share Certificate (Incorporated by reference to Exhibit 99(D) to the Registrant's Pre-Effective Amendment No. 5 to the Registration Statement on Form N-2 (File No. 333-170243), filed on April 5, 2011).</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9538" w:type="dxa"/>
            <w:tcBorders/>
            <w:vAlign w:val="center"/>
          </w:tcPr>
          <w:p>
            <w:pPr>
              <w:pStyle w:val="TableContents"/>
              <w:bidi w:val="0"/>
              <w:spacing w:before="0" w:after="283"/>
              <w:jc w:val="left"/>
              <w:rPr/>
            </w:pPr>
            <w:hyperlink w:anchor="pflt-ex31_1.htm">
              <w:r>
                <w:rPr>
                  <w:rStyle w:val="InternetLink"/>
                  <w:rFonts w:ascii="Times New Roman" w:hAnsi="Times New Roman"/>
                  <w:color w:val="0000FF"/>
                  <w:sz w:val="16"/>
                  <w:u w:val="single"/>
                </w:rPr>
                <w:t>Certification of Chief Executive Officer pursuant to Rule 13a-14 of the Securities Exchange Act of 1934, as amended.</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9538" w:type="dxa"/>
            <w:tcBorders/>
            <w:vAlign w:val="center"/>
          </w:tcPr>
          <w:p>
            <w:pPr>
              <w:pStyle w:val="TableContents"/>
              <w:bidi w:val="0"/>
              <w:spacing w:before="0" w:after="283"/>
              <w:jc w:val="left"/>
              <w:rPr/>
            </w:pPr>
            <w:hyperlink w:anchor="pflt-ex31_2.htm">
              <w:r>
                <w:rPr>
                  <w:rStyle w:val="InternetLink"/>
                  <w:rFonts w:ascii="Times New Roman" w:hAnsi="Times New Roman"/>
                  <w:color w:val="0000FF"/>
                  <w:sz w:val="16"/>
                  <w:u w:val="single"/>
                </w:rPr>
                <w:t>Certification of Chief Financial Officer pursuant to Rule 13a-14 of the Securities Exchange Act of 1934, as amended.</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9538" w:type="dxa"/>
            <w:tcBorders/>
            <w:vAlign w:val="center"/>
          </w:tcPr>
          <w:p>
            <w:pPr>
              <w:pStyle w:val="TableContents"/>
              <w:bidi w:val="0"/>
              <w:spacing w:before="0" w:after="283"/>
              <w:jc w:val="left"/>
              <w:rPr/>
            </w:pPr>
            <w:hyperlink w:anchor="pflt-ex32_1.htm">
              <w:r>
                <w:rPr>
                  <w:rStyle w:val="InternetLink"/>
                  <w:rFonts w:ascii="Times New Roman" w:hAnsi="Times New Roman"/>
                  <w:color w:val="0000FF"/>
                  <w:sz w:val="16"/>
                  <w:u w:val="single"/>
                </w:rPr>
                <w:t>Certification of Chief Executive Officer pursuant to section 906 of The Sarbanes-Oxley Act of 2002.</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9538" w:type="dxa"/>
            <w:tcBorders/>
            <w:vAlign w:val="center"/>
          </w:tcPr>
          <w:p>
            <w:pPr>
              <w:pStyle w:val="TableContents"/>
              <w:bidi w:val="0"/>
              <w:spacing w:before="0" w:after="283"/>
              <w:jc w:val="left"/>
              <w:rPr/>
            </w:pPr>
            <w:hyperlink w:anchor="pflt-ex32_2.htm">
              <w:r>
                <w:rPr>
                  <w:rStyle w:val="InternetLink"/>
                  <w:rFonts w:ascii="Times New Roman" w:hAnsi="Times New Roman"/>
                  <w:color w:val="0000FF"/>
                  <w:sz w:val="16"/>
                  <w:u w:val="single"/>
                </w:rPr>
                <w:t>Certification of Chief Financial Officer pursuant to section 906 of The Sarbanes-Oxley Act of 2002.</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99.1</w:t>
            </w:r>
          </w:p>
        </w:tc>
        <w:tc>
          <w:tcPr>
            <w:tcW w:w="9538" w:type="dxa"/>
            <w:tcBorders/>
            <w:vAlign w:val="center"/>
          </w:tcPr>
          <w:p>
            <w:pPr>
              <w:pStyle w:val="TableContents"/>
              <w:bidi w:val="0"/>
              <w:spacing w:before="0" w:after="283"/>
              <w:jc w:val="left"/>
              <w:rPr/>
            </w:pPr>
            <w:hyperlink r:id="rId5">
              <w:r>
                <w:rPr>
                  <w:rStyle w:val="InternetLink"/>
                  <w:rFonts w:ascii="Times New Roman" w:hAnsi="Times New Roman"/>
                  <w:color w:val="0000FF"/>
                  <w:sz w:val="16"/>
                  <w:u w:val="single"/>
                </w:rPr>
                <w:t>Privacy Policy of the Registrant (Incorporated by reference to Exhibit 99.1 to the Registrant’s Annual Report on Form 10-K (File No. 814-00891), filed on November 17, 2011).</w:t>
              </w:r>
            </w:hyperlink>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Document-the instance document does not appear in the Interactive Data File as its XBRL tags are embedded within the Inline XBRL document</w:t>
            </w:r>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101.CAL*</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Calculation Linkbase Document</w:t>
            </w:r>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101.DEF*</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Definition Linkbase Document</w:t>
            </w:r>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101.LAB*</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Label Linkbase Document</w:t>
            </w:r>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101.PRE*</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Presentation Linkbase Document</w:t>
            </w:r>
          </w:p>
        </w:tc>
      </w:tr>
      <w:tr>
        <w:trPr/>
        <w:tc>
          <w:tcPr>
            <w:tcW w:w="667" w:type="dxa"/>
            <w:tcBorders/>
            <w:vAlign w:val="center"/>
          </w:tcPr>
          <w:p>
            <w:pPr>
              <w:pStyle w:val="TableContents"/>
              <w:bidi w:val="0"/>
              <w:spacing w:before="0" w:after="283"/>
              <w:jc w:val="left"/>
              <w:rPr/>
            </w:pPr>
            <w:r>
              <w:rPr/>
              <w:t> </w:t>
            </w:r>
          </w:p>
        </w:tc>
        <w:tc>
          <w:tcPr>
            <w:tcW w:w="9538"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953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Filed herewith.</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38" w:name="signatures"/>
      <w:bookmarkEnd w:id="38"/>
      <w:r>
        <w:rPr>
          <w:rFonts w:ascii="Times New Roman" w:hAnsi="Times New Roman"/>
          <w:b/>
          <w:color w:val="000000"/>
          <w:sz w:val="16"/>
        </w:rPr>
        <w:t>SIGNATURES</w:t>
      </w:r>
    </w:p>
    <w:p>
      <w:pPr>
        <w:pStyle w:val="TextBody"/>
        <w:bidi w:val="0"/>
        <w:spacing w:before="320" w:after="283"/>
        <w:jc w:val="left"/>
        <w:rPr>
          <w:rFonts w:ascii="Times New Roman" w:hAnsi="Times New Roman"/>
          <w:color w:val="000000"/>
          <w:sz w:val="16"/>
        </w:rPr>
      </w:pPr>
      <w:r>
        <w:rPr>
          <w:rFonts w:ascii="Times New Roman" w:hAnsi="Times New Roman"/>
          <w:color w:val="000000"/>
          <w:sz w:val="16"/>
        </w:rPr>
        <w:t>Pursuant to the requirements of the Securities Exchange Act of 1934, the registrant has duly caused this Report on Form 10-Q to be signed on its behalf by the undersigned, thereunto duly authorized.</w:t>
      </w:r>
    </w:p>
    <w:tbl>
      <w:tblPr>
        <w:tblW w:w="7109" w:type="dxa"/>
        <w:jc w:val="left"/>
        <w:tblInd w:w="0" w:type="dxa"/>
        <w:tblLayout w:type="fixed"/>
        <w:tblCellMar>
          <w:top w:w="28" w:type="dxa"/>
          <w:left w:w="28" w:type="dxa"/>
          <w:bottom w:w="28" w:type="dxa"/>
          <w:right w:w="28" w:type="dxa"/>
        </w:tblCellMar>
      </w:tblPr>
      <w:tblGrid>
        <w:gridCol w:w="1741"/>
        <w:gridCol w:w="146"/>
        <w:gridCol w:w="391"/>
        <w:gridCol w:w="483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5368" w:type="dxa"/>
            <w:gridSpan w:val="3"/>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2" w:type="dxa"/>
            <w:gridSpan w:val="2"/>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PENNANTPARK FLOATING RATE CAPITAL LTD.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222" w:type="dxa"/>
            <w:gridSpan w:val="2"/>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February 7, 2024</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4831" w:type="dxa"/>
            <w:tcBorders/>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/s/ Arthur H. Penn</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Arthur H. Penn</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 and Chairman of the Board of Directors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2" w:type="dxa"/>
            <w:gridSpan w:val="2"/>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February 7, 2024</w:t>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By: </w:t>
            </w:r>
          </w:p>
        </w:tc>
        <w:tc>
          <w:tcPr>
            <w:tcW w:w="4831" w:type="dxa"/>
            <w:tcBorders/>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/s/ Richard T. Allorto, Jr.</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Richard T. Allorto, Jr.</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Chief Financial Officer and Treasurer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and Accounting Officer)</w:t>
            </w:r>
          </w:p>
        </w:tc>
      </w:tr>
    </w:tbl>
    <w:p>
      <w:pPr>
        <w:pStyle w:val="TextBody"/>
        <w:bidi w:val="0"/>
        <w:jc w:val="center"/>
        <w:rPr>
          <w:rFonts w:ascii="Times New Roman" w:hAnsi="Times New Roman"/>
          <w:color w:val="000000"/>
          <w:sz w:val="16"/>
        </w:rPr>
      </w:pPr>
      <w:r>
        <w:rPr>
          <w:rFonts w:ascii="Times New Roman" w:hAnsi="Times New Roman"/>
          <w:color w:val="000000"/>
          <w:sz w:val="16"/>
        </w:rPr>
        <w:t>60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39" w:name="pflt-ex31_1.htm"/>
      <w:bookmarkStart w:id="40" w:name="kspfltex31_1"/>
      <w:bookmarkEnd w:id="39"/>
      <w:bookmarkEnd w:id="40"/>
      <w:r>
        <w:rPr>
          <w:rFonts w:ascii="Times New Roman" w:hAnsi="Times New Roman"/>
          <w:b/>
          <w:color w:val="000000"/>
          <w:sz w:val="16"/>
        </w:rPr>
        <w:t>EXHIBIT 31.1</w:t>
      </w:r>
      <w:r>
        <w:br w:type="page"/>
      </w:r>
    </w:p>
    <w:p>
      <w:pPr>
        <w:pStyle w:val="TextBody"/>
        <w:bidi w:val="0"/>
        <w:ind w:left="3033" w:right="3018" w:hanging="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CERTIFICATION PURSUANT TO SECTION 302</w:t>
      </w:r>
    </w:p>
    <w:p>
      <w:pPr>
        <w:pStyle w:val="TextBody"/>
        <w:bidi w:val="0"/>
        <w:jc w:val="center"/>
        <w:rPr>
          <w:rFonts w:ascii="Times New Roman" w:hAnsi="Times New Roman"/>
          <w:b/>
          <w:color w:val="000000"/>
          <w:sz w:val="16"/>
        </w:rPr>
      </w:pPr>
      <w:r>
        <w:rPr>
          <w:rFonts w:ascii="Times New Roman" w:hAnsi="Times New Roman"/>
          <w:b/>
          <w:color w:val="000000"/>
          <w:sz w:val="16"/>
        </w:rPr>
        <w:t>CHIEF EXECUTIVE OFFICER CERTIFICATION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 Arthur H. Penn, Chief Executive Officer of PennantPark Floating Rate Capital, Ltd., certify that:</w:t>
      </w:r>
    </w:p>
    <w:p>
      <w:pPr>
        <w:pStyle w:val="TextBody"/>
        <w:bidi w:val="0"/>
        <w:jc w:val="left"/>
        <w:rPr/>
      </w:pPr>
      <w:r>
        <w:rPr/>
        <w:t> </w:t>
      </w:r>
    </w:p>
    <w:p>
      <w:pPr>
        <w:pStyle w:val="TextBody"/>
        <w:bidi w:val="0"/>
        <w:ind w:left="0" w:right="0" w:firstLine="450"/>
        <w:jc w:val="left"/>
        <w:rPr>
          <w:rFonts w:ascii="Times New Roman" w:hAnsi="Times New Roman"/>
          <w:color w:val="000000"/>
          <w:sz w:val="16"/>
        </w:rPr>
      </w:pPr>
      <w:r>
        <w:rPr>
          <w:rFonts w:ascii="Times New Roman" w:hAnsi="Times New Roman"/>
          <w:color w:val="000000"/>
          <w:sz w:val="16"/>
        </w:rPr>
        <w:t>1. I have reviewed this Report on Form 10-Q of PennantPark Floating Rate Capital, Ltd.;</w:t>
      </w:r>
    </w:p>
    <w:p>
      <w:pPr>
        <w:pStyle w:val="TextBody"/>
        <w:bidi w:val="0"/>
        <w:jc w:val="left"/>
        <w:rPr/>
      </w:pPr>
      <w:r>
        <w:rPr/>
        <w:t> </w:t>
      </w:r>
    </w:p>
    <w:p>
      <w:pPr>
        <w:pStyle w:val="TextBody"/>
        <w:bidi w:val="0"/>
        <w:ind w:left="0" w:right="348" w:firstLine="450"/>
        <w:jc w:val="left"/>
        <w:rPr>
          <w:rFonts w:ascii="Times New Roman" w:hAnsi="Times New Roman"/>
          <w:color w:val="000000"/>
          <w:sz w:val="16"/>
        </w:rPr>
      </w:pPr>
      <w:r>
        <w:rPr>
          <w:rFonts w:ascii="Times New Roman" w:hAnsi="Times New Roman"/>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ind w:left="0" w:right="193" w:firstLine="450"/>
        <w:jc w:val="left"/>
        <w:rPr>
          <w:rFonts w:ascii="Times New Roman" w:hAnsi="Times New Roman"/>
          <w:color w:val="000000"/>
          <w:sz w:val="16"/>
        </w:rPr>
      </w:pPr>
      <w:r>
        <w:rPr>
          <w:rFonts w:ascii="Times New Roman" w:hAnsi="Times New Roman"/>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ind w:left="0" w:right="0" w:firstLine="450"/>
        <w:jc w:val="left"/>
        <w:rPr>
          <w:rFonts w:ascii="Times New Roman" w:hAnsi="Times New Roman"/>
          <w:color w:val="000000"/>
          <w:sz w:val="16"/>
        </w:rPr>
      </w:pPr>
      <w:r>
        <w:rPr>
          <w:rFonts w:ascii="Times New Roman" w:hAnsi="Times New Roman"/>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ind w:left="0" w:right="452" w:firstLine="720"/>
        <w:jc w:val="both"/>
        <w:rPr>
          <w:rFonts w:ascii="Times New Roman" w:hAnsi="Times New Roman"/>
          <w:sz w:val="20"/>
        </w:rPr>
      </w:pPr>
      <w:r>
        <w:rPr>
          <w:rFonts w:ascii="Times New Roman" w:hAnsi="Times New Roman"/>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ind w:left="0" w:right="511" w:firstLine="720"/>
        <w:jc w:val="left"/>
        <w:rPr>
          <w:rFonts w:ascii="Times New Roman" w:hAnsi="Times New Roman"/>
          <w:sz w:val="20"/>
        </w:rPr>
      </w:pPr>
      <w:r>
        <w:rPr>
          <w:rFonts w:ascii="Times New Roman" w:hAnsi="Times New Roman"/>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ind w:left="0" w:right="61" w:firstLine="720"/>
        <w:jc w:val="left"/>
        <w:rPr>
          <w:rFonts w:ascii="Times New Roman" w:hAnsi="Times New Roman"/>
          <w:color w:val="000000"/>
          <w:sz w:val="16"/>
        </w:rPr>
      </w:pPr>
      <w:r>
        <w:rPr>
          <w:rFonts w:ascii="Times New Roman" w:hAnsi="Times New Roman"/>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ind w:left="0" w:right="316" w:firstLine="720"/>
        <w:jc w:val="left"/>
        <w:rPr>
          <w:rFonts w:ascii="Times New Roman" w:hAnsi="Times New Roman"/>
          <w:color w:val="000000"/>
          <w:sz w:val="16"/>
        </w:rPr>
      </w:pPr>
      <w:r>
        <w:rPr>
          <w:rFonts w:ascii="Times New Roman" w:hAnsi="Times New Roman"/>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ind w:left="0" w:right="201" w:firstLine="450"/>
        <w:jc w:val="left"/>
        <w:rPr>
          <w:rFonts w:ascii="Times New Roman" w:hAnsi="Times New Roman"/>
          <w:color w:val="000000"/>
          <w:sz w:val="16"/>
        </w:rPr>
      </w:pPr>
      <w:r>
        <w:rPr>
          <w:rFonts w:ascii="Times New Roman" w:hAnsi="Times New Roman"/>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ind w:left="0" w:right="71" w:firstLine="720"/>
        <w:jc w:val="left"/>
        <w:rPr>
          <w:rFonts w:ascii="Times New Roman" w:hAnsi="Times New Roman"/>
          <w:color w:val="000000"/>
          <w:sz w:val="16"/>
        </w:rPr>
      </w:pPr>
      <w:r>
        <w:rPr>
          <w:rFonts w:ascii="Times New Roman" w:hAnsi="Times New Roman"/>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ind w:left="0" w:right="385" w:firstLine="720"/>
        <w:jc w:val="left"/>
        <w:rPr>
          <w:rFonts w:ascii="Times New Roman" w:hAnsi="Times New Roman"/>
          <w:color w:val="000000"/>
          <w:sz w:val="16"/>
        </w:rPr>
      </w:pPr>
      <w:r>
        <w:rPr>
          <w:rFonts w:ascii="Times New Roman" w:hAnsi="Times New Roman"/>
          <w:color w:val="00000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Dated: February 7, 2024</w:t>
      </w:r>
    </w:p>
    <w:p>
      <w:pPr>
        <w:pStyle w:val="TextBody"/>
        <w:bidi w:val="0"/>
        <w:jc w:val="left"/>
        <w:rPr/>
      </w:pPr>
      <w:r>
        <w:rPr/>
        <w:t> </w:t>
      </w:r>
    </w:p>
    <w:tbl>
      <w:tblPr>
        <w:tblW w:w="2372" w:type="dxa"/>
        <w:jc w:val="left"/>
        <w:tblInd w:w="0" w:type="dxa"/>
        <w:tblLayout w:type="fixed"/>
        <w:tblCellMar>
          <w:top w:w="28" w:type="dxa"/>
          <w:left w:w="28" w:type="dxa"/>
          <w:bottom w:w="28" w:type="dxa"/>
          <w:right w:w="28" w:type="dxa"/>
        </w:tblCellMar>
      </w:tblPr>
      <w:tblGrid>
        <w:gridCol w:w="571"/>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3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41" w:name="pflt-ex31_2.htm"/>
      <w:bookmarkStart w:id="42" w:name="kspfltex31_2"/>
      <w:bookmarkEnd w:id="41"/>
      <w:bookmarkEnd w:id="42"/>
      <w:r>
        <w:rPr>
          <w:rFonts w:ascii="Times New Roman" w:hAnsi="Times New Roman"/>
          <w:b/>
          <w:color w:val="000000"/>
          <w:sz w:val="16"/>
        </w:rPr>
        <w:t>EXHIBIT 31.2</w:t>
      </w:r>
      <w:r>
        <w:br w:type="page"/>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CERTIFICATION PURSUANT TO SECTION 302</w:t>
      </w:r>
    </w:p>
    <w:p>
      <w:pPr>
        <w:pStyle w:val="TextBody"/>
        <w:bidi w:val="0"/>
        <w:jc w:val="center"/>
        <w:rPr>
          <w:rFonts w:ascii="Times New Roman" w:hAnsi="Times New Roman"/>
          <w:b/>
          <w:color w:val="000000"/>
          <w:sz w:val="16"/>
        </w:rPr>
      </w:pPr>
      <w:r>
        <w:rPr>
          <w:rFonts w:ascii="Times New Roman" w:hAnsi="Times New Roman"/>
          <w:b/>
          <w:color w:val="000000"/>
          <w:sz w:val="16"/>
        </w:rPr>
        <w:t>CHIEF FINANCIAL OFFICER CERTIFICATION</w:t>
      </w:r>
    </w:p>
    <w:p>
      <w:pPr>
        <w:pStyle w:val="TextBody"/>
        <w:bidi w:val="0"/>
        <w:ind w:left="0" w:right="414" w:hanging="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 Richard T. Allorto, Jr., Chief Financial Officer of PennantPark Floating Rate Capital, Ltd., certify that:</w:t>
      </w:r>
    </w:p>
    <w:p>
      <w:pPr>
        <w:pStyle w:val="TextBody"/>
        <w:bidi w:val="0"/>
        <w:jc w:val="left"/>
        <w:rPr/>
      </w:pPr>
      <w:r>
        <w:rPr/>
        <w:t> </w:t>
      </w:r>
    </w:p>
    <w:p>
      <w:pPr>
        <w:pStyle w:val="TextBody"/>
        <w:bidi w:val="0"/>
        <w:ind w:left="0" w:right="0" w:firstLine="450"/>
        <w:jc w:val="left"/>
        <w:rPr>
          <w:rFonts w:ascii="Times New Roman" w:hAnsi="Times New Roman"/>
          <w:color w:val="000000"/>
          <w:sz w:val="16"/>
        </w:rPr>
      </w:pPr>
      <w:r>
        <w:rPr>
          <w:rFonts w:ascii="Times New Roman" w:hAnsi="Times New Roman"/>
          <w:color w:val="000000"/>
          <w:sz w:val="16"/>
        </w:rPr>
        <w:t>1. I have reviewed this Report on Form 10-Q of PennantPark Floating Rate Capital, Ltd.;</w:t>
      </w:r>
    </w:p>
    <w:p>
      <w:pPr>
        <w:pStyle w:val="TextBody"/>
        <w:bidi w:val="0"/>
        <w:jc w:val="left"/>
        <w:rPr/>
      </w:pPr>
      <w:r>
        <w:rPr/>
        <w:t> </w:t>
      </w:r>
    </w:p>
    <w:p>
      <w:pPr>
        <w:pStyle w:val="TextBody"/>
        <w:bidi w:val="0"/>
        <w:ind w:left="0" w:right="348" w:firstLine="450"/>
        <w:jc w:val="left"/>
        <w:rPr>
          <w:rFonts w:ascii="Times New Roman" w:hAnsi="Times New Roman"/>
          <w:color w:val="000000"/>
          <w:sz w:val="16"/>
        </w:rPr>
      </w:pPr>
      <w:r>
        <w:rPr>
          <w:rFonts w:ascii="Times New Roman" w:hAnsi="Times New Roman"/>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ind w:left="0" w:right="193" w:firstLine="450"/>
        <w:jc w:val="left"/>
        <w:rPr>
          <w:rFonts w:ascii="Times New Roman" w:hAnsi="Times New Roman"/>
          <w:color w:val="000000"/>
          <w:sz w:val="16"/>
        </w:rPr>
      </w:pPr>
      <w:r>
        <w:rPr>
          <w:rFonts w:ascii="Times New Roman" w:hAnsi="Times New Roman"/>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ind w:left="0" w:right="346" w:firstLine="450"/>
        <w:jc w:val="left"/>
        <w:rPr>
          <w:rFonts w:ascii="Times New Roman" w:hAnsi="Times New Roman"/>
          <w:color w:val="000000"/>
          <w:sz w:val="16"/>
        </w:rPr>
      </w:pPr>
      <w:r>
        <w:rPr>
          <w:rFonts w:ascii="Times New Roman" w:hAnsi="Times New Roman"/>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ind w:left="0" w:right="452" w:firstLine="720"/>
        <w:jc w:val="both"/>
        <w:rPr>
          <w:rFonts w:ascii="Times New Roman" w:hAnsi="Times New Roman"/>
          <w:sz w:val="20"/>
        </w:rPr>
      </w:pPr>
      <w:r>
        <w:rPr>
          <w:rFonts w:ascii="Times New Roman" w:hAnsi="Times New Roman"/>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ind w:left="0" w:right="511" w:firstLine="720"/>
        <w:jc w:val="left"/>
        <w:rPr>
          <w:rFonts w:ascii="Times New Roman" w:hAnsi="Times New Roman"/>
          <w:sz w:val="20"/>
        </w:rPr>
      </w:pPr>
      <w:r>
        <w:rPr>
          <w:rFonts w:ascii="Times New Roman" w:hAnsi="Times New Roman"/>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ind w:left="0" w:right="61" w:firstLine="720"/>
        <w:jc w:val="left"/>
        <w:rPr>
          <w:rFonts w:ascii="Times New Roman" w:hAnsi="Times New Roman"/>
          <w:color w:val="000000"/>
          <w:sz w:val="16"/>
        </w:rPr>
      </w:pPr>
      <w:r>
        <w:rPr>
          <w:rFonts w:ascii="Times New Roman" w:hAnsi="Times New Roman"/>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ind w:left="0" w:right="316" w:firstLine="720"/>
        <w:jc w:val="left"/>
        <w:rPr>
          <w:rFonts w:ascii="Times New Roman" w:hAnsi="Times New Roman"/>
          <w:color w:val="000000"/>
          <w:sz w:val="16"/>
        </w:rPr>
      </w:pPr>
      <w:r>
        <w:rPr>
          <w:rFonts w:ascii="Times New Roman" w:hAnsi="Times New Roman"/>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ind w:left="0" w:right="201" w:firstLine="450"/>
        <w:jc w:val="left"/>
        <w:rPr>
          <w:rFonts w:ascii="Times New Roman" w:hAnsi="Times New Roman"/>
          <w:color w:val="000000"/>
          <w:sz w:val="16"/>
        </w:rPr>
      </w:pPr>
      <w:r>
        <w:rPr>
          <w:rFonts w:ascii="Times New Roman" w:hAnsi="Times New Roman"/>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ind w:left="0" w:right="71" w:firstLine="720"/>
        <w:jc w:val="left"/>
        <w:rPr>
          <w:rFonts w:ascii="Times New Roman" w:hAnsi="Times New Roman"/>
          <w:color w:val="000000"/>
          <w:sz w:val="16"/>
        </w:rPr>
      </w:pPr>
      <w:r>
        <w:rPr>
          <w:rFonts w:ascii="Times New Roman" w:hAnsi="Times New Roman"/>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ind w:left="0" w:right="385" w:firstLine="720"/>
        <w:jc w:val="left"/>
        <w:rPr>
          <w:rFonts w:ascii="Times New Roman" w:hAnsi="Times New Roman"/>
          <w:color w:val="000000"/>
          <w:sz w:val="16"/>
        </w:rPr>
      </w:pPr>
      <w:r>
        <w:rPr>
          <w:rFonts w:ascii="Times New Roman" w:hAnsi="Times New Roman"/>
          <w:color w:val="00000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Dated: February 7, 2024</w:t>
      </w:r>
    </w:p>
    <w:p>
      <w:pPr>
        <w:pStyle w:val="TextBody"/>
        <w:bidi w:val="0"/>
        <w:jc w:val="left"/>
        <w:rPr/>
      </w:pPr>
      <w:r>
        <w:rPr/>
        <w:t> </w:t>
      </w:r>
    </w:p>
    <w:tbl>
      <w:tblPr>
        <w:tblW w:w="2312" w:type="dxa"/>
        <w:jc w:val="left"/>
        <w:tblInd w:w="0" w:type="dxa"/>
        <w:tblLayout w:type="fixed"/>
        <w:tblCellMar>
          <w:top w:w="28" w:type="dxa"/>
          <w:left w:w="28" w:type="dxa"/>
          <w:bottom w:w="28" w:type="dxa"/>
          <w:right w:w="28" w:type="dxa"/>
        </w:tblCellMar>
      </w:tblPr>
      <w:tblGrid>
        <w:gridCol w:w="571"/>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3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43" w:name="pflt-ex32_1.htm"/>
      <w:bookmarkStart w:id="44" w:name="kspfltex32_1"/>
      <w:bookmarkEnd w:id="43"/>
      <w:bookmarkEnd w:id="44"/>
      <w:r>
        <w:rPr>
          <w:rFonts w:ascii="Times New Roman" w:hAnsi="Times New Roman"/>
          <w:b/>
          <w:color w:val="000000"/>
          <w:sz w:val="16"/>
        </w:rPr>
        <w:t>EXHIBIT 32.1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w:t>
      </w:r>
    </w:p>
    <w:p>
      <w:pPr>
        <w:pStyle w:val="TextBody"/>
        <w:bidi w:val="0"/>
        <w:jc w:val="center"/>
        <w:rPr>
          <w:rFonts w:ascii="Times New Roman" w:hAnsi="Times New Roman"/>
          <w:b/>
          <w:color w:val="000000"/>
          <w:sz w:val="16"/>
        </w:rPr>
      </w:pPr>
      <w:r>
        <w:rPr>
          <w:rFonts w:ascii="Times New Roman" w:hAnsi="Times New Roman"/>
          <w:b/>
          <w:color w:val="000000"/>
          <w:sz w:val="16"/>
        </w:rPr>
        <w:t>SECTION 906 OF THE SARBANES-OXLEY ACT OF 2002 (18 U.S.C. 1350)</w:t>
      </w:r>
    </w:p>
    <w:p>
      <w:pPr>
        <w:pStyle w:val="TextBody"/>
        <w:bidi w:val="0"/>
        <w:jc w:val="left"/>
        <w:rPr/>
      </w:pPr>
      <w:r>
        <w:rPr/>
        <w:t> </w:t>
      </w:r>
    </w:p>
    <w:p>
      <w:pPr>
        <w:pStyle w:val="TextBody"/>
        <w:bidi w:val="0"/>
        <w:ind w:left="0" w:right="0" w:firstLine="470"/>
        <w:jc w:val="both"/>
        <w:rPr>
          <w:rFonts w:ascii="Times New Roman" w:hAnsi="Times New Roman"/>
          <w:color w:val="000000"/>
          <w:sz w:val="16"/>
        </w:rPr>
      </w:pPr>
      <w:r>
        <w:rPr>
          <w:rFonts w:ascii="Times New Roman" w:hAnsi="Times New Roman"/>
          <w:color w:val="000000"/>
          <w:sz w:val="16"/>
        </w:rPr>
        <w:t>In connection with this Report on Form 10-Q for the three months ended December 31, 2023 (the “Report”) of PennantPark Floating Rate Capital, Ltd. (the “Registrant”), as filed with the Securities and Exchange Commission on the date hereof, I, Arthur H. Penn, Chief Executive Officer of the Registrant, hereby certify, to the best of my knowledge, that:</w:t>
      </w:r>
    </w:p>
    <w:p>
      <w:pPr>
        <w:pStyle w:val="TextBody"/>
        <w:bidi w:val="0"/>
        <w:jc w:val="left"/>
        <w:rPr/>
      </w:pPr>
      <w:r>
        <w:rPr/>
        <w:t> </w:t>
      </w:r>
    </w:p>
    <w:p>
      <w:pPr>
        <w:pStyle w:val="TextBody"/>
        <w:bidi w:val="0"/>
        <w:ind w:left="0" w:right="0" w:firstLine="470"/>
        <w:jc w:val="left"/>
        <w:rPr>
          <w:rFonts w:ascii="Times New Roman" w:hAnsi="Times New Roman"/>
          <w:color w:val="000000"/>
          <w:sz w:val="16"/>
        </w:rPr>
      </w:pPr>
      <w:r>
        <w:rPr>
          <w:rFonts w:ascii="Times New Roman" w:hAnsi="Times New Roman"/>
          <w:color w:val="000000"/>
          <w:sz w:val="16"/>
        </w:rPr>
        <w:t>(1) The Report fully complies with the requirements of Section 13(a) or 15(d) of the Securities Exchange Act of 1934, as amended; and</w:t>
      </w:r>
    </w:p>
    <w:p>
      <w:pPr>
        <w:pStyle w:val="TextBody"/>
        <w:bidi w:val="0"/>
        <w:ind w:left="0" w:right="0" w:firstLine="470"/>
        <w:jc w:val="left"/>
        <w:rPr/>
      </w:pPr>
      <w:r>
        <w:rPr/>
        <w:t> </w:t>
      </w:r>
    </w:p>
    <w:p>
      <w:pPr>
        <w:pStyle w:val="TextBody"/>
        <w:bidi w:val="0"/>
        <w:ind w:left="0" w:right="0" w:firstLine="470"/>
        <w:jc w:val="left"/>
        <w:rPr>
          <w:rFonts w:ascii="Times New Roman" w:hAnsi="Times New Roman"/>
          <w:color w:val="000000"/>
          <w:sz w:val="16"/>
        </w:rPr>
      </w:pPr>
      <w:r>
        <w:rPr>
          <w:rFonts w:ascii="Times New Roman" w:hAnsi="Times New Roman"/>
          <w:color w:val="000000"/>
          <w:sz w:val="16"/>
        </w:rPr>
        <w:t>(2) The information contained in the Report fairly presents, in all material respects, the financial condition and results of operations of the Registrant.</w:t>
      </w:r>
    </w:p>
    <w:p>
      <w:pPr>
        <w:pStyle w:val="TextBody"/>
        <w:bidi w:val="0"/>
        <w:jc w:val="left"/>
        <w:rPr/>
      </w:pPr>
      <w:r>
        <w:rPr/>
        <w:t> </w:t>
      </w:r>
    </w:p>
    <w:tbl>
      <w:tblPr>
        <w:tblW w:w="2518" w:type="dxa"/>
        <w:jc w:val="left"/>
        <w:tblInd w:w="0" w:type="dxa"/>
        <w:tblLayout w:type="fixed"/>
        <w:tblCellMar>
          <w:top w:w="28" w:type="dxa"/>
          <w:left w:w="28" w:type="dxa"/>
          <w:bottom w:w="28" w:type="dxa"/>
          <w:right w:w="28" w:type="dxa"/>
        </w:tblCellMar>
      </w:tblPr>
      <w:tblGrid>
        <w:gridCol w:w="571"/>
        <w:gridCol w:w="146"/>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46"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46"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7, 2024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45" w:name="pflt-ex32_2.htm"/>
      <w:bookmarkStart w:id="46" w:name="kspfltex32_2"/>
      <w:bookmarkEnd w:id="45"/>
      <w:bookmarkEnd w:id="46"/>
      <w:r>
        <w:rPr>
          <w:rFonts w:ascii="Times New Roman" w:hAnsi="Times New Roman"/>
          <w:b/>
          <w:color w:val="000000"/>
          <w:sz w:val="16"/>
        </w:rPr>
        <w:t>EXHIBIT 32.2</w:t>
      </w:r>
      <w:r>
        <w:br w:type="page"/>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CERTIFICATION OF CHIEF FINANCIAL OFFICER</w:t>
      </w:r>
    </w:p>
    <w:p>
      <w:pPr>
        <w:pStyle w:val="TextBody"/>
        <w:bidi w:val="0"/>
        <w:jc w:val="center"/>
        <w:rPr>
          <w:rFonts w:ascii="Times New Roman" w:hAnsi="Times New Roman"/>
          <w:b/>
          <w:color w:val="000000"/>
          <w:sz w:val="16"/>
        </w:rPr>
      </w:pPr>
      <w:r>
        <w:rPr>
          <w:rFonts w:ascii="Times New Roman" w:hAnsi="Times New Roman"/>
          <w:b/>
          <w:color w:val="000000"/>
          <w:sz w:val="16"/>
        </w:rPr>
        <w:t>PURSUANT TO</w:t>
      </w:r>
    </w:p>
    <w:p>
      <w:pPr>
        <w:pStyle w:val="TextBody"/>
        <w:bidi w:val="0"/>
        <w:jc w:val="center"/>
        <w:rPr>
          <w:rFonts w:ascii="Times New Roman" w:hAnsi="Times New Roman"/>
          <w:b/>
          <w:color w:val="000000"/>
          <w:sz w:val="16"/>
        </w:rPr>
      </w:pPr>
      <w:r>
        <w:rPr>
          <w:rFonts w:ascii="Times New Roman" w:hAnsi="Times New Roman"/>
          <w:b/>
          <w:color w:val="000000"/>
          <w:sz w:val="16"/>
        </w:rPr>
        <w:t>SECTION 906 OF THE SARBANES-OXLEY ACT OF 2002 (18 U.S.C. 1350)</w:t>
      </w:r>
    </w:p>
    <w:p>
      <w:pPr>
        <w:pStyle w:val="TextBody"/>
        <w:bidi w:val="0"/>
        <w:ind w:left="0" w:right="0" w:firstLine="461"/>
        <w:jc w:val="both"/>
        <w:rPr/>
      </w:pPr>
      <w:r>
        <w:rPr/>
        <w:t> </w:t>
      </w:r>
    </w:p>
    <w:p>
      <w:pPr>
        <w:pStyle w:val="TextBody"/>
        <w:bidi w:val="0"/>
        <w:ind w:left="0" w:right="0" w:firstLine="470"/>
        <w:jc w:val="both"/>
        <w:rPr>
          <w:rFonts w:ascii="Times New Roman" w:hAnsi="Times New Roman"/>
          <w:color w:val="000000"/>
          <w:sz w:val="16"/>
        </w:rPr>
      </w:pPr>
      <w:r>
        <w:rPr>
          <w:rFonts w:ascii="Times New Roman" w:hAnsi="Times New Roman"/>
          <w:color w:val="000000"/>
          <w:sz w:val="16"/>
        </w:rPr>
        <w:t>In connection with this Report on Form 10-Q for the three months ended December 31, 2023 (the “Report”) of PennantPark Floating Rate Capital, Ltd. (the “Registrant”), as filed with the Securities and Exchange Commission on the date hereof, I, Richard T. Allorto, Jr., Chief Financial Officer of the Registrant, hereby certify, to the best of my knowledge, that:</w:t>
      </w:r>
    </w:p>
    <w:p>
      <w:pPr>
        <w:pStyle w:val="TextBody"/>
        <w:bidi w:val="0"/>
        <w:ind w:left="0" w:right="0" w:firstLine="470"/>
        <w:jc w:val="left"/>
        <w:rPr>
          <w:rFonts w:ascii="Times New Roman" w:hAnsi="Times New Roman"/>
          <w:color w:val="000000"/>
          <w:sz w:val="16"/>
        </w:rPr>
      </w:pPr>
      <w:r>
        <w:rPr>
          <w:rFonts w:ascii="Times New Roman" w:hAnsi="Times New Roman"/>
          <w:color w:val="000000"/>
          <w:sz w:val="16"/>
        </w:rPr>
        <w:t>(1) The Report fully complies with the requirements of Section 13(a) or 15(d) of the Securities Exchange Act of 1934, as amended; and</w:t>
      </w:r>
    </w:p>
    <w:p>
      <w:pPr>
        <w:pStyle w:val="TextBody"/>
        <w:bidi w:val="0"/>
        <w:ind w:left="0" w:right="0" w:firstLine="470"/>
        <w:jc w:val="left"/>
        <w:rPr/>
      </w:pPr>
      <w:r>
        <w:rPr/>
        <w:t> </w:t>
      </w:r>
    </w:p>
    <w:p>
      <w:pPr>
        <w:pStyle w:val="TextBody"/>
        <w:bidi w:val="0"/>
        <w:ind w:left="0" w:right="0" w:firstLine="470"/>
        <w:jc w:val="left"/>
        <w:rPr>
          <w:rFonts w:ascii="Times New Roman" w:hAnsi="Times New Roman"/>
          <w:color w:val="000000"/>
          <w:sz w:val="16"/>
        </w:rPr>
      </w:pPr>
      <w:r>
        <w:rPr>
          <w:rFonts w:ascii="Times New Roman" w:hAnsi="Times New Roman"/>
          <w:color w:val="000000"/>
          <w:sz w:val="16"/>
        </w:rPr>
        <w:t>(2) The information contained in the Report fairly presents, in all material respects, the financial condition and results of operations of the Registrant.</w:t>
      </w:r>
    </w:p>
    <w:p>
      <w:pPr>
        <w:pStyle w:val="TextBody"/>
        <w:bidi w:val="0"/>
        <w:ind w:left="109" w:right="0" w:hanging="0"/>
        <w:jc w:val="left"/>
        <w:rPr/>
      </w:pPr>
      <w:r>
        <w:rPr/>
        <w:t> </w:t>
      </w:r>
    </w:p>
    <w:tbl>
      <w:tblPr>
        <w:tblW w:w="2458" w:type="dxa"/>
        <w:jc w:val="left"/>
        <w:tblInd w:w="0" w:type="dxa"/>
        <w:tblLayout w:type="fixed"/>
        <w:tblCellMar>
          <w:top w:w="28" w:type="dxa"/>
          <w:left w:w="28" w:type="dxa"/>
          <w:bottom w:w="28" w:type="dxa"/>
          <w:right w:w="28" w:type="dxa"/>
        </w:tblCellMar>
      </w:tblPr>
      <w:tblGrid>
        <w:gridCol w:w="571"/>
        <w:gridCol w:w="146"/>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7, 2024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4619/000119312511080862/dex99a.htm" TargetMode="External"/><Relationship Id="rId3" Type="http://schemas.openxmlformats.org/officeDocument/2006/relationships/hyperlink" Target="https://www.sec.gov/Archives/edgar/data/1504619/000156459020024167/pflt-ex32_144.htm" TargetMode="External"/><Relationship Id="rId4" Type="http://schemas.openxmlformats.org/officeDocument/2006/relationships/hyperlink" Target="https://www.sec.gov/Archives/edgar/data/1504619/000119312511088977/dex99d.htm" TargetMode="External"/><Relationship Id="rId5" Type="http://schemas.openxmlformats.org/officeDocument/2006/relationships/hyperlink" Target="https://www.sec.gov/Archives/edgar/data/1504619/000150461911000050/pfltprivacypolicy093020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49115</Words>
  <Characters>276149</Characters>
  <CharactersWithSpaces>338233</CharactersWithSpaces>
  <Paragraphs>37196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