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29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2" w:lineRule="exact"/>
        <w:rPr>
          <w:sz w:val="24"/>
          <w:szCs w:val="24"/>
          <w:color w:val="auto"/>
        </w:rPr>
      </w:pPr>
    </w:p>
    <w:p>
      <w:pPr>
        <w:jc w:val="center"/>
        <w:ind w:right="-29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7"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CURRENT REPORT</w:t>
      </w:r>
    </w:p>
    <w:p>
      <w:pPr>
        <w:spacing w:after="0" w:line="16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February 5, 2019</w:t>
      </w:r>
    </w:p>
    <w:p>
      <w:pPr>
        <w:spacing w:after="0" w:line="17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jc w:val="center"/>
        <w:ind w:right="-299"/>
        <w:spacing w:after="0"/>
        <w:rPr>
          <w:sz w:val="20"/>
          <w:szCs w:val="20"/>
          <w:color w:val="auto"/>
        </w:rPr>
      </w:pPr>
      <w:r>
        <w:rPr>
          <w:rFonts w:ascii="Arial" w:cs="Arial" w:eastAsia="Arial" w:hAnsi="Arial"/>
          <w:sz w:val="31"/>
          <w:szCs w:val="31"/>
          <w:b w:val="1"/>
          <w:bCs w:val="1"/>
          <w:color w:val="auto"/>
        </w:rPr>
        <w:t>PennantPark Floating Rate Capital Ltd.</w:t>
      </w:r>
    </w:p>
    <w:p>
      <w:pPr>
        <w:spacing w:after="0" w:line="24"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tbl>
      <w:tblPr>
        <w:tblLayout w:type="fixed"/>
        <w:tblInd w:w="520" w:type="dxa"/>
        <w:tblCellMar>
          <w:top w:w="0" w:type="dxa"/>
          <w:left w:w="0" w:type="dxa"/>
          <w:bottom w:w="0" w:type="dxa"/>
          <w:right w:w="0" w:type="dxa"/>
        </w:tblCellMar>
      </w:tblPr>
      <w:tr>
        <w:trPr>
          <w:trHeight w:val="161"/>
        </w:trPr>
        <w:tc>
          <w:tcPr>
            <w:tcW w:w="3880" w:type="dxa"/>
            <w:vAlign w:val="bottom"/>
          </w:tcPr>
          <w:p>
            <w:pPr>
              <w:jc w:val="center"/>
              <w:ind w:right="1088"/>
              <w:spacing w:after="0"/>
              <w:rPr>
                <w:sz w:val="20"/>
                <w:szCs w:val="20"/>
                <w:color w:val="auto"/>
              </w:rPr>
            </w:pPr>
            <w:r>
              <w:rPr>
                <w:rFonts w:ascii="Arial" w:cs="Arial" w:eastAsia="Arial" w:hAnsi="Arial"/>
                <w:sz w:val="14"/>
                <w:szCs w:val="14"/>
                <w:b w:val="1"/>
                <w:bCs w:val="1"/>
                <w:color w:val="auto"/>
                <w:w w:val="97"/>
              </w:rPr>
              <w:t>Maryland</w:t>
            </w:r>
          </w:p>
        </w:tc>
        <w:tc>
          <w:tcPr>
            <w:tcW w:w="2860" w:type="dxa"/>
            <w:vAlign w:val="bottom"/>
          </w:tcPr>
          <w:p>
            <w:pPr>
              <w:jc w:val="right"/>
              <w:ind w:right="1268"/>
              <w:spacing w:after="0"/>
              <w:rPr>
                <w:sz w:val="20"/>
                <w:szCs w:val="20"/>
                <w:color w:val="auto"/>
              </w:rPr>
            </w:pPr>
            <w:r>
              <w:rPr>
                <w:rFonts w:ascii="Arial" w:cs="Arial" w:eastAsia="Arial" w:hAnsi="Arial"/>
                <w:sz w:val="14"/>
                <w:szCs w:val="14"/>
                <w:b w:val="1"/>
                <w:bCs w:val="1"/>
                <w:color w:val="auto"/>
              </w:rPr>
              <w:t>814-00891</w:t>
            </w:r>
          </w:p>
        </w:tc>
        <w:tc>
          <w:tcPr>
            <w:tcW w:w="3140" w:type="dxa"/>
            <w:vAlign w:val="bottom"/>
          </w:tcPr>
          <w:p>
            <w:pPr>
              <w:jc w:val="right"/>
              <w:ind w:right="628"/>
              <w:spacing w:after="0"/>
              <w:rPr>
                <w:sz w:val="20"/>
                <w:szCs w:val="20"/>
                <w:color w:val="auto"/>
              </w:rPr>
            </w:pPr>
            <w:r>
              <w:rPr>
                <w:rFonts w:ascii="Arial" w:cs="Arial" w:eastAsia="Arial" w:hAnsi="Arial"/>
                <w:sz w:val="14"/>
                <w:szCs w:val="14"/>
                <w:b w:val="1"/>
                <w:bCs w:val="1"/>
                <w:color w:val="auto"/>
              </w:rPr>
              <w:t>27-3794690</w:t>
            </w:r>
          </w:p>
        </w:tc>
        <w:tc>
          <w:tcPr>
            <w:tcW w:w="0" w:type="dxa"/>
            <w:vAlign w:val="bottom"/>
          </w:tcPr>
          <w:p>
            <w:pPr>
              <w:spacing w:after="0"/>
              <w:rPr>
                <w:sz w:val="1"/>
                <w:szCs w:val="1"/>
                <w:color w:val="auto"/>
              </w:rPr>
            </w:pPr>
          </w:p>
        </w:tc>
      </w:tr>
      <w:tr>
        <w:trPr>
          <w:trHeight w:val="186"/>
        </w:trPr>
        <w:tc>
          <w:tcPr>
            <w:tcW w:w="3880" w:type="dxa"/>
            <w:vAlign w:val="bottom"/>
          </w:tcPr>
          <w:p>
            <w:pPr>
              <w:jc w:val="center"/>
              <w:ind w:right="1088"/>
              <w:spacing w:after="0"/>
              <w:rPr>
                <w:sz w:val="20"/>
                <w:szCs w:val="20"/>
                <w:color w:val="auto"/>
              </w:rPr>
            </w:pPr>
            <w:r>
              <w:rPr>
                <w:rFonts w:ascii="Arial" w:cs="Arial" w:eastAsia="Arial" w:hAnsi="Arial"/>
                <w:sz w:val="14"/>
                <w:szCs w:val="14"/>
                <w:b w:val="1"/>
                <w:bCs w:val="1"/>
                <w:color w:val="auto"/>
                <w:w w:val="93"/>
              </w:rPr>
              <w:t>(State or other jurisdiction of incorporation)</w:t>
            </w:r>
          </w:p>
        </w:tc>
        <w:tc>
          <w:tcPr>
            <w:tcW w:w="2860" w:type="dxa"/>
            <w:vAlign w:val="bottom"/>
          </w:tcPr>
          <w:p>
            <w:pPr>
              <w:jc w:val="center"/>
              <w:ind w:right="368"/>
              <w:spacing w:after="0"/>
              <w:rPr>
                <w:sz w:val="20"/>
                <w:szCs w:val="20"/>
                <w:color w:val="auto"/>
              </w:rPr>
            </w:pPr>
            <w:r>
              <w:rPr>
                <w:rFonts w:ascii="Arial" w:cs="Arial" w:eastAsia="Arial" w:hAnsi="Arial"/>
                <w:sz w:val="14"/>
                <w:szCs w:val="14"/>
                <w:b w:val="1"/>
                <w:bCs w:val="1"/>
                <w:color w:val="auto"/>
                <w:w w:val="93"/>
              </w:rPr>
              <w:t>(Commission File Number)</w:t>
            </w:r>
          </w:p>
        </w:tc>
        <w:tc>
          <w:tcPr>
            <w:tcW w:w="3140" w:type="dxa"/>
            <w:vAlign w:val="bottom"/>
          </w:tcPr>
          <w:p>
            <w:pPr>
              <w:jc w:val="center"/>
              <w:ind w:left="968"/>
              <w:spacing w:after="0"/>
              <w:rPr>
                <w:sz w:val="20"/>
                <w:szCs w:val="20"/>
                <w:color w:val="auto"/>
              </w:rPr>
            </w:pPr>
            <w:r>
              <w:rPr>
                <w:rFonts w:ascii="Arial" w:cs="Arial" w:eastAsia="Arial" w:hAnsi="Arial"/>
                <w:sz w:val="14"/>
                <w:szCs w:val="14"/>
                <w:b w:val="1"/>
                <w:bCs w:val="1"/>
                <w:color w:val="auto"/>
                <w:w w:val="96"/>
              </w:rPr>
              <w:t>(IRS Employer Identification No.)</w:t>
            </w:r>
          </w:p>
        </w:tc>
        <w:tc>
          <w:tcPr>
            <w:tcW w:w="0" w:type="dxa"/>
            <w:vAlign w:val="bottom"/>
          </w:tcPr>
          <w:p>
            <w:pPr>
              <w:spacing w:after="0"/>
              <w:rPr>
                <w:sz w:val="1"/>
                <w:szCs w:val="1"/>
                <w:color w:val="auto"/>
              </w:rPr>
            </w:pPr>
          </w:p>
        </w:tc>
      </w:tr>
      <w:tr>
        <w:trPr>
          <w:trHeight w:val="583"/>
        </w:trPr>
        <w:tc>
          <w:tcPr>
            <w:tcW w:w="3880" w:type="dxa"/>
            <w:vAlign w:val="bottom"/>
          </w:tcPr>
          <w:p>
            <w:pPr>
              <w:jc w:val="center"/>
              <w:ind w:left="648"/>
              <w:spacing w:after="0"/>
              <w:rPr>
                <w:sz w:val="20"/>
                <w:szCs w:val="20"/>
                <w:color w:val="auto"/>
              </w:rPr>
            </w:pPr>
            <w:r>
              <w:rPr>
                <w:rFonts w:ascii="Arial" w:cs="Arial" w:eastAsia="Arial" w:hAnsi="Arial"/>
                <w:sz w:val="14"/>
                <w:szCs w:val="14"/>
                <w:b w:val="1"/>
                <w:bCs w:val="1"/>
                <w:color w:val="auto"/>
                <w:w w:val="92"/>
              </w:rPr>
              <w:t>590 Madison Avenue, 15</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2860" w:type="dxa"/>
            <w:vAlign w:val="bottom"/>
          </w:tcPr>
          <w:p>
            <w:pPr>
              <w:spacing w:after="0"/>
              <w:rPr>
                <w:sz w:val="24"/>
                <w:szCs w:val="24"/>
                <w:color w:val="auto"/>
              </w:rPr>
            </w:pPr>
          </w:p>
        </w:tc>
        <w:tc>
          <w:tcPr>
            <w:tcW w:w="3140" w:type="dxa"/>
            <w:vAlign w:val="bottom"/>
            <w:vMerge w:val="restart"/>
          </w:tcPr>
          <w:p>
            <w:pPr>
              <w:jc w:val="right"/>
              <w:ind w:right="1728"/>
              <w:spacing w:after="0"/>
              <w:rPr>
                <w:sz w:val="20"/>
                <w:szCs w:val="20"/>
                <w:color w:val="auto"/>
              </w:rPr>
            </w:pPr>
            <w:r>
              <w:rPr>
                <w:rFonts w:ascii="Arial" w:cs="Arial" w:eastAsia="Arial" w:hAnsi="Arial"/>
                <w:sz w:val="14"/>
                <w:szCs w:val="14"/>
                <w:b w:val="1"/>
                <w:bCs w:val="1"/>
                <w:color w:val="auto"/>
              </w:rPr>
              <w:t>10022</w:t>
            </w:r>
          </w:p>
        </w:tc>
        <w:tc>
          <w:tcPr>
            <w:tcW w:w="0" w:type="dxa"/>
            <w:vAlign w:val="bottom"/>
          </w:tcPr>
          <w:p>
            <w:pPr>
              <w:spacing w:after="0"/>
              <w:rPr>
                <w:sz w:val="1"/>
                <w:szCs w:val="1"/>
                <w:color w:val="auto"/>
              </w:rPr>
            </w:pPr>
          </w:p>
        </w:tc>
      </w:tr>
      <w:tr>
        <w:trPr>
          <w:trHeight w:val="148"/>
        </w:trPr>
        <w:tc>
          <w:tcPr>
            <w:tcW w:w="3880" w:type="dxa"/>
            <w:vAlign w:val="bottom"/>
          </w:tcPr>
          <w:p>
            <w:pPr>
              <w:jc w:val="center"/>
              <w:ind w:left="648"/>
              <w:spacing w:after="0" w:line="149" w:lineRule="exact"/>
              <w:rPr>
                <w:sz w:val="20"/>
                <w:szCs w:val="20"/>
                <w:color w:val="auto"/>
              </w:rPr>
            </w:pPr>
            <w:r>
              <w:rPr>
                <w:rFonts w:ascii="Arial" w:cs="Arial" w:eastAsia="Arial" w:hAnsi="Arial"/>
                <w:sz w:val="14"/>
                <w:szCs w:val="14"/>
                <w:b w:val="1"/>
                <w:bCs w:val="1"/>
                <w:color w:val="auto"/>
                <w:w w:val="96"/>
              </w:rPr>
              <w:t>New York, NY</w:t>
            </w:r>
          </w:p>
        </w:tc>
        <w:tc>
          <w:tcPr>
            <w:tcW w:w="2860" w:type="dxa"/>
            <w:vAlign w:val="bottom"/>
          </w:tcPr>
          <w:p>
            <w:pPr>
              <w:spacing w:after="0"/>
              <w:rPr>
                <w:sz w:val="12"/>
                <w:szCs w:val="12"/>
                <w:color w:val="auto"/>
              </w:rPr>
            </w:pPr>
          </w:p>
        </w:tc>
        <w:tc>
          <w:tcPr>
            <w:tcW w:w="3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880" w:type="dxa"/>
            <w:vAlign w:val="bottom"/>
          </w:tcPr>
          <w:p>
            <w:pPr>
              <w:jc w:val="center"/>
              <w:ind w:left="62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60" w:type="dxa"/>
            <w:vAlign w:val="bottom"/>
          </w:tcPr>
          <w:p>
            <w:pPr>
              <w:spacing w:after="0"/>
              <w:rPr>
                <w:sz w:val="16"/>
                <w:szCs w:val="16"/>
                <w:color w:val="auto"/>
              </w:rPr>
            </w:pPr>
          </w:p>
        </w:tc>
        <w:tc>
          <w:tcPr>
            <w:tcW w:w="3140" w:type="dxa"/>
            <w:vAlign w:val="bottom"/>
          </w:tcPr>
          <w:p>
            <w:pPr>
              <w:jc w:val="center"/>
              <w:ind w:right="72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bl>
    <w:p>
      <w:pPr>
        <w:spacing w:after="0" w:line="124"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212-905-1000</w:t>
      </w:r>
    </w:p>
    <w:p>
      <w:pPr>
        <w:spacing w:after="0" w:line="4"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4"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Not Applicable</w:t>
      </w:r>
    </w:p>
    <w:p>
      <w:pPr>
        <w:spacing w:after="0" w:line="4"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7" w:lineRule="exact"/>
        <w:rPr>
          <w:sz w:val="24"/>
          <w:szCs w:val="24"/>
          <w:color w:val="auto"/>
        </w:rPr>
      </w:pPr>
    </w:p>
    <w:p>
      <w:pPr>
        <w:ind w:left="48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3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76" w:lineRule="exact"/>
        <w:rPr>
          <w:rFonts w:ascii="MS PGothic" w:cs="MS PGothic" w:eastAsia="MS PGothic" w:hAnsi="MS PGothic"/>
          <w:sz w:val="14"/>
          <w:szCs w:val="1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76" w:lineRule="exact"/>
        <w:rPr>
          <w:rFonts w:ascii="MS PGothic" w:cs="MS PGothic" w:eastAsia="MS PGothic" w:hAnsi="MS PGothic"/>
          <w:sz w:val="14"/>
          <w:szCs w:val="1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76" w:lineRule="exact"/>
        <w:rPr>
          <w:rFonts w:ascii="MS PGothic" w:cs="MS PGothic" w:eastAsia="MS PGothic" w:hAnsi="MS PGothic"/>
          <w:sz w:val="14"/>
          <w:szCs w:val="1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77" w:lineRule="exact"/>
        <w:rPr>
          <w:sz w:val="24"/>
          <w:szCs w:val="24"/>
          <w:color w:val="auto"/>
        </w:rPr>
      </w:pPr>
    </w:p>
    <w:p>
      <w:pPr>
        <w:ind w:firstLine="36"/>
        <w:spacing w:after="0" w:line="25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1033780</wp:posOffset>
            </wp:positionH>
            <wp:positionV relativeFrom="paragraph">
              <wp:posOffset>-65405</wp:posOffset>
            </wp:positionV>
            <wp:extent cx="69215" cy="70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157" w:lineRule="exact"/>
        <w:rPr>
          <w:sz w:val="24"/>
          <w:szCs w:val="24"/>
          <w:color w:val="auto"/>
        </w:rPr>
      </w:pPr>
    </w:p>
    <w:p>
      <w:pPr>
        <w:ind w:right="28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2466340</wp:posOffset>
            </wp:positionH>
            <wp:positionV relativeFrom="paragraph">
              <wp:posOffset>-106045</wp:posOffset>
            </wp:positionV>
            <wp:extent cx="69215" cy="70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ectPr>
          <w:pgSz w:w="11900" w:h="16838" w:orient="portrait"/>
          <w:cols w:equalWidth="0" w:num="1">
            <w:col w:w="10960"/>
          </w:cols>
          <w:pgMar w:left="320" w:top="751" w:right="61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183515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t>Item 5.07</w:t>
      </w:r>
      <w:r>
        <w:rPr>
          <w:sz w:val="20"/>
          <w:szCs w:val="20"/>
          <w:color w:val="auto"/>
        </w:rPr>
        <w:tab/>
      </w:r>
      <w:r>
        <w:rPr>
          <w:rFonts w:ascii="Arial" w:cs="Arial" w:eastAsia="Arial" w:hAnsi="Arial"/>
          <w:sz w:val="12"/>
          <w:szCs w:val="12"/>
          <w:b w:val="1"/>
          <w:bCs w:val="1"/>
          <w:color w:val="auto"/>
        </w:rPr>
        <w:t>Submission of Matters to a Vote of Security Holders</w:t>
      </w:r>
    </w:p>
    <w:p>
      <w:pPr>
        <w:spacing w:after="0" w:line="86" w:lineRule="exact"/>
        <w:rPr>
          <w:sz w:val="20"/>
          <w:szCs w:val="20"/>
          <w:color w:val="auto"/>
        </w:rPr>
      </w:pPr>
    </w:p>
    <w:p>
      <w:pPr>
        <w:ind w:right="120" w:firstLine="510"/>
        <w:spacing w:after="0" w:line="264" w:lineRule="auto"/>
        <w:rPr>
          <w:sz w:val="20"/>
          <w:szCs w:val="20"/>
          <w:color w:val="auto"/>
        </w:rPr>
      </w:pPr>
      <w:r>
        <w:rPr>
          <w:rFonts w:ascii="Arial" w:cs="Arial" w:eastAsia="Arial" w:hAnsi="Arial"/>
          <w:sz w:val="13"/>
          <w:szCs w:val="13"/>
          <w:color w:val="auto"/>
        </w:rPr>
        <w:t>On February 5, 2019, PennantPark Floating Rate Capital Ltd. (the “Company”) held its annual meeting of stockholders (the “Annual Meeting”) and submitted two matters to the vote of stockholders. The proposals are described in detail in the Company’s definitive proxy statement filed with the Securities and Exchange Commission on December 6, 2018. As of November 19, 2018, the record date, 38,772,074 shares of common stock were eligible to vote. A summary of the matters voted upon by the stockholders is set forth below.</w:t>
      </w:r>
    </w:p>
    <w:p>
      <w:pPr>
        <w:spacing w:after="0" w:line="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Proposal 1. </w:t>
      </w:r>
      <w:r>
        <w:rPr>
          <w:rFonts w:ascii="Arial" w:cs="Arial" w:eastAsia="Arial" w:hAnsi="Arial"/>
          <w:sz w:val="13"/>
          <w:szCs w:val="13"/>
          <w:color w:val="auto"/>
        </w:rPr>
        <w:t>The Company’s stockholders elected two Class II directors of the Company, who will each serve until the 2022 Annual Meeting and until his successor is duly elected and qualifies.</w:t>
      </w:r>
    </w:p>
    <w:p>
      <w:pPr>
        <w:spacing w:after="0" w:line="11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voting results as of February 5, 2019, as certified by the inspector of election, are set forth below:</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gridSpan w:val="2"/>
          </w:tcPr>
          <w:p>
            <w:pPr>
              <w:spacing w:after="0"/>
              <w:rPr>
                <w:sz w:val="20"/>
                <w:szCs w:val="20"/>
                <w:color w:val="auto"/>
              </w:rPr>
            </w:pPr>
            <w:r>
              <w:rPr>
                <w:rFonts w:ascii="Arial" w:cs="Arial" w:eastAsia="Arial" w:hAnsi="Arial"/>
                <w:sz w:val="14"/>
                <w:szCs w:val="14"/>
                <w:color w:val="auto"/>
              </w:rPr>
              <w:t>Name</w:t>
            </w:r>
          </w:p>
        </w:tc>
        <w:tc>
          <w:tcPr>
            <w:tcW w:w="2840" w:type="dxa"/>
            <w:vAlign w:val="bottom"/>
            <w:gridSpan w:val="2"/>
          </w:tcPr>
          <w:p>
            <w:pPr>
              <w:jc w:val="right"/>
              <w:ind w:right="1640"/>
              <w:spacing w:after="0"/>
              <w:rPr>
                <w:sz w:val="20"/>
                <w:szCs w:val="20"/>
                <w:color w:val="auto"/>
              </w:rPr>
            </w:pPr>
            <w:r>
              <w:rPr>
                <w:rFonts w:ascii="Arial" w:cs="Arial" w:eastAsia="Arial" w:hAnsi="Arial"/>
                <w:sz w:val="14"/>
                <w:szCs w:val="14"/>
                <w:color w:val="auto"/>
              </w:rPr>
              <w:t>For</w:t>
            </w:r>
          </w:p>
        </w:tc>
        <w:tc>
          <w:tcPr>
            <w:tcW w:w="2860" w:type="dxa"/>
            <w:vAlign w:val="bottom"/>
            <w:gridSpan w:val="2"/>
          </w:tcPr>
          <w:p>
            <w:pPr>
              <w:jc w:val="right"/>
              <w:ind w:right="1500"/>
              <w:spacing w:after="0"/>
              <w:rPr>
                <w:sz w:val="20"/>
                <w:szCs w:val="20"/>
                <w:color w:val="auto"/>
              </w:rPr>
            </w:pPr>
            <w:r>
              <w:rPr>
                <w:rFonts w:ascii="Arial" w:cs="Arial" w:eastAsia="Arial" w:hAnsi="Arial"/>
                <w:sz w:val="14"/>
                <w:szCs w:val="14"/>
                <w:color w:val="auto"/>
              </w:rPr>
              <w:t>Withheld</w:t>
            </w:r>
          </w:p>
        </w:tc>
        <w:tc>
          <w:tcPr>
            <w:tcW w:w="2340" w:type="dxa"/>
            <w:vAlign w:val="bottom"/>
            <w:gridSpan w:val="2"/>
          </w:tcPr>
          <w:p>
            <w:pPr>
              <w:ind w:left="580"/>
              <w:spacing w:after="0"/>
              <w:rPr>
                <w:sz w:val="20"/>
                <w:szCs w:val="20"/>
                <w:color w:val="auto"/>
              </w:rPr>
            </w:pPr>
            <w:r>
              <w:rPr>
                <w:rFonts w:ascii="Arial" w:cs="Arial" w:eastAsia="Arial" w:hAnsi="Arial"/>
                <w:sz w:val="14"/>
                <w:szCs w:val="14"/>
                <w:color w:val="auto"/>
              </w:rPr>
              <w:t>Broker Non Votes</w:t>
            </w:r>
          </w:p>
        </w:tc>
      </w:tr>
      <w:tr>
        <w:trPr>
          <w:trHeight w:val="156"/>
        </w:trPr>
        <w:tc>
          <w:tcPr>
            <w:tcW w:w="2700" w:type="dxa"/>
            <w:vAlign w:val="bottom"/>
            <w:tcBorders>
              <w:top w:val="single" w:sz="8" w:color="auto"/>
            </w:tcBorders>
            <w:shd w:val="clear" w:color="auto" w:fill="BDD7EE"/>
          </w:tcPr>
          <w:p>
            <w:pPr>
              <w:spacing w:after="0" w:line="155" w:lineRule="exact"/>
              <w:rPr>
                <w:sz w:val="20"/>
                <w:szCs w:val="20"/>
                <w:color w:val="auto"/>
              </w:rPr>
            </w:pPr>
            <w:r>
              <w:rPr>
                <w:rFonts w:ascii="Arial" w:cs="Arial" w:eastAsia="Arial" w:hAnsi="Arial"/>
                <w:sz w:val="14"/>
                <w:szCs w:val="14"/>
                <w:color w:val="auto"/>
              </w:rPr>
              <w:t>Adam K. Bernstein</w:t>
            </w:r>
          </w:p>
        </w:tc>
        <w:tc>
          <w:tcPr>
            <w:tcW w:w="500" w:type="dxa"/>
            <w:vAlign w:val="bottom"/>
            <w:tcBorders>
              <w:top w:val="single" w:sz="8" w:color="BDD7EE"/>
            </w:tcBorders>
            <w:shd w:val="clear" w:color="auto" w:fill="BDD7EE"/>
          </w:tcPr>
          <w:p>
            <w:pPr>
              <w:spacing w:after="0"/>
              <w:rPr>
                <w:sz w:val="13"/>
                <w:szCs w:val="13"/>
                <w:color w:val="auto"/>
              </w:rPr>
            </w:pPr>
          </w:p>
        </w:tc>
        <w:tc>
          <w:tcPr>
            <w:tcW w:w="220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10,767,205</w:t>
            </w:r>
          </w:p>
        </w:tc>
        <w:tc>
          <w:tcPr>
            <w:tcW w:w="640" w:type="dxa"/>
            <w:vAlign w:val="bottom"/>
            <w:tcBorders>
              <w:top w:val="single" w:sz="8" w:color="BDD7EE"/>
            </w:tcBorders>
            <w:shd w:val="clear" w:color="auto" w:fill="BDD7EE"/>
          </w:tcPr>
          <w:p>
            <w:pPr>
              <w:spacing w:after="0"/>
              <w:rPr>
                <w:sz w:val="13"/>
                <w:szCs w:val="13"/>
                <w:color w:val="auto"/>
              </w:rPr>
            </w:pPr>
          </w:p>
        </w:tc>
        <w:tc>
          <w:tcPr>
            <w:tcW w:w="222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3,692,887</w:t>
            </w:r>
          </w:p>
        </w:tc>
        <w:tc>
          <w:tcPr>
            <w:tcW w:w="640" w:type="dxa"/>
            <w:vAlign w:val="bottom"/>
            <w:tcBorders>
              <w:top w:val="single" w:sz="8" w:color="BDD7EE"/>
            </w:tcBorders>
            <w:shd w:val="clear" w:color="auto" w:fill="BDD7EE"/>
          </w:tcPr>
          <w:p>
            <w:pPr>
              <w:spacing w:after="0"/>
              <w:rPr>
                <w:sz w:val="13"/>
                <w:szCs w:val="13"/>
                <w:color w:val="auto"/>
              </w:rPr>
            </w:pPr>
          </w:p>
        </w:tc>
        <w:tc>
          <w:tcPr>
            <w:tcW w:w="222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19,607,417</w:t>
            </w:r>
          </w:p>
        </w:tc>
        <w:tc>
          <w:tcPr>
            <w:tcW w:w="120" w:type="dxa"/>
            <w:vAlign w:val="bottom"/>
            <w:tcBorders>
              <w:top w:val="single" w:sz="8" w:color="BDD7EE"/>
            </w:tcBorders>
            <w:shd w:val="clear" w:color="auto" w:fill="BDD7EE"/>
          </w:tcPr>
          <w:p>
            <w:pPr>
              <w:spacing w:after="0"/>
              <w:rPr>
                <w:sz w:val="13"/>
                <w:szCs w:val="13"/>
                <w:color w:val="auto"/>
              </w:rPr>
            </w:pPr>
          </w:p>
        </w:tc>
      </w:tr>
      <w:tr>
        <w:trPr>
          <w:trHeight w:val="162"/>
        </w:trPr>
        <w:tc>
          <w:tcPr>
            <w:tcW w:w="3200" w:type="dxa"/>
            <w:vAlign w:val="bottom"/>
            <w:gridSpan w:val="2"/>
          </w:tcPr>
          <w:p>
            <w:pPr>
              <w:ind w:left="380"/>
              <w:spacing w:after="0"/>
              <w:rPr>
                <w:sz w:val="20"/>
                <w:szCs w:val="20"/>
                <w:color w:val="auto"/>
              </w:rPr>
            </w:pPr>
            <w:r>
              <w:rPr>
                <w:rFonts w:ascii="Arial" w:cs="Arial" w:eastAsia="Arial" w:hAnsi="Arial"/>
                <w:sz w:val="14"/>
                <w:szCs w:val="14"/>
                <w:color w:val="auto"/>
              </w:rPr>
              <w:t>% of Shares Voted</w:t>
            </w:r>
          </w:p>
        </w:tc>
        <w:tc>
          <w:tcPr>
            <w:tcW w:w="2840" w:type="dxa"/>
            <w:vAlign w:val="bottom"/>
            <w:gridSpan w:val="2"/>
          </w:tcPr>
          <w:p>
            <w:pPr>
              <w:jc w:val="right"/>
              <w:ind w:right="520"/>
              <w:spacing w:after="0"/>
              <w:rPr>
                <w:sz w:val="20"/>
                <w:szCs w:val="20"/>
                <w:color w:val="auto"/>
              </w:rPr>
            </w:pPr>
            <w:r>
              <w:rPr>
                <w:rFonts w:ascii="Arial" w:cs="Arial" w:eastAsia="Arial" w:hAnsi="Arial"/>
                <w:sz w:val="14"/>
                <w:szCs w:val="14"/>
                <w:color w:val="auto"/>
              </w:rPr>
              <w:t>74.46%</w:t>
            </w:r>
          </w:p>
        </w:tc>
        <w:tc>
          <w:tcPr>
            <w:tcW w:w="2860" w:type="dxa"/>
            <w:vAlign w:val="bottom"/>
            <w:gridSpan w:val="2"/>
          </w:tcPr>
          <w:p>
            <w:pPr>
              <w:jc w:val="right"/>
              <w:ind w:right="520"/>
              <w:spacing w:after="0"/>
              <w:rPr>
                <w:sz w:val="20"/>
                <w:szCs w:val="20"/>
                <w:color w:val="auto"/>
              </w:rPr>
            </w:pPr>
            <w:r>
              <w:rPr>
                <w:rFonts w:ascii="Arial" w:cs="Arial" w:eastAsia="Arial" w:hAnsi="Arial"/>
                <w:sz w:val="14"/>
                <w:szCs w:val="14"/>
                <w:color w:val="auto"/>
              </w:rPr>
              <w:t>25.54%</w:t>
            </w:r>
          </w:p>
        </w:tc>
        <w:tc>
          <w:tcPr>
            <w:tcW w:w="2340" w:type="dxa"/>
            <w:vAlign w:val="bottom"/>
            <w:gridSpan w:val="2"/>
          </w:tcPr>
          <w:p>
            <w:pPr>
              <w:jc w:val="right"/>
              <w:ind w:right="140"/>
              <w:spacing w:after="0"/>
              <w:rPr>
                <w:sz w:val="20"/>
                <w:szCs w:val="20"/>
                <w:color w:val="auto"/>
              </w:rPr>
            </w:pPr>
            <w:r>
              <w:rPr>
                <w:rFonts w:ascii="Arial" w:cs="Arial" w:eastAsia="Arial" w:hAnsi="Arial"/>
                <w:sz w:val="14"/>
                <w:szCs w:val="14"/>
                <w:color w:val="auto"/>
              </w:rPr>
              <w:t>N/A</w:t>
            </w:r>
          </w:p>
        </w:tc>
      </w:tr>
      <w:tr>
        <w:trPr>
          <w:trHeight w:val="162"/>
        </w:trPr>
        <w:tc>
          <w:tcPr>
            <w:tcW w:w="3200" w:type="dxa"/>
            <w:vAlign w:val="bottom"/>
            <w:gridSpan w:val="2"/>
            <w:shd w:val="clear" w:color="auto" w:fill="BDD7EE"/>
          </w:tcPr>
          <w:p>
            <w:pPr>
              <w:spacing w:after="0"/>
              <w:rPr>
                <w:sz w:val="20"/>
                <w:szCs w:val="20"/>
                <w:color w:val="auto"/>
              </w:rPr>
            </w:pPr>
            <w:r>
              <w:rPr>
                <w:rFonts w:ascii="Arial" w:cs="Arial" w:eastAsia="Arial" w:hAnsi="Arial"/>
                <w:sz w:val="14"/>
                <w:szCs w:val="14"/>
                <w:color w:val="auto"/>
              </w:rPr>
              <w:t>Jeffrey Flug</w:t>
            </w:r>
          </w:p>
        </w:tc>
        <w:tc>
          <w:tcPr>
            <w:tcW w:w="2200" w:type="dxa"/>
            <w:vAlign w:val="bottom"/>
            <w:shd w:val="clear" w:color="auto" w:fill="BDD7EE"/>
          </w:tcPr>
          <w:p>
            <w:pPr>
              <w:jc w:val="right"/>
              <w:spacing w:after="0"/>
              <w:rPr>
                <w:sz w:val="20"/>
                <w:szCs w:val="20"/>
                <w:color w:val="auto"/>
              </w:rPr>
            </w:pPr>
            <w:r>
              <w:rPr>
                <w:rFonts w:ascii="Arial" w:cs="Arial" w:eastAsia="Arial" w:hAnsi="Arial"/>
                <w:sz w:val="14"/>
                <w:szCs w:val="14"/>
                <w:color w:val="auto"/>
              </w:rPr>
              <w:t>11,643,235</w:t>
            </w:r>
          </w:p>
        </w:tc>
        <w:tc>
          <w:tcPr>
            <w:tcW w:w="640" w:type="dxa"/>
            <w:vAlign w:val="bottom"/>
            <w:shd w:val="clear" w:color="auto" w:fill="BDD7EE"/>
          </w:tcPr>
          <w:p>
            <w:pPr>
              <w:spacing w:after="0"/>
              <w:rPr>
                <w:sz w:val="14"/>
                <w:szCs w:val="14"/>
                <w:color w:val="auto"/>
              </w:rPr>
            </w:pPr>
          </w:p>
        </w:tc>
        <w:tc>
          <w:tcPr>
            <w:tcW w:w="2220" w:type="dxa"/>
            <w:vAlign w:val="bottom"/>
            <w:shd w:val="clear" w:color="auto" w:fill="BDD7EE"/>
          </w:tcPr>
          <w:p>
            <w:pPr>
              <w:jc w:val="right"/>
              <w:spacing w:after="0"/>
              <w:rPr>
                <w:sz w:val="20"/>
                <w:szCs w:val="20"/>
                <w:color w:val="auto"/>
              </w:rPr>
            </w:pPr>
            <w:r>
              <w:rPr>
                <w:rFonts w:ascii="Arial" w:cs="Arial" w:eastAsia="Arial" w:hAnsi="Arial"/>
                <w:sz w:val="14"/>
                <w:szCs w:val="14"/>
                <w:color w:val="auto"/>
              </w:rPr>
              <w:t>2,816,857</w:t>
            </w:r>
          </w:p>
        </w:tc>
        <w:tc>
          <w:tcPr>
            <w:tcW w:w="640" w:type="dxa"/>
            <w:vAlign w:val="bottom"/>
            <w:shd w:val="clear" w:color="auto" w:fill="BDD7EE"/>
          </w:tcPr>
          <w:p>
            <w:pPr>
              <w:spacing w:after="0"/>
              <w:rPr>
                <w:sz w:val="14"/>
                <w:szCs w:val="14"/>
                <w:color w:val="auto"/>
              </w:rPr>
            </w:pPr>
          </w:p>
        </w:tc>
        <w:tc>
          <w:tcPr>
            <w:tcW w:w="2220" w:type="dxa"/>
            <w:vAlign w:val="bottom"/>
            <w:shd w:val="clear" w:color="auto" w:fill="BDD7EE"/>
          </w:tcPr>
          <w:p>
            <w:pPr>
              <w:jc w:val="right"/>
              <w:spacing w:after="0"/>
              <w:rPr>
                <w:sz w:val="20"/>
                <w:szCs w:val="20"/>
                <w:color w:val="auto"/>
              </w:rPr>
            </w:pPr>
            <w:r>
              <w:rPr>
                <w:rFonts w:ascii="Arial" w:cs="Arial" w:eastAsia="Arial" w:hAnsi="Arial"/>
                <w:sz w:val="14"/>
                <w:szCs w:val="14"/>
                <w:color w:val="auto"/>
              </w:rPr>
              <w:t>19,607,417</w:t>
            </w:r>
          </w:p>
        </w:tc>
        <w:tc>
          <w:tcPr>
            <w:tcW w:w="120" w:type="dxa"/>
            <w:vAlign w:val="bottom"/>
            <w:shd w:val="clear" w:color="auto" w:fill="BDD7EE"/>
          </w:tcPr>
          <w:p>
            <w:pPr>
              <w:spacing w:after="0"/>
              <w:rPr>
                <w:sz w:val="14"/>
                <w:szCs w:val="14"/>
                <w:color w:val="auto"/>
              </w:rPr>
            </w:pPr>
          </w:p>
        </w:tc>
      </w:tr>
      <w:tr>
        <w:trPr>
          <w:trHeight w:val="182"/>
        </w:trPr>
        <w:tc>
          <w:tcPr>
            <w:tcW w:w="3200" w:type="dxa"/>
            <w:vAlign w:val="bottom"/>
            <w:gridSpan w:val="2"/>
          </w:tcPr>
          <w:p>
            <w:pPr>
              <w:ind w:left="380"/>
              <w:spacing w:after="0"/>
              <w:rPr>
                <w:sz w:val="20"/>
                <w:szCs w:val="20"/>
                <w:color w:val="auto"/>
              </w:rPr>
            </w:pPr>
            <w:r>
              <w:rPr>
                <w:rFonts w:ascii="Arial" w:cs="Arial" w:eastAsia="Arial" w:hAnsi="Arial"/>
                <w:sz w:val="14"/>
                <w:szCs w:val="14"/>
                <w:color w:val="auto"/>
              </w:rPr>
              <w:t>% of Shares Voted</w:t>
            </w:r>
          </w:p>
        </w:tc>
        <w:tc>
          <w:tcPr>
            <w:tcW w:w="2840" w:type="dxa"/>
            <w:vAlign w:val="bottom"/>
            <w:gridSpan w:val="2"/>
          </w:tcPr>
          <w:p>
            <w:pPr>
              <w:jc w:val="right"/>
              <w:ind w:right="520"/>
              <w:spacing w:after="0"/>
              <w:rPr>
                <w:sz w:val="20"/>
                <w:szCs w:val="20"/>
                <w:color w:val="auto"/>
              </w:rPr>
            </w:pPr>
            <w:r>
              <w:rPr>
                <w:rFonts w:ascii="Arial" w:cs="Arial" w:eastAsia="Arial" w:hAnsi="Arial"/>
                <w:sz w:val="14"/>
                <w:szCs w:val="14"/>
                <w:color w:val="auto"/>
              </w:rPr>
              <w:t>80.52%</w:t>
            </w:r>
          </w:p>
        </w:tc>
        <w:tc>
          <w:tcPr>
            <w:tcW w:w="2860" w:type="dxa"/>
            <w:vAlign w:val="bottom"/>
            <w:gridSpan w:val="2"/>
          </w:tcPr>
          <w:p>
            <w:pPr>
              <w:jc w:val="right"/>
              <w:ind w:right="520"/>
              <w:spacing w:after="0"/>
              <w:rPr>
                <w:sz w:val="20"/>
                <w:szCs w:val="20"/>
                <w:color w:val="auto"/>
              </w:rPr>
            </w:pPr>
            <w:r>
              <w:rPr>
                <w:rFonts w:ascii="Arial" w:cs="Arial" w:eastAsia="Arial" w:hAnsi="Arial"/>
                <w:sz w:val="14"/>
                <w:szCs w:val="14"/>
                <w:color w:val="auto"/>
              </w:rPr>
              <w:t>19.48%</w:t>
            </w:r>
          </w:p>
        </w:tc>
        <w:tc>
          <w:tcPr>
            <w:tcW w:w="2340" w:type="dxa"/>
            <w:vAlign w:val="bottom"/>
            <w:gridSpan w:val="2"/>
          </w:tcPr>
          <w:p>
            <w:pPr>
              <w:jc w:val="right"/>
              <w:ind w:right="140"/>
              <w:spacing w:after="0"/>
              <w:rPr>
                <w:sz w:val="20"/>
                <w:szCs w:val="20"/>
                <w:color w:val="auto"/>
              </w:rPr>
            </w:pPr>
            <w:r>
              <w:rPr>
                <w:rFonts w:ascii="Arial" w:cs="Arial" w:eastAsia="Arial" w:hAnsi="Arial"/>
                <w:sz w:val="14"/>
                <w:szCs w:val="14"/>
                <w:color w:val="auto"/>
              </w:rPr>
              <w:t>N/A</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Proposal 2. </w:t>
      </w:r>
      <w:r>
        <w:rPr>
          <w:rFonts w:ascii="Arial" w:cs="Arial" w:eastAsia="Arial" w:hAnsi="Arial"/>
          <w:sz w:val="13"/>
          <w:szCs w:val="13"/>
          <w:color w:val="auto"/>
        </w:rPr>
        <w:t>The Company’s stockholders ratified the selection of RSM US LLP to serve as the Company’s independent registered public accounting firm for the year ending September 30, 2019.</w:t>
      </w:r>
    </w:p>
    <w:p>
      <w:pPr>
        <w:spacing w:after="0" w:line="11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voting results as of February 5, 2019, as certified by the inspector of election, are set forth below:</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380" w:type="dxa"/>
            <w:vAlign w:val="bottom"/>
          </w:tcPr>
          <w:p>
            <w:pPr>
              <w:ind w:left="1000"/>
              <w:spacing w:after="0"/>
              <w:rPr>
                <w:sz w:val="20"/>
                <w:szCs w:val="20"/>
                <w:color w:val="auto"/>
              </w:rPr>
            </w:pPr>
            <w:r>
              <w:rPr>
                <w:rFonts w:ascii="Arial" w:cs="Arial" w:eastAsia="Arial" w:hAnsi="Arial"/>
                <w:sz w:val="14"/>
                <w:szCs w:val="14"/>
                <w:color w:val="auto"/>
              </w:rPr>
              <w:t>For</w:t>
            </w: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60" w:type="dxa"/>
            <w:vAlign w:val="bottom"/>
            <w:gridSpan w:val="2"/>
          </w:tcPr>
          <w:p>
            <w:pPr>
              <w:jc w:val="right"/>
              <w:ind w:right="1540"/>
              <w:spacing w:after="0"/>
              <w:rPr>
                <w:sz w:val="20"/>
                <w:szCs w:val="20"/>
                <w:color w:val="auto"/>
              </w:rPr>
            </w:pPr>
            <w:r>
              <w:rPr>
                <w:rFonts w:ascii="Arial" w:cs="Arial" w:eastAsia="Arial" w:hAnsi="Arial"/>
                <w:sz w:val="14"/>
                <w:szCs w:val="14"/>
                <w:color w:val="auto"/>
              </w:rPr>
              <w:t>Against</w:t>
            </w:r>
          </w:p>
        </w:tc>
        <w:tc>
          <w:tcPr>
            <w:tcW w:w="2340" w:type="dxa"/>
            <w:vAlign w:val="bottom"/>
            <w:gridSpan w:val="2"/>
          </w:tcPr>
          <w:p>
            <w:pPr>
              <w:jc w:val="right"/>
              <w:ind w:right="1020"/>
              <w:spacing w:after="0"/>
              <w:rPr>
                <w:sz w:val="20"/>
                <w:szCs w:val="20"/>
                <w:color w:val="auto"/>
              </w:rPr>
            </w:pPr>
            <w:r>
              <w:rPr>
                <w:rFonts w:ascii="Arial" w:cs="Arial" w:eastAsia="Arial" w:hAnsi="Arial"/>
                <w:sz w:val="14"/>
                <w:szCs w:val="14"/>
                <w:color w:val="auto"/>
              </w:rPr>
              <w:t>Abstain</w:t>
            </w:r>
          </w:p>
        </w:tc>
        <w:tc>
          <w:tcPr>
            <w:tcW w:w="20" w:type="dxa"/>
            <w:vAlign w:val="bottom"/>
          </w:tcPr>
          <w:p>
            <w:pPr>
              <w:spacing w:after="0"/>
              <w:rPr>
                <w:sz w:val="14"/>
                <w:szCs w:val="14"/>
                <w:color w:val="auto"/>
              </w:rPr>
            </w:pPr>
          </w:p>
        </w:tc>
      </w:tr>
      <w:tr>
        <w:trPr>
          <w:trHeight w:val="156"/>
        </w:trPr>
        <w:tc>
          <w:tcPr>
            <w:tcW w:w="3200" w:type="dxa"/>
            <w:vAlign w:val="bottom"/>
            <w:tcBorders>
              <w:top w:val="single" w:sz="8" w:color="BDD7EE"/>
            </w:tcBorders>
            <w:shd w:val="clear" w:color="auto" w:fill="BDD7EE"/>
          </w:tcPr>
          <w:p>
            <w:pPr>
              <w:spacing w:after="0" w:line="155" w:lineRule="exact"/>
              <w:rPr>
                <w:sz w:val="20"/>
                <w:szCs w:val="20"/>
                <w:color w:val="auto"/>
              </w:rPr>
            </w:pPr>
            <w:r>
              <w:rPr>
                <w:rFonts w:ascii="Arial" w:cs="Arial" w:eastAsia="Arial" w:hAnsi="Arial"/>
                <w:sz w:val="14"/>
                <w:szCs w:val="14"/>
                <w:color w:val="auto"/>
              </w:rPr>
              <w:t>Shares Voted</w:t>
            </w:r>
          </w:p>
        </w:tc>
        <w:tc>
          <w:tcPr>
            <w:tcW w:w="1380" w:type="dxa"/>
            <w:vAlign w:val="bottom"/>
            <w:tcBorders>
              <w:top w:val="single" w:sz="8" w:color="auto"/>
            </w:tcBorders>
            <w:shd w:val="clear" w:color="auto" w:fill="BDD7EE"/>
          </w:tcPr>
          <w:p>
            <w:pPr>
              <w:spacing w:after="0"/>
              <w:rPr>
                <w:sz w:val="13"/>
                <w:szCs w:val="13"/>
                <w:color w:val="auto"/>
              </w:rPr>
            </w:pPr>
          </w:p>
        </w:tc>
        <w:tc>
          <w:tcPr>
            <w:tcW w:w="82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32,597,966</w:t>
            </w:r>
          </w:p>
        </w:tc>
        <w:tc>
          <w:tcPr>
            <w:tcW w:w="640" w:type="dxa"/>
            <w:vAlign w:val="bottom"/>
            <w:tcBorders>
              <w:top w:val="single" w:sz="8" w:color="BDD7EE"/>
            </w:tcBorders>
            <w:shd w:val="clear" w:color="auto" w:fill="BDD7EE"/>
          </w:tcPr>
          <w:p>
            <w:pPr>
              <w:spacing w:after="0"/>
              <w:rPr>
                <w:sz w:val="13"/>
                <w:szCs w:val="13"/>
                <w:color w:val="auto"/>
              </w:rPr>
            </w:pPr>
          </w:p>
        </w:tc>
        <w:tc>
          <w:tcPr>
            <w:tcW w:w="222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1,123,581</w:t>
            </w:r>
          </w:p>
        </w:tc>
        <w:tc>
          <w:tcPr>
            <w:tcW w:w="640" w:type="dxa"/>
            <w:vAlign w:val="bottom"/>
            <w:tcBorders>
              <w:top w:val="single" w:sz="8" w:color="BDD7EE"/>
            </w:tcBorders>
            <w:shd w:val="clear" w:color="auto" w:fill="BDD7EE"/>
          </w:tcPr>
          <w:p>
            <w:pPr>
              <w:spacing w:after="0"/>
              <w:rPr>
                <w:sz w:val="13"/>
                <w:szCs w:val="13"/>
                <w:color w:val="auto"/>
              </w:rPr>
            </w:pPr>
          </w:p>
        </w:tc>
        <w:tc>
          <w:tcPr>
            <w:tcW w:w="220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345,962</w:t>
            </w:r>
          </w:p>
        </w:tc>
        <w:tc>
          <w:tcPr>
            <w:tcW w:w="140" w:type="dxa"/>
            <w:vAlign w:val="bottom"/>
            <w:tcBorders>
              <w:top w:val="single" w:sz="8" w:color="BDD7EE"/>
            </w:tcBorders>
            <w:shd w:val="clear" w:color="auto" w:fill="BDD7EE"/>
          </w:tcPr>
          <w:p>
            <w:pPr>
              <w:spacing w:after="0"/>
              <w:rPr>
                <w:sz w:val="13"/>
                <w:szCs w:val="13"/>
                <w:color w:val="auto"/>
              </w:rPr>
            </w:pPr>
          </w:p>
        </w:tc>
        <w:tc>
          <w:tcPr>
            <w:tcW w:w="20" w:type="dxa"/>
            <w:vAlign w:val="bottom"/>
          </w:tcPr>
          <w:p>
            <w:pPr>
              <w:spacing w:after="0"/>
              <w:rPr>
                <w:sz w:val="13"/>
                <w:szCs w:val="13"/>
                <w:color w:val="auto"/>
              </w:rPr>
            </w:pPr>
          </w:p>
        </w:tc>
      </w:tr>
      <w:tr>
        <w:trPr>
          <w:trHeight w:val="182"/>
        </w:trPr>
        <w:tc>
          <w:tcPr>
            <w:tcW w:w="4580" w:type="dxa"/>
            <w:vAlign w:val="bottom"/>
            <w:gridSpan w:val="2"/>
          </w:tcPr>
          <w:p>
            <w:pPr>
              <w:ind w:left="380"/>
              <w:spacing w:after="0"/>
              <w:rPr>
                <w:sz w:val="20"/>
                <w:szCs w:val="20"/>
                <w:color w:val="auto"/>
              </w:rPr>
            </w:pPr>
            <w:r>
              <w:rPr>
                <w:rFonts w:ascii="Arial" w:cs="Arial" w:eastAsia="Arial" w:hAnsi="Arial"/>
                <w:sz w:val="14"/>
                <w:szCs w:val="14"/>
                <w:color w:val="auto"/>
              </w:rPr>
              <w:t>% of Shares Voted</w:t>
            </w:r>
          </w:p>
        </w:tc>
        <w:tc>
          <w:tcPr>
            <w:tcW w:w="1460" w:type="dxa"/>
            <w:vAlign w:val="bottom"/>
            <w:gridSpan w:val="2"/>
          </w:tcPr>
          <w:p>
            <w:pPr>
              <w:jc w:val="right"/>
              <w:ind w:right="520"/>
              <w:spacing w:after="0"/>
              <w:rPr>
                <w:sz w:val="20"/>
                <w:szCs w:val="20"/>
                <w:color w:val="auto"/>
              </w:rPr>
            </w:pPr>
            <w:r>
              <w:rPr>
                <w:rFonts w:ascii="Arial" w:cs="Arial" w:eastAsia="Arial" w:hAnsi="Arial"/>
                <w:sz w:val="14"/>
                <w:szCs w:val="14"/>
                <w:color w:val="auto"/>
              </w:rPr>
              <w:t>95.68%</w:t>
            </w:r>
          </w:p>
        </w:tc>
        <w:tc>
          <w:tcPr>
            <w:tcW w:w="2860" w:type="dxa"/>
            <w:vAlign w:val="bottom"/>
            <w:gridSpan w:val="2"/>
          </w:tcPr>
          <w:p>
            <w:pPr>
              <w:jc w:val="right"/>
              <w:ind w:right="520"/>
              <w:spacing w:after="0"/>
              <w:rPr>
                <w:sz w:val="20"/>
                <w:szCs w:val="20"/>
                <w:color w:val="auto"/>
              </w:rPr>
            </w:pPr>
            <w:r>
              <w:rPr>
                <w:rFonts w:ascii="Arial" w:cs="Arial" w:eastAsia="Arial" w:hAnsi="Arial"/>
                <w:sz w:val="14"/>
                <w:szCs w:val="14"/>
                <w:color w:val="auto"/>
              </w:rPr>
              <w:t>3.30%</w:t>
            </w:r>
          </w:p>
        </w:tc>
        <w:tc>
          <w:tcPr>
            <w:tcW w:w="2340" w:type="dxa"/>
            <w:vAlign w:val="bottom"/>
            <w:gridSpan w:val="2"/>
          </w:tcPr>
          <w:p>
            <w:pPr>
              <w:jc w:val="right"/>
              <w:ind w:right="20"/>
              <w:spacing w:after="0"/>
              <w:rPr>
                <w:sz w:val="20"/>
                <w:szCs w:val="20"/>
                <w:color w:val="auto"/>
              </w:rPr>
            </w:pPr>
            <w:r>
              <w:rPr>
                <w:rFonts w:ascii="Arial" w:cs="Arial" w:eastAsia="Arial" w:hAnsi="Arial"/>
                <w:sz w:val="14"/>
                <w:szCs w:val="14"/>
                <w:color w:val="auto"/>
              </w:rPr>
              <w:t>1.02%</w:t>
            </w:r>
          </w:p>
        </w:tc>
        <w:tc>
          <w:tcPr>
            <w:tcW w:w="20" w:type="dxa"/>
            <w:vAlign w:val="bottom"/>
          </w:tcPr>
          <w:p>
            <w:pPr>
              <w:spacing w:after="0"/>
              <w:rPr>
                <w:sz w:val="15"/>
                <w:szCs w:val="15"/>
                <w:color w:val="auto"/>
              </w:rPr>
            </w:pPr>
          </w:p>
        </w:tc>
      </w:tr>
      <w:tr>
        <w:trPr>
          <w:trHeight w:val="648"/>
        </w:trPr>
        <w:tc>
          <w:tcPr>
            <w:tcW w:w="3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t>SIGNATURE</w:t>
      </w:r>
    </w:p>
    <w:p>
      <w:pPr>
        <w:spacing w:after="0" w:line="154" w:lineRule="exact"/>
        <w:rPr>
          <w:sz w:val="20"/>
          <w:szCs w:val="20"/>
          <w:color w:val="auto"/>
        </w:rPr>
      </w:pPr>
    </w:p>
    <w:p>
      <w:pPr>
        <w:ind w:firstLine="481"/>
        <w:spacing w:after="0" w:line="253" w:lineRule="auto"/>
        <w:rPr>
          <w:sz w:val="20"/>
          <w:szCs w:val="20"/>
          <w:color w:val="auto"/>
        </w:rPr>
      </w:pPr>
      <w:r>
        <w:rPr>
          <w:rFonts w:ascii="Arial" w:cs="Arial" w:eastAsia="Arial" w:hAnsi="Arial"/>
          <w:sz w:val="14"/>
          <w:szCs w:val="14"/>
          <w:color w:val="auto"/>
        </w:rPr>
        <w:t>Pursuant to the requirements of the Securities Exchange Act of 1934, as amended, the Registrant has duly caused this report to be signed on its behalf by the undersigned hereunto duly authorized.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4760" w:type="dxa"/>
            <w:vAlign w:val="bottom"/>
          </w:tcPr>
          <w:p>
            <w:pPr>
              <w:jc w:val="center"/>
              <w:spacing w:after="0"/>
              <w:rPr>
                <w:sz w:val="20"/>
                <w:szCs w:val="20"/>
                <w:color w:val="auto"/>
              </w:rPr>
            </w:pPr>
            <w:r>
              <w:rPr>
                <w:rFonts w:ascii="Arial" w:cs="Arial" w:eastAsia="Arial" w:hAnsi="Arial"/>
                <w:sz w:val="14"/>
                <w:szCs w:val="14"/>
                <w:b w:val="1"/>
                <w:bCs w:val="1"/>
                <w:color w:val="auto"/>
                <w:w w:val="96"/>
              </w:rPr>
              <w:t>PennantPark Floating Rate Capital Ltd.</w:t>
            </w:r>
          </w:p>
        </w:tc>
        <w:tc>
          <w:tcPr>
            <w:tcW w:w="0" w:type="dxa"/>
            <w:vAlign w:val="bottom"/>
          </w:tcPr>
          <w:p>
            <w:pPr>
              <w:spacing w:after="0"/>
              <w:rPr>
                <w:sz w:val="1"/>
                <w:szCs w:val="1"/>
                <w:color w:val="auto"/>
              </w:rPr>
            </w:pPr>
          </w:p>
        </w:tc>
      </w:tr>
      <w:tr>
        <w:trPr>
          <w:trHeight w:val="297"/>
        </w:trPr>
        <w:tc>
          <w:tcPr>
            <w:tcW w:w="4960" w:type="dxa"/>
            <w:vAlign w:val="bottom"/>
          </w:tcPr>
          <w:p>
            <w:pPr>
              <w:spacing w:after="0"/>
              <w:rPr>
                <w:sz w:val="20"/>
                <w:szCs w:val="20"/>
                <w:color w:val="auto"/>
              </w:rPr>
            </w:pPr>
            <w:r>
              <w:rPr>
                <w:rFonts w:ascii="Arial" w:cs="Arial" w:eastAsia="Arial" w:hAnsi="Arial"/>
                <w:sz w:val="14"/>
                <w:szCs w:val="14"/>
                <w:color w:val="auto"/>
              </w:rPr>
              <w:t>Dated: February 8, 2019</w:t>
            </w:r>
          </w:p>
        </w:tc>
        <w:tc>
          <w:tcPr>
            <w:tcW w:w="4760" w:type="dxa"/>
            <w:vAlign w:val="bottom"/>
            <w:vMerge w:val="restart"/>
          </w:tcPr>
          <w:p>
            <w:pPr>
              <w:jc w:val="center"/>
              <w:spacing w:after="0"/>
              <w:rPr>
                <w:sz w:val="20"/>
                <w:szCs w:val="20"/>
                <w:color w:val="auto"/>
              </w:rPr>
            </w:pPr>
            <w:r>
              <w:rPr>
                <w:rFonts w:ascii="Arial" w:cs="Arial" w:eastAsia="Arial" w:hAnsi="Arial"/>
                <w:sz w:val="14"/>
                <w:szCs w:val="14"/>
                <w:color w:val="auto"/>
                <w:w w:val="97"/>
              </w:rPr>
              <w:t>/s/ AVIV EFRAT</w:t>
            </w:r>
          </w:p>
        </w:tc>
        <w:tc>
          <w:tcPr>
            <w:tcW w:w="0" w:type="dxa"/>
            <w:vAlign w:val="bottom"/>
          </w:tcPr>
          <w:p>
            <w:pPr>
              <w:spacing w:after="0"/>
              <w:rPr>
                <w:sz w:val="1"/>
                <w:szCs w:val="1"/>
                <w:color w:val="auto"/>
              </w:rPr>
            </w:pPr>
          </w:p>
        </w:tc>
      </w:tr>
      <w:tr>
        <w:trPr>
          <w:trHeight w:val="58"/>
        </w:trPr>
        <w:tc>
          <w:tcPr>
            <w:tcW w:w="4960" w:type="dxa"/>
            <w:vAlign w:val="bottom"/>
          </w:tcPr>
          <w:p>
            <w:pPr>
              <w:spacing w:after="0"/>
              <w:rPr>
                <w:sz w:val="4"/>
                <w:szCs w:val="4"/>
                <w:color w:val="auto"/>
              </w:rPr>
            </w:pPr>
          </w:p>
        </w:tc>
        <w:tc>
          <w:tcPr>
            <w:tcW w:w="47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4960" w:type="dxa"/>
            <w:vAlign w:val="bottom"/>
          </w:tcPr>
          <w:p>
            <w:pPr>
              <w:spacing w:after="0"/>
              <w:rPr>
                <w:sz w:val="18"/>
                <w:szCs w:val="18"/>
                <w:color w:val="auto"/>
              </w:rPr>
            </w:pPr>
          </w:p>
        </w:tc>
        <w:tc>
          <w:tcPr>
            <w:tcW w:w="4760" w:type="dxa"/>
            <w:vAlign w:val="bottom"/>
          </w:tcPr>
          <w:p>
            <w:pPr>
              <w:jc w:val="center"/>
              <w:spacing w:after="0"/>
              <w:rPr>
                <w:sz w:val="20"/>
                <w:szCs w:val="20"/>
                <w:color w:val="auto"/>
              </w:rPr>
            </w:pPr>
            <w:r>
              <w:rPr>
                <w:rFonts w:ascii="Arial" w:cs="Arial" w:eastAsia="Arial" w:hAnsi="Arial"/>
                <w:sz w:val="14"/>
                <w:szCs w:val="14"/>
                <w:color w:val="auto"/>
              </w:rPr>
              <w:t>Aviv Efrat</w:t>
            </w:r>
          </w:p>
        </w:tc>
        <w:tc>
          <w:tcPr>
            <w:tcW w:w="0" w:type="dxa"/>
            <w:vAlign w:val="bottom"/>
          </w:tcPr>
          <w:p>
            <w:pPr>
              <w:spacing w:after="0"/>
              <w:rPr>
                <w:sz w:val="1"/>
                <w:szCs w:val="1"/>
                <w:color w:val="auto"/>
              </w:rPr>
            </w:pPr>
          </w:p>
        </w:tc>
      </w:tr>
      <w:tr>
        <w:trPr>
          <w:trHeight w:val="182"/>
        </w:trPr>
        <w:tc>
          <w:tcPr>
            <w:tcW w:w="4960" w:type="dxa"/>
            <w:vAlign w:val="bottom"/>
          </w:tcPr>
          <w:p>
            <w:pPr>
              <w:spacing w:after="0"/>
              <w:rPr>
                <w:sz w:val="15"/>
                <w:szCs w:val="15"/>
                <w:color w:val="auto"/>
              </w:rPr>
            </w:pPr>
          </w:p>
        </w:tc>
        <w:tc>
          <w:tcPr>
            <w:tcW w:w="4760" w:type="dxa"/>
            <w:vAlign w:val="bottom"/>
          </w:tcPr>
          <w:p>
            <w:pPr>
              <w:jc w:val="center"/>
              <w:spacing w:after="0"/>
              <w:rPr>
                <w:sz w:val="20"/>
                <w:szCs w:val="20"/>
                <w:color w:val="auto"/>
              </w:rPr>
            </w:pPr>
            <w:r>
              <w:rPr>
                <w:rFonts w:ascii="Arial" w:cs="Arial" w:eastAsia="Arial" w:hAnsi="Arial"/>
                <w:sz w:val="14"/>
                <w:szCs w:val="14"/>
                <w:color w:val="auto"/>
                <w:w w:val="95"/>
              </w:rPr>
              <w:t>Chief Financial Officer &amp; Treasurer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60"/>
      </w:cols>
      <w:pgMar w:left="320" w:top="57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2020-05-05T12:07:25Z</dcterms:created>
  <dcterms:modified xsi:type="dcterms:W3CDTF">2020-05-05T12:07:25Z</dcterms:modified>
</cp:coreProperties>
</file>