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3" w:lineRule="exact"/>
        <w:rPr>
          <w:sz w:val="24"/>
          <w:szCs w:val="24"/>
          <w:color w:val="auto"/>
        </w:rPr>
      </w:pPr>
    </w:p>
    <w:p>
      <w:pPr>
        <w:spacing w:after="0" w:line="207" w:lineRule="exact"/>
        <w:tabs>
          <w:tab w:leader="none" w:pos="49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8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121"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160" w:right="100" w:hanging="572"/>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hanging="572"/>
        <w:spacing w:after="0" w:line="298"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-2719070</wp:posOffset>
            </wp:positionV>
            <wp:extent cx="6386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-2453640</wp:posOffset>
            </wp:positionV>
            <wp:extent cx="6386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-2050415</wp:posOffset>
            </wp:positionV>
            <wp:extent cx="6386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-1784985</wp:posOffset>
            </wp:positionV>
            <wp:extent cx="6386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-1518920</wp:posOffset>
            </wp:positionV>
            <wp:extent cx="6386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-704850</wp:posOffset>
            </wp:positionV>
            <wp:extent cx="6386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-438785</wp:posOffset>
            </wp:positionV>
            <wp:extent cx="6386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-173355</wp:posOffset>
            </wp:positionV>
            <wp:extent cx="6386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92075</wp:posOffset>
            </wp:positionV>
            <wp:extent cx="6386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220" w:right="47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2057400"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71805"/>
                    </a:xfrm>
                    <a:prstGeom prst="rect">
                      <a:avLst/>
                    </a:prstGeom>
                    <a:noFill/>
                  </pic:spPr>
                </pic:pic>
              </a:graphicData>
            </a:graphic>
          </wp:anchor>
        </w:drawing>
        <w:t>December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 xml:space="preserve">You are cordially invited to attend the 2021 Annual Meeting of Stockholders (the “Annual Meeting”) of PennantPark Floating Rate Capital Ltd. (“PFLT” or the “Company”) to be held on February 9, 2021 at 9:45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t>
      </w:r>
      <w:r>
        <w:rPr>
          <w:rFonts w:ascii="Arial" w:cs="Arial" w:eastAsia="Arial" w:hAnsi="Arial"/>
          <w:sz w:val="18"/>
          <w:szCs w:val="18"/>
          <w:u w:val="single" w:color="auto"/>
          <w:color w:val="auto"/>
        </w:rPr>
        <w:t>www.virtualshareholdermeeting.com/PFLT2021</w:t>
      </w:r>
      <w:r>
        <w:rPr>
          <w:rFonts w:ascii="Arial" w:cs="Arial" w:eastAsia="Arial" w:hAnsi="Arial"/>
          <w:sz w:val="18"/>
          <w:szCs w:val="18"/>
          <w:color w:val="auto"/>
        </w:rPr>
        <w:t xml:space="preserve"> and using the Control Number included in the Notice of Internet Availability of Proxy Materials. The board of directors of the Company (the “Board”) has implemented a virtual meeting format this year primarily in response to the public health and travel concerns our stockholders may have and the recommendations that public health officials may issue in light of the evolving coronavirus (COVID-19) pandemic.</w:t>
      </w:r>
    </w:p>
    <w:p>
      <w:pPr>
        <w:spacing w:after="0" w:line="8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(1) elect two directors to the Board and (2) ratify the selection of RSM US LLP to serve as the Company’s independent registered public accounting firm for the fiscal year ending September 30, 2021.</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will also report on the progress of the Company during the past year and respond to stockholders’ questions.</w:t>
      </w:r>
    </w:p>
    <w:p>
      <w:pPr>
        <w:spacing w:after="0" w:line="225"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 If you hold your shares through a Tel Aviv Stock Exchange member, please follow the voting instructions in the Proxy Statement, which are otherwise different from that of other stockholders.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02665"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2665" cy="1968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VIRTUAL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Online Meeting Only — No Physical Meeting Location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www.virtualshareholdermeeting.com/PFLT2021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9, 2021</w:t>
      </w:r>
    </w:p>
    <w:p>
      <w:pPr>
        <w:spacing w:after="0" w:line="215"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December 8, 2020</w:t>
      </w:r>
    </w:p>
    <w:p>
      <w:pPr>
        <w:spacing w:after="0" w:line="258"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Notice is hereby given to the owners of shares of common stock (the “Stockholders”) of PennantPark Floating Rate Capital Ltd., a Maryland corporation (“PFLT” or the “Company”) that:</w:t>
      </w:r>
    </w:p>
    <w:p>
      <w:pPr>
        <w:spacing w:after="0" w:line="158" w:lineRule="exact"/>
        <w:rPr>
          <w:sz w:val="20"/>
          <w:szCs w:val="20"/>
          <w:color w:val="auto"/>
        </w:rPr>
      </w:pPr>
    </w:p>
    <w:p>
      <w:pPr>
        <w:ind w:right="500" w:firstLine="589"/>
        <w:spacing w:after="0" w:line="293" w:lineRule="auto"/>
        <w:rPr>
          <w:sz w:val="20"/>
          <w:szCs w:val="20"/>
          <w:color w:val="auto"/>
        </w:rPr>
      </w:pPr>
      <w:r>
        <w:rPr>
          <w:rFonts w:ascii="Arial" w:cs="Arial" w:eastAsia="Arial" w:hAnsi="Arial"/>
          <w:sz w:val="16"/>
          <w:szCs w:val="16"/>
          <w:color w:val="auto"/>
        </w:rPr>
        <w:t xml:space="preserve">The 2021 Annual Meeting of Stockholders of the Company (the “Annual Meeting”) will be held virtually on February 9, 2021 at 9:45 a.m., Eastern Time, at </w:t>
      </w:r>
      <w:r>
        <w:rPr>
          <w:rFonts w:ascii="Arial" w:cs="Arial" w:eastAsia="Arial" w:hAnsi="Arial"/>
          <w:sz w:val="16"/>
          <w:szCs w:val="16"/>
          <w:u w:val="single" w:color="auto"/>
          <w:color w:val="auto"/>
        </w:rPr>
        <w:t>www.virtualshareholdermeeting.com/PFLT2021</w:t>
      </w:r>
      <w:r>
        <w:rPr>
          <w:rFonts w:ascii="Arial" w:cs="Arial" w:eastAsia="Arial" w:hAnsi="Arial"/>
          <w:sz w:val="16"/>
          <w:szCs w:val="16"/>
          <w:color w:val="auto"/>
        </w:rPr>
        <w:t>for the following purposes:</w:t>
      </w:r>
    </w:p>
    <w:p>
      <w:pPr>
        <w:spacing w:after="0" w:line="64" w:lineRule="exact"/>
        <w:rPr>
          <w:sz w:val="20"/>
          <w:szCs w:val="20"/>
          <w:color w:val="auto"/>
        </w:rPr>
      </w:pPr>
    </w:p>
    <w:p>
      <w:pPr>
        <w:ind w:left="1160" w:right="180" w:hanging="572"/>
        <w:spacing w:after="0" w:line="293"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the election of two directors to the Board of Directors of the Company, who will each serve for a term of three years until the 2024 annual meeting of Stockholders and until his successor is duly elected and qualifies;</w:t>
      </w:r>
    </w:p>
    <w:p>
      <w:pPr>
        <w:spacing w:after="0" w:line="63" w:lineRule="exact"/>
        <w:rPr>
          <w:rFonts w:ascii="Arial" w:cs="Arial" w:eastAsia="Arial" w:hAnsi="Arial"/>
          <w:sz w:val="16"/>
          <w:szCs w:val="16"/>
          <w:color w:val="auto"/>
        </w:rPr>
      </w:pPr>
    </w:p>
    <w:p>
      <w:pPr>
        <w:ind w:left="1160" w:right="200" w:hanging="572"/>
        <w:spacing w:after="0" w:line="293"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the ratification of the selection of RSM US LLP to serve as the Company’s independent registered public accounting firm for the fiscal year ending September 30, 2021; and</w:t>
      </w:r>
    </w:p>
    <w:p>
      <w:pPr>
        <w:spacing w:after="0" w:line="266"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postponement or adjournment of the Annual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Annual Meeting will only be accessible virtually via live webcast over the Internet at </w:t>
      </w:r>
      <w:r>
        <w:rPr>
          <w:rFonts w:ascii="Arial" w:cs="Arial" w:eastAsia="Arial" w:hAnsi="Arial"/>
          <w:sz w:val="16"/>
          <w:szCs w:val="16"/>
          <w:u w:val="single" w:color="auto"/>
          <w:color w:val="auto"/>
        </w:rPr>
        <w:t>www.virtualshareholdermeeting.com/PFLT2021</w:t>
      </w:r>
    </w:p>
    <w:p>
      <w:pPr>
        <w:spacing w:after="0" w:line="221"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the Company at the close of business on December 1, 2020.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76" w:lineRule="exact"/>
        <w:rPr>
          <w:sz w:val="20"/>
          <w:szCs w:val="20"/>
          <w:color w:val="auto"/>
        </w:rPr>
      </w:pPr>
    </w:p>
    <w:p>
      <w:pPr>
        <w:ind w:right="100" w:firstLine="589"/>
        <w:spacing w:after="0" w:line="271" w:lineRule="auto"/>
        <w:rPr>
          <w:sz w:val="20"/>
          <w:szCs w:val="20"/>
          <w:color w:val="auto"/>
        </w:rPr>
      </w:pPr>
      <w:r>
        <w:rPr>
          <w:rFonts w:ascii="Arial" w:cs="Arial" w:eastAsia="Arial" w:hAnsi="Arial"/>
          <w:sz w:val="16"/>
          <w:szCs w:val="16"/>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7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THE COMPANY’S BOARD OF DIRECTORS, INCLUDING EACH OF THE INDEPENDENT DIRECTORS, UNANIMOUSLY RECOMMENDS THAT YOU VOTE “FOR” EACH OF THE PROPOSALS.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886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Thomas J. Friedmann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Floating Rate Capital Ltd.</w:t>
      </w:r>
    </w:p>
    <w:p>
      <w:pPr>
        <w:spacing w:after="0" w:line="185" w:lineRule="auto"/>
        <w:rPr>
          <w:sz w:val="20"/>
          <w:szCs w:val="20"/>
          <w:color w:val="auto"/>
        </w:rPr>
      </w:pPr>
      <w:r>
        <w:rPr>
          <w:rFonts w:ascii="Arial" w:cs="Arial" w:eastAsia="Arial" w:hAnsi="Arial"/>
          <w:sz w:val="16"/>
          <w:szCs w:val="16"/>
          <w:color w:val="auto"/>
        </w:rPr>
        <w:t>590 Madison Avenue,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212-905-1000</w:t>
      </w:r>
    </w:p>
    <w:p>
      <w:pPr>
        <w:spacing w:after="0" w:line="227" w:lineRule="exact"/>
        <w:rPr>
          <w:sz w:val="20"/>
          <w:szCs w:val="20"/>
          <w:color w:val="auto"/>
        </w:rPr>
      </w:pPr>
    </w:p>
    <w:p>
      <w:pPr>
        <w:jc w:val="both"/>
        <w:ind w:left="140" w:right="160"/>
        <w:spacing w:after="0" w:line="275"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-534670</wp:posOffset>
            </wp:positionV>
            <wp:extent cx="713232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00" w:hanging="438"/>
        <w:spacing w:after="0"/>
        <w:tabs>
          <w:tab w:leader="none" w:pos="5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9" w:lineRule="exact"/>
        <w:rPr>
          <w:rFonts w:ascii="Arial" w:cs="Arial" w:eastAsia="Arial" w:hAnsi="Arial"/>
          <w:sz w:val="18"/>
          <w:szCs w:val="18"/>
          <w:b w:val="1"/>
          <w:bCs w:val="1"/>
          <w:color w:val="auto"/>
        </w:rPr>
      </w:pPr>
    </w:p>
    <w:p>
      <w:pPr>
        <w:ind w:left="4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9" w:lineRule="exact"/>
        <w:rPr>
          <w:rFonts w:ascii="Arial" w:cs="Arial" w:eastAsia="Arial" w:hAnsi="Arial"/>
          <w:sz w:val="18"/>
          <w:szCs w:val="18"/>
          <w:b w:val="1"/>
          <w:bCs w:val="1"/>
          <w:color w:val="auto"/>
        </w:rPr>
      </w:pPr>
    </w:p>
    <w:p>
      <w:pPr>
        <w:ind w:left="5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Online Meeting Only — No Physical Meeting Location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www.virtualshareholdermeeting.com/PFLT2021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February 9, 2021</w:t>
      </w:r>
    </w:p>
    <w:p>
      <w:pPr>
        <w:spacing w:after="0" w:line="21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87"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 xml:space="preserve">This Proxy Statement is furnished in connection with the solicitation of proxies by the Board of Directors (the “Board”) of PennantPark Floating Rate Capital Ltd., a Maryland corporation (“PFLT,” the “Company,” “we,” “us” or “our”) for use at the Company’s 2021 Virtual Annual Meeting of Stockholders (the “Meeting”) to be held on Tuesday, February 9, 2021 at 9:45 a.m., Eastern Time, at </w:t>
      </w:r>
      <w:r>
        <w:rPr>
          <w:rFonts w:ascii="Arial" w:cs="Arial" w:eastAsia="Arial" w:hAnsi="Arial"/>
          <w:sz w:val="18"/>
          <w:szCs w:val="18"/>
          <w:u w:val="single" w:color="auto"/>
          <w:color w:val="auto"/>
        </w:rPr>
        <w:t>www.virtualshareholdermeeting.com/PFLT2021</w:t>
      </w:r>
      <w:r>
        <w:rPr>
          <w:rFonts w:ascii="Arial" w:cs="Arial" w:eastAsia="Arial" w:hAnsi="Arial"/>
          <w:sz w:val="18"/>
          <w:szCs w:val="18"/>
          <w:color w:val="auto"/>
        </w:rPr>
        <w:t>, and at any postponements or adjournments thereof. To participate in the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2020 (the “Annual Report”) are being provided to the stockholders thereof (the “Stockholders”) via the Internet on or about December 18, 2020. In addition, a Notice of Annual Meeting and a Notice of Internet Availability of Proxy Materials are being sent to Stockholders of record of the Company as of December 1, 2020 (the “Record Date”).</w:t>
      </w:r>
    </w:p>
    <w:p>
      <w:pPr>
        <w:spacing w:after="0" w:line="196"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encourage you to vote your shares, either by voting in person (virtually)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7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(virtually) at the virtual Meeting and voting online. Participating in the virtual Meeting does not revoke your proxy unless you also vote online at the Meeting. Any Stockholder entitled to vote at the Meeting may attend the Meeting and vote in person (virtually), whether or not he or she has previously voted his or her shares via proxy or wishes to change a previous vote.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 will be eligible to authorize your proxy electronically via the Internet, by telephone or by mail.</w:t>
      </w:r>
    </w:p>
    <w:p>
      <w:pPr>
        <w:spacing w:after="0" w:line="225"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 xml:space="preserve">If you want to submit a question during the Meeting, log into the live webcast at </w:t>
      </w:r>
      <w:r>
        <w:rPr>
          <w:rFonts w:ascii="Arial" w:cs="Arial" w:eastAsia="Arial" w:hAnsi="Arial"/>
          <w:sz w:val="18"/>
          <w:szCs w:val="18"/>
          <w:u w:val="single" w:color="auto"/>
          <w:color w:val="auto"/>
        </w:rPr>
        <w:t>www.virtualshareholdermeeting.com/PFLT2021</w:t>
      </w:r>
      <w:r>
        <w:rPr>
          <w:rFonts w:ascii="Arial" w:cs="Arial" w:eastAsia="Arial" w:hAnsi="Arial"/>
          <w:sz w:val="18"/>
          <w:szCs w:val="18"/>
          <w:color w:val="auto"/>
        </w:rPr>
        <w:t>, type your question into the “Ask a Question” field, and click “Submit.”</w:t>
      </w:r>
    </w:p>
    <w:p>
      <w:pPr>
        <w:spacing w:after="0" w:line="17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Only questions submitted via the live webcast that are pertinent to Meeting matters will be answered during the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 w:name="page5"/>
    <w:bookmarkEnd w:id="4"/>
    <w:p>
      <w:pPr>
        <w:ind w:left="49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239" w:lineRule="exact"/>
        <w:rPr>
          <w:sz w:val="20"/>
          <w:szCs w:val="20"/>
          <w:color w:val="auto"/>
        </w:rPr>
      </w:pPr>
    </w:p>
    <w:p>
      <w:pPr>
        <w:ind w:left="1460" w:right="440" w:hanging="440"/>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the election of two directors to the Board, who will each serve for a term of three years until the 2024 annual meeting of Stockholders and until his successor is duly elected and qualifies (“Proposal 1”);</w:t>
      </w:r>
    </w:p>
    <w:p>
      <w:pPr>
        <w:spacing w:after="0" w:line="62" w:lineRule="exact"/>
        <w:rPr>
          <w:rFonts w:ascii="Arial" w:cs="Arial" w:eastAsia="Arial" w:hAnsi="Arial"/>
          <w:sz w:val="18"/>
          <w:szCs w:val="18"/>
          <w:color w:val="auto"/>
        </w:rPr>
      </w:pPr>
    </w:p>
    <w:p>
      <w:pPr>
        <w:ind w:left="1460" w:hanging="440"/>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the ratification of the selection of RSM US LLP (“RSM”) to serve as the Company’s independent registered public accounting firm for the fiscal year ending September 30, 2021 (“Proposal 2”); and</w:t>
      </w:r>
    </w:p>
    <w:p>
      <w:pPr>
        <w:spacing w:after="0" w:line="170" w:lineRule="exact"/>
        <w:rPr>
          <w:rFonts w:ascii="Arial" w:cs="Arial" w:eastAsia="Arial" w:hAnsi="Arial"/>
          <w:sz w:val="18"/>
          <w:szCs w:val="18"/>
          <w:color w:val="auto"/>
        </w:rPr>
      </w:pPr>
    </w:p>
    <w:p>
      <w:pPr>
        <w:ind w:left="880" w:firstLine="140"/>
        <w:spacing w:after="0" w:line="606" w:lineRule="auto"/>
        <w:tabs>
          <w:tab w:leader="none" w:pos="1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To transact such other business as may properly come before the Annual Meeting or any postponement or adjournment of the Meeting. The Meeting will only be accessible virtually via live webcast over the Internet at </w:t>
      </w:r>
      <w:r>
        <w:rPr>
          <w:rFonts w:ascii="Arial" w:cs="Arial" w:eastAsia="Arial" w:hAnsi="Arial"/>
          <w:sz w:val="16"/>
          <w:szCs w:val="16"/>
          <w:u w:val="single" w:color="auto"/>
          <w:color w:val="auto"/>
        </w:rPr>
        <w:t>www.virtualshareholdermeeting.com/PFLT2021</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225"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You may vote your shares at the Meeting only if you were a Stockholder of record of the Company at the close of business on the Record Date. There were 38,772,074 shares of the Company’s common stock (the “Common Stock”) outstanding on the Record Date. Stockholders are entitled to one vote for each share of Common Stock held.</w:t>
      </w:r>
    </w:p>
    <w:p>
      <w:pPr>
        <w:spacing w:after="0" w:line="184"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Quorum Required</w:t>
      </w:r>
    </w:p>
    <w:p>
      <w:pPr>
        <w:spacing w:after="0" w:line="225" w:lineRule="exact"/>
        <w:rPr>
          <w:sz w:val="20"/>
          <w:szCs w:val="20"/>
          <w:color w:val="auto"/>
        </w:rPr>
      </w:pPr>
    </w:p>
    <w:p>
      <w:pPr>
        <w:jc w:val="both"/>
        <w:ind w:right="40" w:firstLine="589"/>
        <w:spacing w:after="0" w:line="293" w:lineRule="auto"/>
        <w:rPr>
          <w:sz w:val="20"/>
          <w:szCs w:val="20"/>
          <w:color w:val="auto"/>
        </w:rPr>
      </w:pPr>
      <w:r>
        <w:rPr>
          <w:rFonts w:ascii="Arial" w:cs="Arial" w:eastAsia="Arial" w:hAnsi="Arial"/>
          <w:sz w:val="16"/>
          <w:szCs w:val="16"/>
          <w:color w:val="auto"/>
        </w:rPr>
        <w:t>For the Company to conduct business at the Meeting, a quorum of Stockholders for the Company must be present (virtually) at the Meeting. The presence at the Meeting, in person (virtually) or by proxy, of the holders of a majority of the shares of Common Stock of the Company outstanding on the Record Date will constitute a quorum for the conduct of business at the Meeting. Those Stockholders who have not otherwise submitted a proxy accessing the Meeting via the listen-only conference call will not be deemed to be “present” for purposes of determining a quorum for the Meeting. Abstentions and Broker Non-Votes (as defined below) will be treated as shares present at the Meeting for quorum purposes. If there are not enough votes for a quorum for the Meeting, the chairman of the Meeting will adjourn the Meeting to permit the further solicitation of proxies.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Votes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ind w:right="120" w:firstLine="589"/>
        <w:spacing w:after="0" w:line="253" w:lineRule="auto"/>
        <w:rPr>
          <w:sz w:val="20"/>
          <w:szCs w:val="20"/>
          <w:color w:val="auto"/>
        </w:rPr>
      </w:pPr>
      <w:r>
        <w:rPr>
          <w:rFonts w:ascii="Arial" w:cs="Arial" w:eastAsia="Arial" w:hAnsi="Arial"/>
          <w:sz w:val="18"/>
          <w:szCs w:val="18"/>
          <w:color w:val="auto"/>
        </w:rPr>
        <w:t>In an election where the number of nominees is equal to the number of directors to be elected, as is the case at the Meeting, the election of a director to the Board requires the affirmative vote of a majority of the total votes cast for and against such nominee at the Meeting in person (virtually) or by proxy. If you vote “Against” with respect to a nominee, your shares will be voted against the person indicated. Abstentions and Broker Non-Votes will have no effect on the result of the vote.</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Stockholders of the Company may not cumulate their votes.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The affirmative vote of a majority of the votes cast at the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the Company’s Common Stock in street name,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permitted to exercise voting discretion with respect to Proposal 1.</w:t>
      </w:r>
    </w:p>
    <w:p>
      <w:pPr>
        <w:spacing w:after="0" w:line="75" w:lineRule="exact"/>
        <w:rPr>
          <w:sz w:val="20"/>
          <w:szCs w:val="20"/>
          <w:color w:val="auto"/>
        </w:rPr>
      </w:pPr>
    </w:p>
    <w:p>
      <w:pPr>
        <w:ind w:firstLine="589"/>
        <w:spacing w:after="0" w:line="266" w:lineRule="auto"/>
        <w:rPr>
          <w:sz w:val="20"/>
          <w:szCs w:val="20"/>
          <w:color w:val="auto"/>
        </w:rPr>
      </w:pPr>
      <w:r>
        <w:rPr>
          <w:rFonts w:ascii="Arial" w:cs="Arial" w:eastAsia="Arial" w:hAnsi="Arial"/>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Meeting.</w:t>
      </w:r>
    </w:p>
    <w:p>
      <w:pPr>
        <w:spacing w:after="0" w:line="7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121"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If there appears not to be enough votes to approve a proposal at the Meeting, the chairman of the Meeting may adjourn the Meeting to permit further solicitation of proxies.</w:t>
      </w:r>
    </w:p>
    <w:p>
      <w:pPr>
        <w:spacing w:after="0" w:line="170"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225" w:lineRule="exact"/>
        <w:rPr>
          <w:sz w:val="20"/>
          <w:szCs w:val="20"/>
          <w:color w:val="auto"/>
        </w:rPr>
      </w:pPr>
    </w:p>
    <w:p>
      <w:pPr>
        <w:ind w:right="200" w:firstLine="589"/>
        <w:spacing w:after="0" w:line="254" w:lineRule="auto"/>
        <w:rPr>
          <w:sz w:val="20"/>
          <w:szCs w:val="20"/>
          <w:color w:val="auto"/>
        </w:rPr>
      </w:pPr>
      <w:r>
        <w:rPr>
          <w:rFonts w:ascii="Arial" w:cs="Arial" w:eastAsia="Arial" w:hAnsi="Arial"/>
          <w:sz w:val="18"/>
          <w:szCs w:val="18"/>
          <w:color w:val="auto"/>
        </w:rPr>
        <w:t>We will bear the expense of the solicitation of proxies for the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9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6" w:name="page7"/>
    <w:bookmarkEnd w:id="6"/>
    <w:p>
      <w:pPr>
        <w:ind w:right="20" w:firstLine="589"/>
        <w:spacing w:after="0" w:line="271" w:lineRule="auto"/>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w:t>
      </w:r>
    </w:p>
    <w:p>
      <w:pPr>
        <w:spacing w:after="0" w:line="178"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 xml:space="preserve">Stockholders, other than those who hold shares through a Tel Aviv Stock Exchange (“TASE”) member,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9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 xml:space="preserve">Shares of Common Stock held by a TASE member cannot be voted during the Meeting. If your shares of Common Stock are held by a TASE member and you wish to vote your shares, you must complete, sign and date the form of proxy card that we filed via MAGNA and attach to it an ownership certificate from the TASE member through which your shares are registered (i.e., your broker, bank or other nominee) indicating that you were the beneficial owner of the shares on the Record Date, the record date for voting, and return the proxy card along with the ownership certificate, to the Company’s Israeli counsel, Goldfarb Seligman &amp; Co. (“Goldfarb”), c/o Jonathan Cohen, 98 Yigal Alon Street, 44th Floor, Tel Aviv 6789141, Israel (email: </w:t>
      </w:r>
      <w:r>
        <w:rPr>
          <w:rFonts w:ascii="Arial" w:cs="Arial" w:eastAsia="Arial" w:hAnsi="Arial"/>
          <w:sz w:val="18"/>
          <w:szCs w:val="18"/>
          <w:u w:val="single" w:color="auto"/>
          <w:color w:val="auto"/>
        </w:rPr>
        <w:t>jonathan.cohen@goldfarb.com</w:t>
      </w:r>
      <w:r>
        <w:rPr>
          <w:rFonts w:ascii="Arial" w:cs="Arial" w:eastAsia="Arial" w:hAnsi="Arial"/>
          <w:sz w:val="18"/>
          <w:szCs w:val="18"/>
          <w:color w:val="auto"/>
        </w:rPr>
        <w:t>). The proxy card and ownership certificate must be received no later than February 4, 2021, to be included in the tally of shares voted.</w:t>
      </w:r>
    </w:p>
    <w:p>
      <w:pPr>
        <w:spacing w:after="0" w:line="195"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 xml:space="preserve">However, if your shares of Common Stock are held by a TASE member, you may participate and ask questions during the Meeting even if you cannot vote your shares. In order to participate and ask questions (but not vote your shares) during the Meeting, you will need to obtain from your TASE member an executed ownership certificate, signed by your TASE member with respect to the Record Date, and e-mail the executed form to Goldfarb, c/o Jonathan Cohen, 98 Yigal Alon Street, 44th Floor, Tel Aviv 6789141, Israel (email: </w:t>
      </w:r>
      <w:r>
        <w:rPr>
          <w:rFonts w:ascii="Arial" w:cs="Arial" w:eastAsia="Arial" w:hAnsi="Arial"/>
          <w:sz w:val="17"/>
          <w:szCs w:val="17"/>
          <w:u w:val="single" w:color="auto"/>
          <w:color w:val="auto"/>
        </w:rPr>
        <w:t>jonathan.cohen@goldfarb.com</w:t>
      </w:r>
      <w:r>
        <w:rPr>
          <w:rFonts w:ascii="Arial" w:cs="Arial" w:eastAsia="Arial" w:hAnsi="Arial"/>
          <w:sz w:val="17"/>
          <w:szCs w:val="17"/>
          <w:color w:val="auto"/>
        </w:rPr>
        <w:t xml:space="preserve">), no later than the close of business in Israel on February 4, 2021. Once Goldfarb has received your properly executed certificate, Goldfarb will e-mail you a control number that you can use to enter the meeting at </w:t>
      </w:r>
      <w:r>
        <w:rPr>
          <w:rFonts w:ascii="Arial" w:cs="Arial" w:eastAsia="Arial" w:hAnsi="Arial"/>
          <w:sz w:val="17"/>
          <w:szCs w:val="17"/>
          <w:u w:val="single" w:color="auto"/>
          <w:color w:val="auto"/>
        </w:rPr>
        <w:t>www.virtualshareholdermeeting.com/PFLT2021</w:t>
      </w:r>
      <w:r>
        <w:rPr>
          <w:rFonts w:ascii="Arial" w:cs="Arial" w:eastAsia="Arial" w:hAnsi="Arial"/>
          <w:sz w:val="17"/>
          <w:szCs w:val="17"/>
          <w:color w:val="auto"/>
          <w:highlight w:val="white"/>
        </w:rPr>
        <w:t>.</w:t>
      </w:r>
    </w:p>
    <w:p>
      <w:pPr>
        <w:spacing w:after="0" w:line="178"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If a Stockholder, other than those who hold shares through a TASE member, wishes to participate in the Meeting, but does not wish to give a proxy by Internet, the Stockholder may attend the Meeting in person (virtually) or request and submit a proxy card by following the instructions on the Notice of Internet Availability of Proxy Materials.</w:t>
      </w:r>
    </w:p>
    <w:p>
      <w:pPr>
        <w:spacing w:after="0" w:line="18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(virtually) or (iii) by a notice, provided in writing and signed by the Stockholder, delivered to the Company’s Secretary on any business day before the date of the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As of the Record Date, to our knowledge, no person would be deemed to “control” (as such term is defined in the Investment Company Act of 1940, as amended (the “1940 Act”)) the Company.</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7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sets forth, as of the Record Date,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 Owned</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4"/>
        </w:trPr>
        <w:tc>
          <w:tcPr>
            <w:tcW w:w="6400" w:type="dxa"/>
            <w:vAlign w:val="bottom"/>
            <w:gridSpan w:val="3"/>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1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Adam K. Bernstein</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Marshall Brozost</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Jeffrey Flug</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Samuel L. Katz</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Pr>
          <w:p>
            <w:pPr>
              <w:jc w:val="right"/>
              <w:spacing w:after="0"/>
              <w:rPr>
                <w:sz w:val="20"/>
                <w:szCs w:val="20"/>
                <w:color w:val="auto"/>
              </w:rPr>
            </w:pPr>
            <w:r>
              <w:rPr>
                <w:rFonts w:ascii="Arial" w:cs="Arial" w:eastAsia="Arial" w:hAnsi="Arial"/>
                <w:sz w:val="18"/>
                <w:szCs w:val="18"/>
                <w:color w:val="auto"/>
              </w:rPr>
              <w:t>207,100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Interested director</w:t>
            </w:r>
          </w:p>
        </w:tc>
        <w:tc>
          <w:tcPr>
            <w:tcW w:w="2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Pr>
          <w:p>
            <w:pPr>
              <w:jc w:val="right"/>
              <w:spacing w:after="0"/>
              <w:rPr>
                <w:sz w:val="20"/>
                <w:szCs w:val="20"/>
                <w:color w:val="auto"/>
              </w:rPr>
            </w:pPr>
            <w:r>
              <w:rPr>
                <w:rFonts w:ascii="Arial" w:cs="Arial" w:eastAsia="Arial" w:hAnsi="Arial"/>
                <w:sz w:val="18"/>
                <w:szCs w:val="18"/>
                <w:color w:val="auto"/>
              </w:rPr>
              <w:t>344,009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Executive officer</w:t>
            </w:r>
          </w:p>
        </w:tc>
        <w:tc>
          <w:tcPr>
            <w:tcW w:w="2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Aviv Efrat</w:t>
            </w:r>
          </w:p>
        </w:tc>
        <w:tc>
          <w:tcPr>
            <w:tcW w:w="240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Mr. Penn is the Managing Member of the Adviser and may therefore be deemed to own beneficially the 344,009 shares held by the Adviser.</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225" w:lineRule="exact"/>
        <w:rPr>
          <w:sz w:val="20"/>
          <w:szCs w:val="20"/>
          <w:color w:val="auto"/>
        </w:rPr>
      </w:pPr>
    </w:p>
    <w:p>
      <w:pPr>
        <w:jc w:val="both"/>
        <w:ind w:right="220" w:firstLine="589"/>
        <w:spacing w:after="0" w:line="259" w:lineRule="auto"/>
        <w:rPr>
          <w:sz w:val="20"/>
          <w:szCs w:val="20"/>
          <w:color w:val="auto"/>
        </w:rPr>
      </w:pPr>
      <w:r>
        <w:rPr>
          <w:rFonts w:ascii="Arial" w:cs="Arial" w:eastAsia="Arial" w:hAnsi="Arial"/>
          <w:sz w:val="18"/>
          <w:szCs w:val="18"/>
          <w:color w:val="auto"/>
        </w:rPr>
        <w:t>The following table sets forth the dollar range of (i) the Company’s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Investment Corporation, a business development company managed by the Adviser (“PNNT”).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Dollar Range of the Common</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Dollar Range</w:t>
            </w: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2"/>
              </w:rPr>
              <w:t>Directors of the Company</w:t>
            </w:r>
          </w:p>
        </w:tc>
        <w:tc>
          <w:tcPr>
            <w:tcW w:w="2880" w:type="dxa"/>
            <w:vAlign w:val="bottom"/>
            <w:vMerge w:val="restart"/>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the Common Stock</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3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Stock of the Company</w:t>
            </w:r>
            <w:r>
              <w:rPr>
                <w:rFonts w:ascii="Arial" w:cs="Arial" w:eastAsia="Arial" w:hAnsi="Arial"/>
                <w:sz w:val="12"/>
                <w:szCs w:val="12"/>
                <w:b w:val="1"/>
                <w:bCs w:val="1"/>
                <w:color w:val="auto"/>
                <w:w w:val="93"/>
              </w:rPr>
              <w:t>(1)</w:t>
            </w:r>
          </w:p>
        </w:tc>
        <w:tc>
          <w:tcPr>
            <w:tcW w:w="3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the Fund Complex</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6"/>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3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18"/>
                <w:szCs w:val="18"/>
                <w:color w:val="auto"/>
              </w:rPr>
              <w:t>Adam K. Bernstein</w:t>
            </w:r>
          </w:p>
        </w:tc>
        <w:tc>
          <w:tcPr>
            <w:tcW w:w="3060" w:type="dxa"/>
            <w:vAlign w:val="bottom"/>
          </w:tcPr>
          <w:p>
            <w:pPr>
              <w:jc w:val="right"/>
              <w:ind w:right="755"/>
              <w:spacing w:after="0"/>
              <w:rPr>
                <w:sz w:val="20"/>
                <w:szCs w:val="20"/>
                <w:color w:val="auto"/>
              </w:rPr>
            </w:pPr>
            <w:r>
              <w:rPr>
                <w:rFonts w:ascii="Arial" w:cs="Arial" w:eastAsia="Arial" w:hAnsi="Arial"/>
                <w:sz w:val="18"/>
                <w:szCs w:val="18"/>
                <w:color w:val="auto"/>
              </w:rPr>
              <w:t>$50,001 - $100,000</w:t>
            </w:r>
          </w:p>
        </w:tc>
        <w:tc>
          <w:tcPr>
            <w:tcW w:w="200" w:type="dxa"/>
            <w:vAlign w:val="bottom"/>
          </w:tcPr>
          <w:p>
            <w:pPr>
              <w:spacing w:after="0"/>
              <w:rPr>
                <w:sz w:val="19"/>
                <w:szCs w:val="19"/>
                <w:color w:val="auto"/>
              </w:rPr>
            </w:pPr>
          </w:p>
        </w:tc>
        <w:tc>
          <w:tcPr>
            <w:tcW w:w="3500" w:type="dxa"/>
            <w:vAlign w:val="bottom"/>
          </w:tcPr>
          <w:p>
            <w:pPr>
              <w:jc w:val="right"/>
              <w:ind w:right="917"/>
              <w:spacing w:after="0"/>
              <w:rPr>
                <w:sz w:val="20"/>
                <w:szCs w:val="20"/>
                <w:color w:val="auto"/>
              </w:rPr>
            </w:pPr>
            <w:r>
              <w:rPr>
                <w:rFonts w:ascii="Arial" w:cs="Arial" w:eastAsia="Arial" w:hAnsi="Arial"/>
                <w:sz w:val="18"/>
                <w:szCs w:val="18"/>
                <w:color w:val="auto"/>
              </w:rPr>
              <w:t>$100,001 - $500,000</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None</w:t>
            </w:r>
          </w:p>
        </w:tc>
        <w:tc>
          <w:tcPr>
            <w:tcW w:w="3500" w:type="dxa"/>
            <w:vAlign w:val="bottom"/>
            <w:shd w:val="clear" w:color="auto" w:fill="CFF0FC"/>
          </w:tcPr>
          <w:p>
            <w:pPr>
              <w:jc w:val="right"/>
              <w:ind w:right="977"/>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r>
        <w:trPr>
          <w:trHeight w:val="229"/>
        </w:trPr>
        <w:tc>
          <w:tcPr>
            <w:tcW w:w="4480" w:type="dxa"/>
            <w:vAlign w:val="bottom"/>
            <w:gridSpan w:val="2"/>
          </w:tcPr>
          <w:p>
            <w:pPr>
              <w:ind w:left="260"/>
              <w:spacing w:after="0"/>
              <w:rPr>
                <w:sz w:val="20"/>
                <w:szCs w:val="20"/>
                <w:color w:val="auto"/>
              </w:rPr>
            </w:pPr>
            <w:r>
              <w:rPr>
                <w:rFonts w:ascii="Arial" w:cs="Arial" w:eastAsia="Arial" w:hAnsi="Arial"/>
                <w:sz w:val="18"/>
                <w:szCs w:val="18"/>
                <w:color w:val="auto"/>
              </w:rPr>
              <w:t>Jeffrey Flug</w:t>
            </w:r>
          </w:p>
        </w:tc>
        <w:tc>
          <w:tcPr>
            <w:tcW w:w="3060" w:type="dxa"/>
            <w:vAlign w:val="bottom"/>
          </w:tcPr>
          <w:p>
            <w:pPr>
              <w:jc w:val="right"/>
              <w:ind w:right="695"/>
              <w:spacing w:after="0"/>
              <w:rPr>
                <w:sz w:val="20"/>
                <w:szCs w:val="20"/>
                <w:color w:val="auto"/>
              </w:rPr>
            </w:pPr>
            <w:r>
              <w:rPr>
                <w:rFonts w:ascii="Arial" w:cs="Arial" w:eastAsia="Arial" w:hAnsi="Arial"/>
                <w:sz w:val="18"/>
                <w:szCs w:val="18"/>
                <w:color w:val="auto"/>
              </w:rPr>
              <w:t>$100,001 - $500,000</w:t>
            </w:r>
          </w:p>
        </w:tc>
        <w:tc>
          <w:tcPr>
            <w:tcW w:w="2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Over $1,000,000</w:t>
            </w: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Over $1,000,000</w:t>
            </w: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right="780" w:hanging="572"/>
        <w:spacing w:after="0" w:line="25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w:t>
      </w:r>
    </w:p>
    <w:p>
      <w:pPr>
        <w:ind w:right="300" w:firstLine="8"/>
        <w:spacing w:after="0" w:line="260" w:lineRule="auto"/>
        <w:tabs>
          <w:tab w:leader="none" w:pos="1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III directors will expire at the annual meetings of stockholders in 2024, 2022 and 2023, respectively. Each director will hold office for the term to which he is elected and until a successor is duly elected and qualifies.</w:t>
      </w:r>
    </w:p>
    <w:p>
      <w:pPr>
        <w:spacing w:after="0" w:line="185"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291" w:lineRule="exact"/>
        <w:rPr>
          <w:sz w:val="20"/>
          <w:szCs w:val="20"/>
          <w:color w:val="auto"/>
        </w:rPr>
      </w:pPr>
    </w:p>
    <w:p>
      <w:pPr>
        <w:ind w:right="400" w:firstLine="589"/>
        <w:spacing w:after="0" w:line="282"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THE ELECTION OF THE NOMINEES NAMED IN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225" w:lineRule="exact"/>
        <w:rPr>
          <w:sz w:val="20"/>
          <w:szCs w:val="20"/>
          <w:color w:val="auto"/>
        </w:rPr>
      </w:pPr>
    </w:p>
    <w:p>
      <w:pPr>
        <w:jc w:val="both"/>
        <w:ind w:right="320" w:firstLine="589"/>
        <w:spacing w:after="0" w:line="311"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of Mr. Marshall Brozost and Mr. Samuel L. Katz has been nominated for election as a Class I director of</w:t>
      </w:r>
    </w:p>
    <w:p>
      <w:pPr>
        <w:spacing w:after="0" w:line="23"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PFLT for a three-year term expiring at the annual meeting of stockholders in 2024. Neither Mr. Brozost nor Mr. Katz is being proposed for election pursuant to any agreement or understanding between either Mr. Brozost or Mr. Katz and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1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least, the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with Company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Past 5 Years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by Director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341"/>
        </w:trPr>
        <w:tc>
          <w:tcPr>
            <w:tcW w:w="22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Independent Directors</w:t>
            </w: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40" w:type="dxa"/>
            <w:vAlign w:val="bottom"/>
          </w:tcPr>
          <w:p>
            <w:pPr>
              <w:spacing w:after="0"/>
              <w:rPr>
                <w:sz w:val="20"/>
                <w:szCs w:val="20"/>
                <w:color w:val="auto"/>
              </w:rPr>
            </w:pPr>
            <w:r>
              <w:rPr>
                <w:rFonts w:ascii="Arial" w:cs="Arial" w:eastAsia="Arial" w:hAnsi="Arial"/>
                <w:sz w:val="17"/>
                <w:szCs w:val="17"/>
                <w:color w:val="auto"/>
              </w:rPr>
              <w:t>Adam K. Bernstein (57)</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380" w:type="dxa"/>
            <w:vAlign w:val="bottom"/>
          </w:tcPr>
          <w:p>
            <w:pPr>
              <w:spacing w:after="0"/>
              <w:rPr>
                <w:sz w:val="20"/>
                <w:szCs w:val="20"/>
                <w:color w:val="auto"/>
              </w:rPr>
            </w:pPr>
            <w:r>
              <w:rPr>
                <w:rFonts w:ascii="Arial" w:cs="Arial" w:eastAsia="Arial" w:hAnsi="Arial"/>
                <w:sz w:val="17"/>
                <w:szCs w:val="17"/>
                <w:color w:val="auto"/>
              </w:rPr>
              <w:t>PFLT - Class II</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President of The Bernstein</w:t>
            </w:r>
          </w:p>
        </w:tc>
        <w:tc>
          <w:tcPr>
            <w:tcW w:w="19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8"/>
              </w:rPr>
              <w:t>Companies, a Washington, D.C.-</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7"/>
              </w:rPr>
              <w:t>based real estate investment and</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w w:val="95"/>
              </w:rPr>
              <w:t>Term expires 2022</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5"/>
              </w:rPr>
              <w:t>development firm, since 1995 and</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President and Chief Executive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Officer of Consortium Atlantic</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Realty Trust, Inc., a private real</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2"/>
              </w:rPr>
              <w:t>estate investment trust operating in</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the Mid-Atlantic region, from</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2006. Also, Mr. Bernstein has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5"/>
              </w:rPr>
              <w:t>served on the Board of Overseers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3"/>
              </w:rPr>
              <w:t>of the School of Arts and Sciences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8"/>
              </w:rPr>
              <w:t>at the University of Pennsylvania</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since 2012.</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Company,</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246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vMerge w:val="restart"/>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least, the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Arial" w:cs="Arial" w:eastAsia="Arial" w:hAnsi="Arial"/>
                <w:sz w:val="17"/>
                <w:szCs w:val="17"/>
                <w:color w:val="auto"/>
              </w:rPr>
              <w:t>Marshall Brozost (53)</w:t>
            </w:r>
          </w:p>
        </w:tc>
        <w:tc>
          <w:tcPr>
            <w:tcW w:w="1460" w:type="dxa"/>
            <w:vAlign w:val="bottom"/>
          </w:tcPr>
          <w:p>
            <w:pPr>
              <w:ind w:left="400"/>
              <w:spacing w:after="0"/>
              <w:rPr>
                <w:sz w:val="20"/>
                <w:szCs w:val="20"/>
                <w:color w:val="auto"/>
              </w:rPr>
            </w:pPr>
            <w:r>
              <w:rPr>
                <w:rFonts w:ascii="Arial" w:cs="Arial" w:eastAsia="Arial" w:hAnsi="Arial"/>
                <w:sz w:val="17"/>
                <w:szCs w:val="17"/>
                <w:color w:val="auto"/>
              </w:rPr>
              <w:t>Director</w:t>
            </w:r>
          </w:p>
        </w:tc>
        <w:tc>
          <w:tcPr>
            <w:tcW w:w="1800" w:type="dxa"/>
            <w:vAlign w:val="bottom"/>
          </w:tcPr>
          <w:p>
            <w:pPr>
              <w:ind w:left="420"/>
              <w:spacing w:after="0"/>
              <w:rPr>
                <w:sz w:val="20"/>
                <w:szCs w:val="20"/>
                <w:color w:val="auto"/>
              </w:rPr>
            </w:pPr>
            <w:r>
              <w:rPr>
                <w:rFonts w:ascii="Arial" w:cs="Arial" w:eastAsia="Arial" w:hAnsi="Arial"/>
                <w:sz w:val="17"/>
                <w:szCs w:val="17"/>
                <w:color w:val="auto"/>
              </w:rPr>
              <w:t>PFLT - Class I</w:t>
            </w:r>
          </w:p>
        </w:tc>
        <w:tc>
          <w:tcPr>
            <w:tcW w:w="2460" w:type="dxa"/>
            <w:vAlign w:val="bottom"/>
          </w:tcPr>
          <w:p>
            <w:pPr>
              <w:ind w:left="120"/>
              <w:spacing w:after="0"/>
              <w:rPr>
                <w:sz w:val="20"/>
                <w:szCs w:val="20"/>
                <w:color w:val="auto"/>
              </w:rPr>
            </w:pPr>
            <w:r>
              <w:rPr>
                <w:rFonts w:ascii="Arial" w:cs="Arial" w:eastAsia="Arial" w:hAnsi="Arial"/>
                <w:sz w:val="17"/>
                <w:szCs w:val="17"/>
                <w:color w:val="auto"/>
              </w:rPr>
              <w:t>Partner at Orrick, Herrington &amp;</w:t>
            </w:r>
          </w:p>
        </w:tc>
      </w:tr>
      <w:tr>
        <w:trPr>
          <w:trHeight w:val="203"/>
        </w:trPr>
        <w:tc>
          <w:tcPr>
            <w:tcW w:w="1940" w:type="dxa"/>
            <w:vAlign w:val="bottom"/>
          </w:tcPr>
          <w:p>
            <w:pPr>
              <w:spacing w:after="0"/>
              <w:rPr>
                <w:sz w:val="17"/>
                <w:szCs w:val="17"/>
                <w:color w:val="auto"/>
              </w:rPr>
            </w:pPr>
          </w:p>
        </w:tc>
        <w:tc>
          <w:tcPr>
            <w:tcW w:w="1460" w:type="dxa"/>
            <w:vAlign w:val="bottom"/>
          </w:tcPr>
          <w:p>
            <w:pPr>
              <w:ind w:left="400"/>
              <w:spacing w:after="0"/>
              <w:rPr>
                <w:sz w:val="20"/>
                <w:szCs w:val="20"/>
                <w:color w:val="auto"/>
              </w:rPr>
            </w:pPr>
            <w:r>
              <w:rPr>
                <w:rFonts w:ascii="Arial" w:cs="Arial" w:eastAsia="Arial" w:hAnsi="Arial"/>
                <w:sz w:val="17"/>
                <w:szCs w:val="17"/>
                <w:color w:val="auto"/>
              </w:rPr>
              <w:t>Nominee</w:t>
            </w:r>
          </w:p>
        </w:tc>
        <w:tc>
          <w:tcPr>
            <w:tcW w:w="1800" w:type="dxa"/>
            <w:vAlign w:val="bottom"/>
          </w:tcPr>
          <w:p>
            <w:pPr>
              <w:ind w:left="420"/>
              <w:spacing w:after="0"/>
              <w:rPr>
                <w:sz w:val="20"/>
                <w:szCs w:val="20"/>
                <w:color w:val="auto"/>
              </w:rPr>
            </w:pPr>
            <w:r>
              <w:rPr>
                <w:rFonts w:ascii="Arial" w:cs="Arial" w:eastAsia="Arial" w:hAnsi="Arial"/>
                <w:sz w:val="17"/>
                <w:szCs w:val="17"/>
                <w:color w:val="auto"/>
              </w:rPr>
              <w:t>Director since</w:t>
            </w:r>
          </w:p>
        </w:tc>
        <w:tc>
          <w:tcPr>
            <w:tcW w:w="2460" w:type="dxa"/>
            <w:vAlign w:val="bottom"/>
          </w:tcPr>
          <w:p>
            <w:pPr>
              <w:ind w:left="120"/>
              <w:spacing w:after="0"/>
              <w:rPr>
                <w:sz w:val="20"/>
                <w:szCs w:val="20"/>
                <w:color w:val="auto"/>
              </w:rPr>
            </w:pPr>
            <w:r>
              <w:rPr>
                <w:rFonts w:ascii="Arial" w:cs="Arial" w:eastAsia="Arial" w:hAnsi="Arial"/>
                <w:sz w:val="17"/>
                <w:szCs w:val="17"/>
                <w:color w:val="auto"/>
                <w:w w:val="93"/>
              </w:rPr>
              <w:t>Sutcliffe LLP, where he practices</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7"/>
                <w:szCs w:val="17"/>
                <w:color w:val="auto"/>
              </w:rPr>
              <w:t>October 2010;</w:t>
            </w:r>
          </w:p>
        </w:tc>
        <w:tc>
          <w:tcPr>
            <w:tcW w:w="2460" w:type="dxa"/>
            <w:vAlign w:val="bottom"/>
          </w:tcPr>
          <w:p>
            <w:pPr>
              <w:ind w:left="120"/>
              <w:spacing w:after="0"/>
              <w:rPr>
                <w:sz w:val="20"/>
                <w:szCs w:val="20"/>
                <w:color w:val="auto"/>
              </w:rPr>
            </w:pPr>
            <w:r>
              <w:rPr>
                <w:rFonts w:ascii="Arial" w:cs="Arial" w:eastAsia="Arial" w:hAnsi="Arial"/>
                <w:sz w:val="17"/>
                <w:szCs w:val="17"/>
                <w:color w:val="auto"/>
              </w:rPr>
              <w:t>in the real estate and private</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7"/>
                <w:szCs w:val="17"/>
                <w:color w:val="auto"/>
              </w:rPr>
              <w:t>Term expires, if</w:t>
            </w:r>
          </w:p>
        </w:tc>
        <w:tc>
          <w:tcPr>
            <w:tcW w:w="2460" w:type="dxa"/>
            <w:vAlign w:val="bottom"/>
          </w:tcPr>
          <w:p>
            <w:pPr>
              <w:ind w:left="120"/>
              <w:spacing w:after="0"/>
              <w:rPr>
                <w:sz w:val="20"/>
                <w:szCs w:val="20"/>
                <w:color w:val="auto"/>
              </w:rPr>
            </w:pPr>
            <w:r>
              <w:rPr>
                <w:rFonts w:ascii="Arial" w:cs="Arial" w:eastAsia="Arial" w:hAnsi="Arial"/>
                <w:sz w:val="17"/>
                <w:szCs w:val="17"/>
                <w:color w:val="auto"/>
                <w:w w:val="99"/>
              </w:rPr>
              <w:t>equity groups, since July 2016.</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7"/>
                <w:szCs w:val="17"/>
                <w:color w:val="auto"/>
              </w:rPr>
              <w:t>elected, 2024</w:t>
            </w:r>
          </w:p>
        </w:tc>
        <w:tc>
          <w:tcPr>
            <w:tcW w:w="2460" w:type="dxa"/>
            <w:vAlign w:val="bottom"/>
          </w:tcPr>
          <w:p>
            <w:pPr>
              <w:ind w:left="120"/>
              <w:spacing w:after="0"/>
              <w:rPr>
                <w:sz w:val="20"/>
                <w:szCs w:val="20"/>
                <w:color w:val="auto"/>
              </w:rPr>
            </w:pPr>
            <w:r>
              <w:rPr>
                <w:rFonts w:ascii="Arial" w:cs="Arial" w:eastAsia="Arial" w:hAnsi="Arial"/>
                <w:sz w:val="17"/>
                <w:szCs w:val="17"/>
                <w:color w:val="auto"/>
              </w:rPr>
              <w:t>Prior to Orrick, Herrington &amp;</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Sutcliffe LLP Mr. Brozost</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w w:val="98"/>
              </w:rPr>
              <w:t>practiced law at Schulte Roth &amp;</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Zabel from May 2012 to July</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2016 and at Dewey &amp; LeBoeuf</w:t>
            </w:r>
          </w:p>
        </w:tc>
      </w:tr>
      <w:tr>
        <w:trPr>
          <w:trHeight w:val="216"/>
        </w:trPr>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LLP from 2005 to 2012.</w:t>
            </w:r>
          </w:p>
        </w:tc>
      </w:tr>
      <w:tr>
        <w:trPr>
          <w:trHeight w:val="337"/>
        </w:trPr>
        <w:tc>
          <w:tcPr>
            <w:tcW w:w="1940" w:type="dxa"/>
            <w:vAlign w:val="bottom"/>
          </w:tcPr>
          <w:p>
            <w:pPr>
              <w:spacing w:after="0"/>
              <w:rPr>
                <w:sz w:val="20"/>
                <w:szCs w:val="20"/>
                <w:color w:val="auto"/>
              </w:rPr>
            </w:pPr>
            <w:r>
              <w:rPr>
                <w:rFonts w:ascii="Arial" w:cs="Arial" w:eastAsia="Arial" w:hAnsi="Arial"/>
                <w:sz w:val="17"/>
                <w:szCs w:val="17"/>
                <w:color w:val="auto"/>
              </w:rPr>
              <w:t>Jeffrey Flug (58)</w:t>
            </w:r>
          </w:p>
        </w:tc>
        <w:tc>
          <w:tcPr>
            <w:tcW w:w="1460" w:type="dxa"/>
            <w:vAlign w:val="bottom"/>
          </w:tcPr>
          <w:p>
            <w:pPr>
              <w:ind w:left="400"/>
              <w:spacing w:after="0"/>
              <w:rPr>
                <w:sz w:val="20"/>
                <w:szCs w:val="20"/>
                <w:color w:val="auto"/>
              </w:rPr>
            </w:pPr>
            <w:r>
              <w:rPr>
                <w:rFonts w:ascii="Arial" w:cs="Arial" w:eastAsia="Arial" w:hAnsi="Arial"/>
                <w:sz w:val="17"/>
                <w:szCs w:val="17"/>
                <w:color w:val="auto"/>
              </w:rPr>
              <w:t>Director</w:t>
            </w:r>
          </w:p>
        </w:tc>
        <w:tc>
          <w:tcPr>
            <w:tcW w:w="1800" w:type="dxa"/>
            <w:vAlign w:val="bottom"/>
          </w:tcPr>
          <w:p>
            <w:pPr>
              <w:ind w:left="420"/>
              <w:spacing w:after="0"/>
              <w:rPr>
                <w:sz w:val="20"/>
                <w:szCs w:val="20"/>
                <w:color w:val="auto"/>
              </w:rPr>
            </w:pPr>
            <w:r>
              <w:rPr>
                <w:rFonts w:ascii="Arial" w:cs="Arial" w:eastAsia="Arial" w:hAnsi="Arial"/>
                <w:sz w:val="17"/>
                <w:szCs w:val="17"/>
                <w:color w:val="auto"/>
              </w:rPr>
              <w:t>PFLT - Class II</w:t>
            </w:r>
          </w:p>
        </w:tc>
        <w:tc>
          <w:tcPr>
            <w:tcW w:w="2460" w:type="dxa"/>
            <w:vAlign w:val="bottom"/>
          </w:tcPr>
          <w:p>
            <w:pPr>
              <w:ind w:left="120"/>
              <w:spacing w:after="0"/>
              <w:rPr>
                <w:sz w:val="20"/>
                <w:szCs w:val="20"/>
                <w:color w:val="auto"/>
              </w:rPr>
            </w:pPr>
            <w:r>
              <w:rPr>
                <w:rFonts w:ascii="Arial" w:cs="Arial" w:eastAsia="Arial" w:hAnsi="Arial"/>
                <w:sz w:val="17"/>
                <w:szCs w:val="17"/>
                <w:color w:val="auto"/>
                <w:w w:val="95"/>
              </w:rPr>
              <w:t>Mr. Flug was President of Union</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7"/>
                <w:szCs w:val="17"/>
                <w:color w:val="auto"/>
              </w:rPr>
              <w:t>Director since</w:t>
            </w:r>
          </w:p>
        </w:tc>
        <w:tc>
          <w:tcPr>
            <w:tcW w:w="2460" w:type="dxa"/>
            <w:vAlign w:val="bottom"/>
          </w:tcPr>
          <w:p>
            <w:pPr>
              <w:ind w:left="120"/>
              <w:spacing w:after="0"/>
              <w:rPr>
                <w:sz w:val="20"/>
                <w:szCs w:val="20"/>
                <w:color w:val="auto"/>
              </w:rPr>
            </w:pPr>
            <w:r>
              <w:rPr>
                <w:rFonts w:ascii="Arial" w:cs="Arial" w:eastAsia="Arial" w:hAnsi="Arial"/>
                <w:sz w:val="17"/>
                <w:szCs w:val="17"/>
                <w:color w:val="auto"/>
              </w:rPr>
              <w:t>Square Hospitality Group, an</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7"/>
                <w:szCs w:val="17"/>
                <w:color w:val="auto"/>
              </w:rPr>
              <w:t>October 2010;</w:t>
            </w:r>
          </w:p>
        </w:tc>
        <w:tc>
          <w:tcPr>
            <w:tcW w:w="2460" w:type="dxa"/>
            <w:vAlign w:val="bottom"/>
          </w:tcPr>
          <w:p>
            <w:pPr>
              <w:ind w:left="120"/>
              <w:spacing w:after="0"/>
              <w:rPr>
                <w:sz w:val="20"/>
                <w:szCs w:val="20"/>
                <w:color w:val="auto"/>
              </w:rPr>
            </w:pPr>
            <w:r>
              <w:rPr>
                <w:rFonts w:ascii="Arial" w:cs="Arial" w:eastAsia="Arial" w:hAnsi="Arial"/>
                <w:sz w:val="17"/>
                <w:szCs w:val="17"/>
                <w:color w:val="auto"/>
              </w:rPr>
              <w:t>exclusive chain of restaurants,</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7"/>
                <w:szCs w:val="17"/>
                <w:color w:val="auto"/>
                <w:w w:val="95"/>
              </w:rPr>
              <w:t>Term expires 2022</w:t>
            </w:r>
          </w:p>
        </w:tc>
        <w:tc>
          <w:tcPr>
            <w:tcW w:w="2460" w:type="dxa"/>
            <w:vAlign w:val="bottom"/>
          </w:tcPr>
          <w:p>
            <w:pPr>
              <w:ind w:left="120"/>
              <w:spacing w:after="0"/>
              <w:rPr>
                <w:sz w:val="20"/>
                <w:szCs w:val="20"/>
                <w:color w:val="auto"/>
              </w:rPr>
            </w:pPr>
            <w:r>
              <w:rPr>
                <w:rFonts w:ascii="Arial" w:cs="Arial" w:eastAsia="Arial" w:hAnsi="Arial"/>
                <w:sz w:val="17"/>
                <w:szCs w:val="17"/>
                <w:color w:val="auto"/>
                <w:w w:val="92"/>
              </w:rPr>
              <w:t>from 2009 to June 2015. Mr. Flug</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w w:val="92"/>
              </w:rPr>
              <w:t>served as Chief Executive Officer</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and Executive Director of</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Millennium Promise Alliance,</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Inc., a non-profit organization</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whose mission is to eradicate</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extreme global poverty, from</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w w:val="90"/>
              </w:rPr>
              <w:t>2006 to 2008. From 2000 to 2006,</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Mr. Flug was a Managing</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Director and Head of North</w:t>
            </w:r>
          </w:p>
        </w:tc>
      </w:tr>
      <w:tr>
        <w:trPr>
          <w:trHeight w:val="203"/>
        </w:trPr>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w w:val="91"/>
              </w:rPr>
              <w:t>American Institutional Sales at JP</w:t>
            </w:r>
          </w:p>
        </w:tc>
      </w:tr>
      <w:tr>
        <w:trPr>
          <w:trHeight w:val="216"/>
        </w:trPr>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60" w:type="dxa"/>
            <w:vAlign w:val="bottom"/>
          </w:tcPr>
          <w:p>
            <w:pPr>
              <w:ind w:left="120"/>
              <w:spacing w:after="0"/>
              <w:rPr>
                <w:sz w:val="20"/>
                <w:szCs w:val="20"/>
                <w:color w:val="auto"/>
              </w:rPr>
            </w:pPr>
            <w:r>
              <w:rPr>
                <w:rFonts w:ascii="Arial" w:cs="Arial" w:eastAsia="Arial" w:hAnsi="Arial"/>
                <w:sz w:val="17"/>
                <w:szCs w:val="17"/>
                <w:color w:val="auto"/>
              </w:rPr>
              <w:t>Morgan’s Investment Bank.</w:t>
            </w:r>
          </w:p>
        </w:tc>
      </w:tr>
      <w:tr>
        <w:trPr>
          <w:trHeight w:val="571"/>
        </w:trPr>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Shake Shack Inc.,</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since September</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2014; Sears</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Hometown and</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Outlet Stores, Inc.,</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from October 2012 to</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September 2015.</w:t>
      </w:r>
    </w:p>
    <w:p>
      <w:pPr>
        <w:sectPr>
          <w:pgSz w:w="11900" w:h="16838" w:orient="portrait"/>
          <w:cols w:equalWidth="0" w:num="2">
            <w:col w:w="7820" w:space="720"/>
            <w:col w:w="2700"/>
          </w:cols>
          <w:pgMar w:left="320" w:top="131" w:right="339" w:bottom="1440" w:gutter="0" w:footer="0" w:header="0"/>
          <w:type w:val="continuous"/>
        </w:sectPr>
      </w:pPr>
    </w:p>
    <w:bookmarkStart w:id="11" w:name="page12"/>
    <w:bookmarkEnd w:id="11"/>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least, the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Arial" w:cs="Arial" w:eastAsia="Arial" w:hAnsi="Arial"/>
                <w:sz w:val="17"/>
                <w:szCs w:val="17"/>
                <w:color w:val="auto"/>
              </w:rPr>
              <w:t>Samuel L. Katz (55)</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380" w:type="dxa"/>
            <w:vAlign w:val="bottom"/>
          </w:tcPr>
          <w:p>
            <w:pPr>
              <w:spacing w:after="0"/>
              <w:rPr>
                <w:sz w:val="20"/>
                <w:szCs w:val="20"/>
                <w:color w:val="auto"/>
              </w:rPr>
            </w:pPr>
            <w:r>
              <w:rPr>
                <w:rFonts w:ascii="Arial" w:cs="Arial" w:eastAsia="Arial" w:hAnsi="Arial"/>
                <w:sz w:val="17"/>
                <w:szCs w:val="17"/>
                <w:color w:val="auto"/>
              </w:rPr>
              <w:t>PFLT - Class I</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6"/>
              </w:rPr>
              <w:t>Managing Partner of TZP Group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Nominee</w:t>
            </w: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6"/>
              </w:rPr>
              <w:t>LLC, a private equity fund, since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5"/>
              </w:rPr>
              <w:t>2007. Before joining TZP Group,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Term expires, if</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Mr. Katz was Chief Executive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elected, 2024</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5"/>
              </w:rPr>
              <w:t>Officer of MacAndrews &amp; Forbes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Acquisition Holdings, Inc. from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2006 to 2007. Prior to that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5"/>
              </w:rPr>
              <w:t>position, Mr. Katz was Chairman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and Chief Executive Officer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9"/>
              </w:rPr>
              <w:t>the Cendant Travel Distribution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Services Division from 2001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2005.</w:t>
            </w:r>
          </w:p>
        </w:tc>
        <w:tc>
          <w:tcPr>
            <w:tcW w:w="0" w:type="dxa"/>
            <w:vAlign w:val="bottom"/>
          </w:tcPr>
          <w:p>
            <w:pPr>
              <w:spacing w:after="0"/>
              <w:rPr>
                <w:sz w:val="1"/>
                <w:szCs w:val="1"/>
                <w:color w:val="auto"/>
              </w:rPr>
            </w:pPr>
          </w:p>
        </w:tc>
      </w:tr>
      <w:tr>
        <w:trPr>
          <w:trHeight w:val="436"/>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19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8"/>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340"/>
        </w:trPr>
        <w:tc>
          <w:tcPr>
            <w:tcW w:w="19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bl>
    <w:p>
      <w:pPr>
        <w:sectPr>
          <w:pgSz w:w="11900" w:h="16838" w:orient="portrait"/>
          <w:cols w:equalWidth="0" w:num="2">
            <w:col w:w="7680" w:space="100"/>
            <w:col w:w="3460"/>
          </w:cols>
          <w:pgMar w:left="320" w:top="13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1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least, the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with Company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Past 5 Years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by Director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341"/>
        </w:trPr>
        <w:tc>
          <w:tcPr>
            <w:tcW w:w="22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Interested Director</w:t>
            </w: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40" w:type="dxa"/>
            <w:vAlign w:val="bottom"/>
          </w:tcPr>
          <w:p>
            <w:pPr>
              <w:spacing w:after="0"/>
              <w:rPr>
                <w:sz w:val="20"/>
                <w:szCs w:val="20"/>
                <w:color w:val="auto"/>
              </w:rPr>
            </w:pPr>
            <w:r>
              <w:rPr>
                <w:rFonts w:ascii="Arial" w:cs="Arial" w:eastAsia="Arial" w:hAnsi="Arial"/>
                <w:sz w:val="17"/>
                <w:szCs w:val="17"/>
                <w:color w:val="auto"/>
              </w:rPr>
              <w:t>Arthur H. Penn (57)</w:t>
            </w:r>
            <w:r>
              <w:rPr>
                <w:rFonts w:ascii="Arial" w:cs="Arial" w:eastAsia="Arial" w:hAnsi="Arial"/>
                <w:sz w:val="14"/>
                <w:szCs w:val="14"/>
                <w:color w:val="auto"/>
              </w:rPr>
              <w:t>(3)</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380" w:type="dxa"/>
            <w:vAlign w:val="bottom"/>
          </w:tcPr>
          <w:p>
            <w:pPr>
              <w:spacing w:after="0"/>
              <w:rPr>
                <w:sz w:val="20"/>
                <w:szCs w:val="20"/>
                <w:color w:val="auto"/>
              </w:rPr>
            </w:pPr>
            <w:r>
              <w:rPr>
                <w:rFonts w:ascii="Arial" w:cs="Arial" w:eastAsia="Arial" w:hAnsi="Arial"/>
                <w:sz w:val="17"/>
                <w:szCs w:val="17"/>
                <w:color w:val="auto"/>
              </w:rPr>
              <w:t>PFLT - Class III</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Founder, Chairman and Chief</w:t>
            </w:r>
          </w:p>
        </w:tc>
        <w:tc>
          <w:tcPr>
            <w:tcW w:w="19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Executive Officer of the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Chief Executive</w:t>
            </w: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Company from its inception in</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Officer and</w:t>
            </w:r>
          </w:p>
        </w:tc>
        <w:tc>
          <w:tcPr>
            <w:tcW w:w="1380" w:type="dxa"/>
            <w:vAlign w:val="bottom"/>
          </w:tcPr>
          <w:p>
            <w:pPr>
              <w:spacing w:after="0"/>
              <w:rPr>
                <w:sz w:val="20"/>
                <w:szCs w:val="20"/>
                <w:color w:val="auto"/>
              </w:rPr>
            </w:pPr>
            <w:r>
              <w:rPr>
                <w:rFonts w:ascii="Arial" w:cs="Arial" w:eastAsia="Arial" w:hAnsi="Arial"/>
                <w:sz w:val="17"/>
                <w:szCs w:val="17"/>
                <w:color w:val="auto"/>
                <w:w w:val="95"/>
              </w:rPr>
              <w:t>Term expires 2023</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2010. Mr. Penn also is the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Chairman of the</w:t>
            </w: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Founder and Managing Member</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Board of</w:t>
            </w: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of the Adviser. Before founding</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Directors</w:t>
            </w: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PNNT, Mr. Penn was the Co-</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Founder of Apollo Investment</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Management, where he was a</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Managing Partner from 2004 to</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2006. He also served as Chief</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Operating Officer of Apollo</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Investment Corporation from</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inception in 2004 to 2006 and</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served as President and Chief</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Operating Officer in 2006. He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7"/>
              </w:rPr>
              <w:t>formerly was a Managing Partner</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of Apollo Value Fund L.P.</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(formerly Apollo Distressed</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6"/>
              </w:rPr>
              <w:t>Investment Fund, L.P.) from 2003</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to 2006.</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225"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8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79"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4" w:name="page15"/>
    <w:bookmarkEnd w:id="14"/>
    <w:p>
      <w:pPr>
        <w:ind w:right="240" w:firstLine="589"/>
        <w:spacing w:after="0" w:line="286" w:lineRule="auto"/>
        <w:rPr>
          <w:sz w:val="20"/>
          <w:szCs w:val="20"/>
          <w:color w:val="auto"/>
        </w:rPr>
      </w:pPr>
      <w:r>
        <w:rPr>
          <w:rFonts w:ascii="Arial" w:cs="Arial" w:eastAsia="Arial" w:hAnsi="Arial"/>
          <w:sz w:val="16"/>
          <w:szCs w:val="16"/>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90"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92" w:lineRule="exact"/>
        <w:rPr>
          <w:sz w:val="20"/>
          <w:szCs w:val="20"/>
          <w:color w:val="auto"/>
        </w:rPr>
      </w:pPr>
    </w:p>
    <w:p>
      <w:pPr>
        <w:ind w:right="480" w:firstLine="589"/>
        <w:spacing w:after="0" w:line="259" w:lineRule="auto"/>
        <w:rPr>
          <w:sz w:val="20"/>
          <w:szCs w:val="20"/>
          <w:color w:val="auto"/>
        </w:rPr>
      </w:pPr>
      <w:r>
        <w:rPr>
          <w:rFonts w:ascii="Arial" w:cs="Arial" w:eastAsia="Arial" w:hAnsi="Arial"/>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225"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22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7"/>
          <w:szCs w:val="17"/>
          <w:i w:val="1"/>
          <w:iCs w:val="1"/>
          <w:color w:val="auto"/>
        </w:rPr>
        <w:t>e.g</w:t>
      </w:r>
      <w:r>
        <w:rPr>
          <w:rFonts w:ascii="Arial" w:cs="Arial" w:eastAsia="Arial" w:hAnsi="Arial"/>
          <w:sz w:val="17"/>
          <w:szCs w:val="17"/>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Company</w:t>
      </w:r>
    </w:p>
    <w:p>
      <w:pPr>
        <w:spacing w:after="0" w:line="12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11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Mr. Brozost brings to the Board 23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Jeffrey Flug</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Mr. Katz brings to the Board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22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Board has established an Audit Committee, a Nominating and Corporate Governance Committee and a Compensation Committee. For the fiscal year ended September 30, 2020, the Board held four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7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6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executive officer who is not a director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24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Position(s) held</w:t>
            </w:r>
          </w:p>
        </w:tc>
        <w:tc>
          <w:tcPr>
            <w:tcW w:w="180" w:type="dxa"/>
            <w:vAlign w:val="bottom"/>
          </w:tcPr>
          <w:p>
            <w:pPr>
              <w:spacing w:after="0"/>
              <w:rPr>
                <w:sz w:val="14"/>
                <w:szCs w:val="14"/>
                <w:color w:val="auto"/>
              </w:rPr>
            </w:pPr>
          </w:p>
        </w:tc>
        <w:tc>
          <w:tcPr>
            <w:tcW w:w="67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224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with the Company</w:t>
            </w:r>
          </w:p>
        </w:tc>
        <w:tc>
          <w:tcPr>
            <w:tcW w:w="18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Aviv Efrat (56)</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Financial Officer and</w:t>
            </w:r>
          </w:p>
        </w:tc>
        <w:tc>
          <w:tcPr>
            <w:tcW w:w="180" w:type="dxa"/>
            <w:vAlign w:val="bottom"/>
          </w:tcPr>
          <w:p>
            <w:pPr>
              <w:spacing w:after="0"/>
              <w:rPr>
                <w:sz w:val="16"/>
                <w:szCs w:val="16"/>
                <w:color w:val="auto"/>
              </w:rPr>
            </w:pPr>
          </w:p>
        </w:tc>
        <w:tc>
          <w:tcPr>
            <w:tcW w:w="6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Chief Financial Officer and Treasurer of PNNT and the Company from their inception 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Treasurer</w:t>
            </w: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8"/>
              </w:rPr>
              <w:t>2007 and 2010, respectively. Managing Director of the Administrator from inception in</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2"/>
              </w:rPr>
              <w:t>2007. Mr. Efrat was a Director at BlackRock, Inc., where he was responsible for a variety of</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5"/>
              </w:rPr>
              <w:t>administrative, operational, and financial aspects of closed-end and open-end registered</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rPr>
              <w:t>investment companies from 1997 to 2007. From 1994 to 1997, Mr. Efrat was in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6"/>
              </w:rPr>
              <w:t>Investment Companies Business Unit at Deloitte &amp; Touche LLP. He is a member of the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9"/>
              </w:rPr>
              <w:t>American Institute of Certified Public Accountants and the New York State Society of</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rPr>
              <w:t>Certified Public Accountants.</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CCO who is not a director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240" w:type="dxa"/>
            <w:vAlign w:val="bottom"/>
          </w:tcPr>
          <w:p>
            <w:pPr>
              <w:jc w:val="center"/>
              <w:ind w:left="42"/>
              <w:spacing w:after="0"/>
              <w:rPr>
                <w:sz w:val="20"/>
                <w:szCs w:val="20"/>
                <w:color w:val="auto"/>
              </w:rPr>
            </w:pPr>
            <w:r>
              <w:rPr>
                <w:rFonts w:ascii="Arial" w:cs="Arial" w:eastAsia="Arial" w:hAnsi="Arial"/>
                <w:sz w:val="14"/>
                <w:szCs w:val="14"/>
                <w:b w:val="1"/>
                <w:bCs w:val="1"/>
                <w:color w:val="auto"/>
                <w:w w:val="90"/>
              </w:rPr>
              <w:t>Position held</w:t>
            </w:r>
          </w:p>
        </w:tc>
        <w:tc>
          <w:tcPr>
            <w:tcW w:w="120" w:type="dxa"/>
            <w:vAlign w:val="bottom"/>
          </w:tcPr>
          <w:p>
            <w:pPr>
              <w:spacing w:after="0"/>
              <w:rPr>
                <w:sz w:val="14"/>
                <w:szCs w:val="14"/>
                <w:color w:val="auto"/>
              </w:rPr>
            </w:pPr>
          </w:p>
        </w:tc>
        <w:tc>
          <w:tcPr>
            <w:tcW w:w="67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2240" w:type="dxa"/>
            <w:vAlign w:val="bottom"/>
          </w:tcPr>
          <w:p>
            <w:pPr>
              <w:jc w:val="center"/>
              <w:ind w:left="62"/>
              <w:spacing w:after="0"/>
              <w:rPr>
                <w:sz w:val="20"/>
                <w:szCs w:val="20"/>
                <w:color w:val="auto"/>
              </w:rPr>
            </w:pPr>
            <w:r>
              <w:rPr>
                <w:rFonts w:ascii="Arial" w:cs="Arial" w:eastAsia="Arial" w:hAnsi="Arial"/>
                <w:sz w:val="14"/>
                <w:szCs w:val="14"/>
                <w:b w:val="1"/>
                <w:bCs w:val="1"/>
                <w:color w:val="auto"/>
                <w:w w:val="94"/>
              </w:rPr>
              <w:t>with the Company</w:t>
            </w:r>
          </w:p>
        </w:tc>
        <w:tc>
          <w:tcPr>
            <w:tcW w:w="120" w:type="dxa"/>
            <w:vAlign w:val="bottom"/>
          </w:tcPr>
          <w:p>
            <w:pPr>
              <w:spacing w:after="0"/>
              <w:rPr>
                <w:sz w:val="14"/>
                <w:szCs w:val="14"/>
                <w:color w:val="auto"/>
              </w:rPr>
            </w:pPr>
          </w:p>
        </w:tc>
        <w:tc>
          <w:tcPr>
            <w:tcW w:w="6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F. Talarico (65)</w:t>
            </w:r>
          </w:p>
        </w:tc>
        <w:tc>
          <w:tcPr>
            <w:tcW w:w="100" w:type="dxa"/>
            <w:vAlign w:val="bottom"/>
          </w:tcPr>
          <w:p>
            <w:pPr>
              <w:spacing w:after="0"/>
              <w:rPr>
                <w:sz w:val="16"/>
                <w:szCs w:val="16"/>
                <w:color w:val="auto"/>
              </w:rPr>
            </w:pPr>
          </w:p>
        </w:tc>
        <w:tc>
          <w:tcPr>
            <w:tcW w:w="22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Chief Compliance Officer</w:t>
            </w:r>
          </w:p>
        </w:tc>
        <w:tc>
          <w:tcPr>
            <w:tcW w:w="120" w:type="dxa"/>
            <w:vAlign w:val="bottom"/>
          </w:tcPr>
          <w:p>
            <w:pPr>
              <w:spacing w:after="0"/>
              <w:rPr>
                <w:sz w:val="16"/>
                <w:szCs w:val="16"/>
                <w:color w:val="auto"/>
              </w:rPr>
            </w:pPr>
          </w:p>
        </w:tc>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Chief Compliance Officer of PNNT and the Company from May 2008 and March 2011,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3"/>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3"/>
              </w:rPr>
              <w:t>investment advisers, private funds and investment companies from 2004 when he founded</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Alaric Compliance Services, LLC, of which he is chief executive officer.</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2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Joint Code of Ethics</w:t>
      </w:r>
    </w:p>
    <w:p>
      <w:pPr>
        <w:spacing w:after="0" w:line="225"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9" w:name="page20"/>
    <w:bookmarkEnd w:id="19"/>
    <w:p>
      <w:pPr>
        <w:ind w:right="20" w:firstLine="589"/>
        <w:spacing w:after="0" w:line="293" w:lineRule="auto"/>
        <w:rPr>
          <w:sz w:val="20"/>
          <w:szCs w:val="20"/>
          <w:color w:val="auto"/>
        </w:rPr>
      </w:pPr>
      <w:r>
        <w:rPr>
          <w:rFonts w:ascii="Arial" w:cs="Arial" w:eastAsia="Arial" w:hAnsi="Arial"/>
          <w:sz w:val="16"/>
          <w:szCs w:val="16"/>
          <w:color w:val="auto"/>
        </w:rPr>
        <w:t>As required by the 1940 Act, the Company, together with PNNT, maintains a Joint Code of Ethics with the Adviser that establishes procedures that apply to the Company’s directors, officers, staff and the employees of the Adviser with respect to their personal investments and investment transactions. The Joint Code of Ethics generally does not permit investments by the Company’s directors, officers or any other covered person in securities that may be purchased or held by the Company. The Company filed the Joint Code of Ethics as Exhibit 14.1 to the Annual Report, filed with the SEC on November 18, 2020. You may access the Joint Code of Ethics via the Internet site of the SEC (http://www.sec.gov) or our website (http://www.pennantpark.com). The Company intends to disclose any material amendments to or waivers of required provisions of its Code of Conduct or its Joint Code of Ethics on Form 8-K.</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225"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Each Independent Director receives an annual payment of $70,000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22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2020. No compensation is paid directly by the Company to any interested director or executive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Aggregate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Pension or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Total paid to</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Total paid to</w:t>
            </w: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0" w:type="dxa"/>
            <w:vAlign w:val="bottom"/>
          </w:tcPr>
          <w:p>
            <w:pPr>
              <w:spacing w:after="0"/>
              <w:rPr>
                <w:sz w:val="1"/>
                <w:szCs w:val="1"/>
                <w:color w:val="auto"/>
              </w:rPr>
            </w:pPr>
          </w:p>
        </w:tc>
      </w:tr>
      <w:tr>
        <w:trPr>
          <w:trHeight w:val="148"/>
        </w:trPr>
        <w:tc>
          <w:tcPr>
            <w:tcW w:w="3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from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director/officer</w:t>
            </w: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from the Fund</w:t>
            </w:r>
          </w:p>
        </w:tc>
        <w:tc>
          <w:tcPr>
            <w:tcW w:w="0" w:type="dxa"/>
            <w:vAlign w:val="bottom"/>
          </w:tcPr>
          <w:p>
            <w:pPr>
              <w:spacing w:after="0"/>
              <w:rPr>
                <w:sz w:val="1"/>
                <w:szCs w:val="1"/>
                <w:color w:val="auto"/>
              </w:rPr>
            </w:pPr>
          </w:p>
        </w:tc>
      </w:tr>
      <w:tr>
        <w:trPr>
          <w:trHeight w:val="158"/>
        </w:trPr>
        <w:tc>
          <w:tcPr>
            <w:tcW w:w="346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Company</w:t>
            </w: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from the Company</w:t>
            </w:r>
          </w:p>
        </w:tc>
        <w:tc>
          <w:tcPr>
            <w:tcW w:w="220" w:type="dxa"/>
            <w:vAlign w:val="bottom"/>
          </w:tcPr>
          <w:p>
            <w:pPr>
              <w:spacing w:after="0"/>
              <w:rPr>
                <w:sz w:val="13"/>
                <w:szCs w:val="13"/>
                <w:color w:val="auto"/>
              </w:rPr>
            </w:pPr>
          </w:p>
        </w:tc>
        <w:tc>
          <w:tcPr>
            <w:tcW w:w="15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Complex</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Adam K. Bernstein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tcPr>
          <w:p>
            <w:pPr>
              <w:spacing w:after="0"/>
              <w:rPr>
                <w:sz w:val="20"/>
                <w:szCs w:val="20"/>
                <w:color w:val="auto"/>
              </w:rPr>
            </w:pPr>
            <w:r>
              <w:rPr>
                <w:rFonts w:ascii="Arial" w:cs="Arial" w:eastAsia="Arial" w:hAnsi="Arial"/>
                <w:sz w:val="18"/>
                <w:szCs w:val="18"/>
                <w:color w:val="auto"/>
              </w:rPr>
              <w:t>Marshall Brozost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81,250</w:t>
            </w:r>
          </w:p>
        </w:tc>
        <w:tc>
          <w:tcPr>
            <w:tcW w:w="280" w:type="dxa"/>
            <w:vAlign w:val="bottom"/>
          </w:tcPr>
          <w:p>
            <w:pPr>
              <w:spacing w:after="0"/>
              <w:rPr>
                <w:sz w:val="19"/>
                <w:szCs w:val="19"/>
                <w:color w:val="auto"/>
              </w:rPr>
            </w:pPr>
          </w:p>
        </w:tc>
        <w:tc>
          <w:tcPr>
            <w:tcW w:w="1820" w:type="dxa"/>
            <w:vAlign w:val="bottom"/>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81,250</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Jeffrey Flug</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tcPr>
          <w:p>
            <w:pPr>
              <w:spacing w:after="0"/>
              <w:rPr>
                <w:sz w:val="20"/>
                <w:szCs w:val="20"/>
                <w:color w:val="auto"/>
              </w:rPr>
            </w:pPr>
            <w:r>
              <w:rPr>
                <w:rFonts w:ascii="Arial" w:cs="Arial" w:eastAsia="Arial" w:hAnsi="Arial"/>
                <w:sz w:val="18"/>
                <w:szCs w:val="18"/>
                <w:color w:val="auto"/>
              </w:rPr>
              <w:t>Samuel L. Katz</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83,750</w:t>
            </w:r>
          </w:p>
        </w:tc>
        <w:tc>
          <w:tcPr>
            <w:tcW w:w="280" w:type="dxa"/>
            <w:vAlign w:val="bottom"/>
          </w:tcPr>
          <w:p>
            <w:pPr>
              <w:spacing w:after="0"/>
              <w:rPr>
                <w:sz w:val="19"/>
                <w:szCs w:val="19"/>
                <w:color w:val="auto"/>
              </w:rPr>
            </w:pPr>
          </w:p>
        </w:tc>
        <w:tc>
          <w:tcPr>
            <w:tcW w:w="1820" w:type="dxa"/>
            <w:vAlign w:val="bottom"/>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83,750</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6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Interested director</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Arthur H. Penn</w:t>
            </w:r>
          </w:p>
        </w:tc>
        <w:tc>
          <w:tcPr>
            <w:tcW w:w="2020" w:type="dxa"/>
            <w:vAlign w:val="bottom"/>
            <w:tcBorders>
              <w:top w:val="single" w:sz="8" w:color="CFF0FC"/>
            </w:tcBorders>
            <w:gridSpan w:val="2"/>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720" w:type="dxa"/>
            <w:vAlign w:val="bottom"/>
            <w:tcBorders>
              <w:top w:val="single" w:sz="8" w:color="CFF0FC"/>
            </w:tcBorders>
            <w:gridSpan w:val="2"/>
          </w:tcPr>
          <w:p>
            <w:pPr>
              <w:jc w:val="right"/>
              <w:ind w:right="300"/>
              <w:spacing w:after="0"/>
              <w:rPr>
                <w:sz w:val="20"/>
                <w:szCs w:val="20"/>
                <w:color w:val="auto"/>
              </w:rPr>
            </w:pPr>
            <w:r>
              <w:rPr>
                <w:rFonts w:ascii="Arial" w:cs="Arial" w:eastAsia="Arial" w:hAnsi="Arial"/>
                <w:sz w:val="18"/>
                <w:szCs w:val="18"/>
                <w:color w:val="auto"/>
              </w:rPr>
              <w:t>None</w:t>
            </w:r>
          </w:p>
        </w:tc>
        <w:tc>
          <w:tcPr>
            <w:tcW w:w="1820" w:type="dxa"/>
            <w:vAlign w:val="bottom"/>
            <w:tcBorders>
              <w:top w:val="single" w:sz="8" w:color="CFF0FC"/>
            </w:tcBorders>
          </w:tcPr>
          <w:p>
            <w:pPr>
              <w:ind w:left="1420"/>
              <w:spacing w:after="0"/>
              <w:rPr>
                <w:sz w:val="20"/>
                <w:szCs w:val="20"/>
                <w:color w:val="auto"/>
              </w:rPr>
            </w:pPr>
            <w:r>
              <w:rPr>
                <w:rFonts w:ascii="Arial" w:cs="Arial" w:eastAsia="Arial" w:hAnsi="Arial"/>
                <w:sz w:val="18"/>
                <w:szCs w:val="18"/>
                <w:color w:val="auto"/>
                <w:w w:val="88"/>
              </w:rPr>
              <w:t>None</w:t>
            </w:r>
          </w:p>
        </w:tc>
        <w:tc>
          <w:tcPr>
            <w:tcW w:w="1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gridSpan w:val="2"/>
          </w:tcPr>
          <w:p>
            <w:pPr>
              <w:jc w:val="right"/>
              <w:ind w:right="320"/>
              <w:spacing w:after="0"/>
              <w:rPr>
                <w:sz w:val="20"/>
                <w:szCs w:val="20"/>
                <w:color w:val="auto"/>
              </w:rPr>
            </w:pPr>
            <w:r>
              <w:rPr>
                <w:rFonts w:ascii="Arial" w:cs="Arial" w:eastAsia="Arial" w:hAnsi="Arial"/>
                <w:sz w:val="18"/>
                <w:szCs w:val="18"/>
                <w:color w:val="auto"/>
              </w:rPr>
              <w:t>None</w:t>
            </w:r>
          </w:p>
        </w:tc>
        <w:tc>
          <w:tcPr>
            <w:tcW w:w="220" w:type="dxa"/>
            <w:vAlign w:val="bottom"/>
            <w:tcBorders>
              <w:top w:val="single" w:sz="8" w:color="CFF0FC"/>
            </w:tcBorders>
          </w:tcPr>
          <w:p>
            <w:pPr>
              <w:spacing w:after="0"/>
              <w:rPr>
                <w:sz w:val="19"/>
                <w:szCs w:val="19"/>
                <w:color w:val="auto"/>
              </w:rPr>
            </w:pPr>
          </w:p>
        </w:tc>
        <w:tc>
          <w:tcPr>
            <w:tcW w:w="158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0"/>
        </w:trPr>
        <w:tc>
          <w:tcPr>
            <w:tcW w:w="346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Executive officer</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2160" w:type="dxa"/>
            <w:vAlign w:val="bottom"/>
            <w:tcBorders>
              <w:top w:val="single" w:sz="8" w:color="CFF0FC"/>
            </w:tcBorders>
            <w:gridSpan w:val="3"/>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720" w:type="dxa"/>
            <w:vAlign w:val="bottom"/>
            <w:tcBorders>
              <w:top w:val="single" w:sz="8" w:color="CFF0FC"/>
            </w:tcBorders>
            <w:gridSpan w:val="2"/>
          </w:tcPr>
          <w:p>
            <w:pPr>
              <w:jc w:val="right"/>
              <w:ind w:right="300"/>
              <w:spacing w:after="0"/>
              <w:rPr>
                <w:sz w:val="20"/>
                <w:szCs w:val="20"/>
                <w:color w:val="auto"/>
              </w:rPr>
            </w:pPr>
            <w:r>
              <w:rPr>
                <w:rFonts w:ascii="Arial" w:cs="Arial" w:eastAsia="Arial" w:hAnsi="Arial"/>
                <w:sz w:val="18"/>
                <w:szCs w:val="18"/>
                <w:color w:val="auto"/>
              </w:rPr>
              <w:t>None</w:t>
            </w:r>
          </w:p>
        </w:tc>
        <w:tc>
          <w:tcPr>
            <w:tcW w:w="1820" w:type="dxa"/>
            <w:vAlign w:val="bottom"/>
            <w:tcBorders>
              <w:top w:val="single" w:sz="8" w:color="CFF0FC"/>
            </w:tcBorders>
          </w:tcPr>
          <w:p>
            <w:pPr>
              <w:ind w:left="1420"/>
              <w:spacing w:after="0"/>
              <w:rPr>
                <w:sz w:val="20"/>
                <w:szCs w:val="20"/>
                <w:color w:val="auto"/>
              </w:rPr>
            </w:pPr>
            <w:r>
              <w:rPr>
                <w:rFonts w:ascii="Arial" w:cs="Arial" w:eastAsia="Arial" w:hAnsi="Arial"/>
                <w:sz w:val="18"/>
                <w:szCs w:val="18"/>
                <w:color w:val="auto"/>
                <w:w w:val="88"/>
              </w:rPr>
              <w:t>None</w:t>
            </w: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820" w:type="dxa"/>
            <w:vAlign w:val="bottom"/>
            <w:tcBorders>
              <w:top w:val="single" w:sz="8" w:color="CFF0FC"/>
            </w:tcBorders>
            <w:gridSpan w:val="2"/>
          </w:tcPr>
          <w:p>
            <w:pPr>
              <w:jc w:val="right"/>
              <w:ind w:right="320"/>
              <w:spacing w:after="0"/>
              <w:rPr>
                <w:sz w:val="20"/>
                <w:szCs w:val="20"/>
                <w:color w:val="auto"/>
              </w:rPr>
            </w:pPr>
            <w:r>
              <w:rPr>
                <w:rFonts w:ascii="Arial" w:cs="Arial" w:eastAsia="Arial" w:hAnsi="Arial"/>
                <w:sz w:val="18"/>
                <w:szCs w:val="18"/>
                <w:color w:val="auto"/>
              </w:rPr>
              <w:t>None</w:t>
            </w:r>
          </w:p>
        </w:tc>
        <w:tc>
          <w:tcPr>
            <w:tcW w:w="220" w:type="dxa"/>
            <w:vAlign w:val="bottom"/>
            <w:tcBorders>
              <w:top w:val="single" w:sz="8" w:color="CFF0FC"/>
            </w:tcBorders>
          </w:tcPr>
          <w:p>
            <w:pPr>
              <w:spacing w:after="0"/>
              <w:rPr>
                <w:sz w:val="20"/>
                <w:szCs w:val="20"/>
                <w:color w:val="auto"/>
              </w:rPr>
            </w:pPr>
          </w:p>
        </w:tc>
        <w:tc>
          <w:tcPr>
            <w:tcW w:w="158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822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2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Company’s investment activities are managed by the Adviser and supervised by the Board, of which 80% of the members are Independent Directors. The Company’s Investment Advisory Management Agreement with the Adviser (the “Investment Management Agreement”) was most recently re-approved by the Board, including a majority of the Independent Directors, in February 2020.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2020, the Adviser earned a base management fee of $11.4 million and an incentive fee of $9.3 million from the Company.</w:t>
      </w:r>
    </w:p>
    <w:p>
      <w:pPr>
        <w:spacing w:after="0" w:line="195" w:lineRule="exact"/>
        <w:rPr>
          <w:sz w:val="20"/>
          <w:szCs w:val="20"/>
          <w:color w:val="auto"/>
        </w:rPr>
      </w:pPr>
    </w:p>
    <w:p>
      <w:pPr>
        <w:ind w:right="180" w:firstLine="589"/>
        <w:spacing w:after="0" w:line="293" w:lineRule="auto"/>
        <w:rPr>
          <w:sz w:val="20"/>
          <w:szCs w:val="20"/>
          <w:color w:val="auto"/>
        </w:rPr>
      </w:pPr>
      <w:r>
        <w:rPr>
          <w:rFonts w:ascii="Arial" w:cs="Arial" w:eastAsia="Arial" w:hAnsi="Arial"/>
          <w:sz w:val="16"/>
          <w:szCs w:val="16"/>
          <w:color w:val="auto"/>
        </w:rPr>
        <w:t>The Company’s Administration Agreement with the Administrator (the “Administration Agreement”) was re-approved by the Board, including a majority of the Independent Directors, in February 2020.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a Managing Director of the Administrator. For the fiscal year ended September 30, 2020, the Adviser and the Administrator, collectively, were reimbursed $1.6 million from the Company for the services described above.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700" w:firstLine="589"/>
        <w:spacing w:after="0" w:line="342" w:lineRule="auto"/>
        <w:rPr>
          <w:sz w:val="20"/>
          <w:szCs w:val="20"/>
          <w:color w:val="auto"/>
        </w:rPr>
      </w:pPr>
      <w:r>
        <w:rPr>
          <w:rFonts w:ascii="Arial" w:cs="Arial" w:eastAsia="Arial" w:hAnsi="Arial"/>
          <w:sz w:val="16"/>
          <w:szCs w:val="16"/>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24"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Code of Conduct or Joint Code of Ethics.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22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RSM US LLP (“RSM”), has been selected as the independent registered public accounting firm to audit the consolidated financial statements of the Company and its subsidiaries on and during the Company’s fiscal year ending September 30, 2021. RSM was selected by the Audit Committee, and that selection was ratified by a majority of the Board, including all of the Independent Directors, by a vote cast in person virtually.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225"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aggregate fees by RSM were billed to the Company for work attributed to audit, tax and other services provided to the Company for the fiscal years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117475</wp:posOffset>
            </wp:positionV>
            <wp:extent cx="4852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jc w:val="right"/>
              <w:ind w:right="1093"/>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60" w:type="dxa"/>
            <w:vAlign w:val="bottom"/>
            <w:gridSpan w:val="2"/>
          </w:tcPr>
          <w:p>
            <w:pPr>
              <w:ind w:left="58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w:t>
            </w:r>
          </w:p>
        </w:tc>
        <w:tc>
          <w:tcPr>
            <w:tcW w:w="10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628,767</w:t>
            </w:r>
          </w:p>
        </w:tc>
        <w:tc>
          <w:tcPr>
            <w:tcW w:w="4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Audit Related Fees</w:t>
            </w:r>
          </w:p>
        </w:tc>
        <w:tc>
          <w:tcPr>
            <w:tcW w:w="16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166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106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120" w:type="dxa"/>
            <w:vAlign w:val="bottom"/>
            <w:shd w:val="clear" w:color="auto" w:fill="CFF0FC"/>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All Other Fees</w:t>
            </w:r>
          </w:p>
        </w:tc>
        <w:tc>
          <w:tcPr>
            <w:tcW w:w="16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12,428</w:t>
            </w:r>
          </w:p>
        </w:tc>
        <w:tc>
          <w:tcPr>
            <w:tcW w:w="10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040" w:type="dxa"/>
            <w:vAlign w:val="bottom"/>
          </w:tcPr>
          <w:p>
            <w:pPr>
              <w:jc w:val="right"/>
              <w:spacing w:after="0"/>
              <w:rPr>
                <w:sz w:val="20"/>
                <w:szCs w:val="20"/>
                <w:color w:val="auto"/>
              </w:rPr>
            </w:pPr>
            <w:r>
              <w:rPr>
                <w:rFonts w:ascii="Arial" w:cs="Arial" w:eastAsia="Arial" w:hAnsi="Arial"/>
                <w:sz w:val="18"/>
                <w:szCs w:val="18"/>
                <w:color w:val="auto"/>
              </w:rPr>
              <w:t>15,077</w:t>
            </w:r>
          </w:p>
        </w:tc>
        <w:tc>
          <w:tcPr>
            <w:tcW w:w="120" w:type="dxa"/>
            <w:vAlign w:val="bottom"/>
          </w:tcPr>
          <w:p>
            <w:pPr>
              <w:spacing w:after="0"/>
              <w:rPr>
                <w:sz w:val="19"/>
                <w:szCs w:val="19"/>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658,195</w:t>
            </w:r>
          </w:p>
        </w:tc>
        <w:tc>
          <w:tcPr>
            <w:tcW w:w="4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480,824</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normally provided in connection with statutory and regulatory filings.</w:t>
      </w:r>
    </w:p>
    <w:p>
      <w:pPr>
        <w:spacing w:after="0" w:line="170"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8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225"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2020 were approved by the Audit Committee in accordance with such policy.</w:t>
      </w:r>
    </w:p>
    <w:p>
      <w:pPr>
        <w:spacing w:after="0" w:line="176"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ind w:right="20"/>
        <w:spacing w:after="0" w:line="266"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Committee Report </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the fiscal year ended September 30, 2020.</w:t>
      </w:r>
    </w:p>
    <w:p>
      <w:pPr>
        <w:spacing w:after="0" w:line="170"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64"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66"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65" w:lineRule="exact"/>
        <w:rPr>
          <w:sz w:val="20"/>
          <w:szCs w:val="20"/>
          <w:color w:val="auto"/>
        </w:rPr>
      </w:pPr>
    </w:p>
    <w:p>
      <w:pPr>
        <w:ind w:left="580" w:right="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i w:val="1"/>
          <w:iCs w:val="1"/>
          <w:color w:val="auto"/>
        </w:rPr>
        <w:t>OTHER BUSINESS</w:t>
      </w:r>
    </w:p>
    <w:p>
      <w:pPr>
        <w:spacing w:after="0" w:line="225"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Board knows of no other matter that is likely to come before the Meeting or that may properly come before the Meeting, apart from the consideration of an adjournment or postponement. If any other matter properly comes before the Meeting, however, the persons named in the proxies will vote on such matter in their discretion.</w:t>
      </w:r>
    </w:p>
    <w:p>
      <w:pPr>
        <w:spacing w:after="0" w:line="184"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225"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149"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 xml:space="preserve">Whether or not you expect to participate in the virtual Meeting, please follow the instructions on the Notice of Internet Availability of Proxy Materials to authorize your proxy via the Internet or telephone, or request, sign, date and return a proxy card so that you may be represented at the Meeting. The Meeting will be a completely virtual meeting of Stockholders and will be conducted exclusively by webcast. To participate in the Meeting, visit </w:t>
      </w:r>
      <w:r>
        <w:rPr>
          <w:rFonts w:ascii="Arial" w:cs="Arial" w:eastAsia="Arial" w:hAnsi="Arial"/>
          <w:sz w:val="16"/>
          <w:szCs w:val="16"/>
          <w:u w:val="single" w:color="auto"/>
          <w:color w:val="auto"/>
        </w:rPr>
        <w:t>www.virtualshareholdermeeting.com/PFLT2021</w:t>
      </w:r>
      <w:r>
        <w:rPr>
          <w:rFonts w:ascii="Arial" w:cs="Arial" w:eastAsia="Arial" w:hAnsi="Arial"/>
          <w:sz w:val="16"/>
          <w:szCs w:val="16"/>
          <w:color w:val="auto"/>
        </w:rPr>
        <w:t xml:space="preserve">, and enter the 16-digit Control Number included in your Notice of Internet Availability of Proxy Materials. Online check-in will begin at 9:45 a.m., Eastern Time. Please allow time for online check-in procedures. For questions regarding the virtual Meeting please call the support number that will be posted on the virtual Meeting platform log-in page at </w:t>
      </w:r>
      <w:r>
        <w:rPr>
          <w:rFonts w:ascii="Arial" w:cs="Arial" w:eastAsia="Arial" w:hAnsi="Arial"/>
          <w:sz w:val="16"/>
          <w:szCs w:val="16"/>
          <w:u w:val="single" w:color="auto"/>
          <w:color w:val="auto"/>
        </w:rPr>
        <w:t>www.virtualshareholdermeeting.com/PFLT2021</w:t>
      </w:r>
      <w:r>
        <w:rPr>
          <w:rFonts w:ascii="Arial" w:cs="Arial" w:eastAsia="Arial" w:hAnsi="Arial"/>
          <w:sz w:val="16"/>
          <w:szCs w:val="16"/>
          <w:color w:val="auto"/>
        </w:rPr>
        <w: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25" w:lineRule="exact"/>
        <w:rPr>
          <w:sz w:val="20"/>
          <w:szCs w:val="20"/>
          <w:color w:val="auto"/>
        </w:rPr>
      </w:pPr>
    </w:p>
    <w:p>
      <w:pPr>
        <w:ind w:right="120" w:firstLine="589"/>
        <w:spacing w:after="0" w:line="289" w:lineRule="auto"/>
        <w:rPr>
          <w:sz w:val="20"/>
          <w:szCs w:val="20"/>
          <w:color w:val="auto"/>
        </w:rPr>
      </w:pPr>
      <w:r>
        <w:rPr>
          <w:rFonts w:ascii="Arial" w:cs="Arial" w:eastAsia="Arial" w:hAnsi="Arial"/>
          <w:sz w:val="16"/>
          <w:szCs w:val="16"/>
          <w:color w:val="auto"/>
        </w:rPr>
        <w:t>The Company expects to hold its 2022 Annual Meeting of Stockholders in February 2022,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2022 Annual Meeting of Stockholders must be received by the Company between July 11, 2021 and August 10, 2021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66"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complaints involving the CCO, may submit complaints directly to the Audit Committee’s Co-Chairs. Complaints may be submitted on an anonymous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13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Messrs. Jeffrey Flug and/or Samuel L. Katz</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10022</w:t>
      </w:r>
    </w:p>
    <w:p>
      <w:pPr>
        <w:spacing w:after="0" w:line="386"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You are cordially invited to attend our Annual Meeting of Stockholders in person (virtually). Whether or not you plan to attend the Meeting, you are requested to vote in accordance with the voting instructions in the Notice of Internet Availability of Proxy Materials, or by requesting and promptly returning a completed, dated and signed proxy card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11275" cy="402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1127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jc w:val="center"/>
        <w:ind w:right="-3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New York, NY 10022</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PROXY CARD FOR STOCKHOLDERS WHO HOLD SHARES VIA TASE MEMBERS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February 9, 2021 at 9:45 a.m., Eastern</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undersigned hereby appoints Mr. Arthur H. Penn or his designated substitute to act as attorney and proxy for the undersigned to vote all the shares of Common Stock of PennantPark Floating Rate Capital Ltd. (the "Company") which the undersigned is entitled to vote at the Annual Meeting of Stockholders of the Company (the “Meeting”) to be held at the offices of Dechert LLP, located at 1095 Avenue of the Americas, New York, New York, on February 9, 2021 at 9:45 a.m., Eastern time, and at all adjournments thereof, as indicated on this proxy.</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proxy, when properly executed, will be voted in the manner directed herein. If no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Please sign and date this proxy card and return it promptly, together with an Ownership Certificate from the TASE member through which your shares are registered, to the Company's Israeli counsel, Goldfarb Seligman &amp; Co., c/o Jonathan Cohen, 98 Yigal Alon Street, 44th Floor, Tel Aviv 6789141, Israel (email: </w:t>
      </w:r>
      <w:r>
        <w:rPr>
          <w:rFonts w:ascii="Arial" w:cs="Arial" w:eastAsia="Arial" w:hAnsi="Arial"/>
          <w:sz w:val="17"/>
          <w:szCs w:val="17"/>
          <w:b w:val="1"/>
          <w:bCs w:val="1"/>
          <w:u w:val="single" w:color="auto"/>
          <w:color w:val="auto"/>
        </w:rPr>
        <w:t>jonathan.cohen@goldfarb.com</w:t>
      </w:r>
      <w:r>
        <w:rPr>
          <w:rFonts w:ascii="Arial" w:cs="Arial" w:eastAsia="Arial" w:hAnsi="Arial"/>
          <w:sz w:val="17"/>
          <w:szCs w:val="17"/>
          <w:b w:val="1"/>
          <w:bCs w:val="1"/>
          <w:color w:val="auto"/>
        </w:rPr>
        <w:t>) so your shares may be represented at the Meeting. The proxy card and Ownership Certificate must be received no later than February 4, 2021 to be validly included in the tally of shares voted at the Meeting.</w:t>
      </w: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Election of director</w:t>
      </w:r>
    </w:p>
    <w:p>
      <w:pPr>
        <w:spacing w:after="0" w:line="225"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8"/>
          <w:szCs w:val="18"/>
          <w:color w:val="auto"/>
        </w:rPr>
        <w:t>Nominee:</w:t>
      </w:r>
      <w:r>
        <w:rPr>
          <w:sz w:val="20"/>
          <w:szCs w:val="20"/>
          <w:color w:val="auto"/>
        </w:rPr>
        <w:tab/>
      </w:r>
      <w:r>
        <w:rPr>
          <w:rFonts w:ascii="Arial" w:cs="Arial" w:eastAsia="Arial" w:hAnsi="Arial"/>
          <w:sz w:val="18"/>
          <w:szCs w:val="18"/>
          <w:color w:val="auto"/>
        </w:rPr>
        <w:t>01 Mr. Marshall Brozost</w:t>
      </w:r>
    </w:p>
    <w:p>
      <w:pPr>
        <w:spacing w:after="0" w:line="192" w:lineRule="exact"/>
        <w:rPr>
          <w:sz w:val="20"/>
          <w:szCs w:val="20"/>
          <w:color w:val="auto"/>
        </w:rPr>
      </w:pPr>
    </w:p>
    <w:p>
      <w:pPr>
        <w:ind w:left="2260"/>
        <w:spacing w:after="0" w:line="207" w:lineRule="exact"/>
        <w:tabs>
          <w:tab w:leader="none" w:pos="3780" w:val="left"/>
          <w:tab w:leader="none" w:pos="594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b w:val="1"/>
          <w:bCs w:val="1"/>
          <w:color w:val="auto"/>
        </w:rPr>
        <w:t>WITHHOLD</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-86360</wp:posOffset>
            </wp:positionV>
            <wp:extent cx="86995" cy="88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-86360</wp:posOffset>
            </wp:positionV>
            <wp:extent cx="86995" cy="88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-86360</wp:posOffset>
            </wp:positionV>
            <wp:extent cx="86995" cy="88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02 Mr. Samuel L. Katz</w:t>
      </w:r>
    </w:p>
    <w:p>
      <w:pPr>
        <w:spacing w:after="0" w:line="192" w:lineRule="exact"/>
        <w:rPr>
          <w:sz w:val="20"/>
          <w:szCs w:val="20"/>
          <w:color w:val="auto"/>
        </w:rPr>
      </w:pPr>
    </w:p>
    <w:p>
      <w:pPr>
        <w:ind w:left="2260"/>
        <w:spacing w:after="0" w:line="207" w:lineRule="exact"/>
        <w:tabs>
          <w:tab w:leader="none" w:pos="3780" w:val="left"/>
          <w:tab w:leader="none" w:pos="594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b w:val="1"/>
          <w:bCs w:val="1"/>
          <w:color w:val="auto"/>
        </w:rPr>
        <w:t>WITHHOLD</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-86360</wp:posOffset>
            </wp:positionV>
            <wp:extent cx="86995" cy="88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-86360</wp:posOffset>
            </wp:positionV>
            <wp:extent cx="86995" cy="88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-86360</wp:posOffset>
            </wp:positionV>
            <wp:extent cx="86995" cy="88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580" w:right="72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2021.</w:t>
      </w:r>
    </w:p>
    <w:p>
      <w:pPr>
        <w:spacing w:after="0" w:line="138" w:lineRule="exact"/>
        <w:rPr>
          <w:sz w:val="20"/>
          <w:szCs w:val="20"/>
          <w:color w:val="auto"/>
        </w:rPr>
      </w:pPr>
    </w:p>
    <w:p>
      <w:pPr>
        <w:ind w:left="2260"/>
        <w:spacing w:after="0" w:line="196" w:lineRule="exact"/>
        <w:tabs>
          <w:tab w:leader="none" w:pos="3780" w:val="left"/>
          <w:tab w:leader="none" w:pos="594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2"/>
          <w:szCs w:val="12"/>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-78740</wp:posOffset>
            </wp:positionV>
            <wp:extent cx="86995" cy="88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-78740</wp:posOffset>
            </wp:positionV>
            <wp:extent cx="86995" cy="88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-78740</wp:posOffset>
            </wp:positionV>
            <wp:extent cx="86995" cy="88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if you plan to attend this meeting</w:t>
      </w:r>
    </w:p>
    <w:p>
      <w:pPr>
        <w:spacing w:after="0" w:line="192" w:lineRule="exact"/>
        <w:rPr>
          <w:sz w:val="20"/>
          <w:szCs w:val="20"/>
          <w:color w:val="auto"/>
        </w:rPr>
      </w:pPr>
    </w:p>
    <w:p>
      <w:pPr>
        <w:ind w:left="2280"/>
        <w:spacing w:after="0" w:line="196" w:lineRule="exact"/>
        <w:tabs>
          <w:tab w:leader="none" w:pos="382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2"/>
          <w:szCs w:val="12"/>
          <w:b w:val="1"/>
          <w:bCs w:val="1"/>
          <w:color w:val="auto"/>
        </w:rPr>
        <w:t>YES</w:t>
      </w:r>
      <w:r>
        <w:rPr>
          <w:sz w:val="20"/>
          <w:szCs w:val="20"/>
          <w:color w:val="auto"/>
        </w:rPr>
        <w:tab/>
      </w:r>
      <w:r>
        <w:rPr>
          <w:rFonts w:ascii="MS PGothic" w:cs="MS PGothic" w:eastAsia="MS PGothic" w:hAnsi="MS PGothic"/>
          <w:sz w:val="18"/>
          <w:szCs w:val="18"/>
          <w:color w:val="auto"/>
        </w:rPr>
        <w:t>☐</w:t>
      </w:r>
      <w:r>
        <w:rPr>
          <w:rFonts w:ascii="Arial" w:cs="Arial" w:eastAsia="Arial" w:hAnsi="Arial"/>
          <w:sz w:val="12"/>
          <w:szCs w:val="12"/>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-78740</wp:posOffset>
            </wp:positionV>
            <wp:extent cx="86995" cy="882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-78740</wp:posOffset>
            </wp:positionV>
            <wp:extent cx="86995" cy="88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9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Please sign exactly as your name(s) appear(s) on the ownership confirmation issued by your TASE member. When signing as attorney, executor, administrator, or other fiduciary, please give full title as such. Joint holders should each sign personally. All holders must sign. If a corporation or partnership, please sign in full corporate or partnership name by duly authorized officer.</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Print name</w:t>
            </w:r>
          </w:p>
        </w:tc>
        <w:tc>
          <w:tcPr>
            <w:tcW w:w="100" w:type="dxa"/>
            <w:vAlign w:val="bottom"/>
          </w:tcPr>
          <w:p>
            <w:pPr>
              <w:spacing w:after="0"/>
              <w:rPr>
                <w:sz w:val="21"/>
                <w:szCs w:val="21"/>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Signature</w:t>
            </w:r>
          </w:p>
        </w:tc>
        <w:tc>
          <w:tcPr>
            <w:tcW w:w="100" w:type="dxa"/>
            <w:vAlign w:val="bottom"/>
          </w:tcPr>
          <w:p>
            <w:pPr>
              <w:spacing w:after="0"/>
              <w:rPr>
                <w:sz w:val="21"/>
                <w:szCs w:val="21"/>
                <w:color w:val="auto"/>
              </w:rPr>
            </w:pPr>
          </w:p>
        </w:tc>
        <w:tc>
          <w:tcPr>
            <w:tcW w:w="1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Date</w:t>
            </w: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0"/>
        </w:trPr>
        <w:tc>
          <w:tcPr>
            <w:tcW w:w="1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120"/>
              <w:spacing w:after="0"/>
              <w:rPr>
                <w:sz w:val="20"/>
                <w:szCs w:val="20"/>
                <w:color w:val="auto"/>
              </w:rPr>
            </w:pPr>
            <w:r>
              <w:rPr>
                <w:rFonts w:ascii="Arial" w:cs="Arial" w:eastAsia="Arial" w:hAnsi="Arial"/>
                <w:sz w:val="18"/>
                <w:szCs w:val="18"/>
                <w:color w:val="auto"/>
              </w:rPr>
              <w:t>Print name</w:t>
            </w:r>
          </w:p>
        </w:tc>
        <w:tc>
          <w:tcPr>
            <w:tcW w:w="100" w:type="dxa"/>
            <w:vAlign w:val="bottom"/>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(Joint Owners)</w:t>
            </w:r>
          </w:p>
        </w:tc>
        <w:tc>
          <w:tcPr>
            <w:tcW w:w="100" w:type="dxa"/>
            <w:vAlign w:val="bottom"/>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Signature</w:t>
            </w: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auto"/>
              </w:rPr>
              <w:t>Date</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1"/>
        </w:trPr>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9" w:right="31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49465" cy="7578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7578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49465" cy="7535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7535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49465" cy="7543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49465" cy="7492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7492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49465" cy="7509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750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234315</wp:posOffset>
            </wp:positionV>
            <wp:extent cx="5340350" cy="6900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4035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1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upperLetter"/>
      <w:start w:val="35"/>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2020-12-08T15:07:24Z</dcterms:created>
  <dcterms:modified xsi:type="dcterms:W3CDTF">2020-12-08T15:07:24Z</dcterms:modified>
</cp:coreProperties>
</file>