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83"/>
        <w:spacing w:after="0"/>
        <w:rPr>
          <w:sz w:val="20"/>
          <w:szCs w:val="20"/>
          <w:color w:val="auto"/>
        </w:rPr>
      </w:pPr>
      <w:r>
        <w:rPr>
          <w:rFonts w:ascii="Arial" w:cs="Arial" w:eastAsia="Arial" w:hAnsi="Arial"/>
          <w:sz w:val="22"/>
          <w:szCs w:val="22"/>
          <w:b w:val="1"/>
          <w:bCs w:val="1"/>
          <w:color w:val="auto"/>
        </w:rPr>
        <w:t>Pursuant to Section 13 or 15(d)</w:t>
      </w:r>
    </w:p>
    <w:p>
      <w:pPr>
        <w:jc w:val="center"/>
        <w:ind w:right="-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83"/>
        <w:spacing w:after="0"/>
        <w:rPr>
          <w:sz w:val="20"/>
          <w:szCs w:val="20"/>
          <w:color w:val="auto"/>
        </w:rPr>
      </w:pPr>
      <w:r>
        <w:rPr>
          <w:rFonts w:ascii="Arial" w:cs="Arial" w:eastAsia="Arial" w:hAnsi="Arial"/>
          <w:sz w:val="22"/>
          <w:szCs w:val="22"/>
          <w:b w:val="1"/>
          <w:bCs w:val="1"/>
          <w:color w:val="auto"/>
        </w:rPr>
        <w:t>Date of Report (Date of earliest event reported): June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504" w:space="720"/>
            <w:col w:w="2880" w:space="720"/>
            <w:col w:w="2120"/>
          </w:cols>
          <w:pgMar w:left="436" w:top="368" w:right="519" w:bottom="1440" w:gutter="0" w:footer="0" w:header="0"/>
          <w:type w:val="continuous"/>
        </w:sectPr>
      </w:pPr>
    </w:p>
    <w:p>
      <w:pPr>
        <w:spacing w:after="0" w:line="11"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00"/>
          </w:cols>
          <w:pgMar w:left="436" w:top="368" w:right="519" w:bottom="1440" w:gutter="0" w:footer="0" w:header="0"/>
          <w:type w:val="continuous"/>
        </w:sectPr>
      </w:pPr>
    </w:p>
    <w:p>
      <w:pPr>
        <w:spacing w:after="0" w:line="5"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62" w:lineRule="exact"/>
        <w:rPr>
          <w:sz w:val="24"/>
          <w:szCs w:val="24"/>
          <w:color w:val="auto"/>
        </w:rPr>
      </w:pPr>
    </w:p>
    <w:p>
      <w:pPr>
        <w:sectPr>
          <w:pgSz w:w="11900" w:h="16838" w:orient="portrait"/>
          <w:cols w:equalWidth="0" w:num="2">
            <w:col w:w="7404" w:space="720"/>
            <w:col w:w="2820"/>
          </w:cols>
          <w:pgMar w:left="436" w:top="368" w:right="51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2940"/>
          </w:cols>
          <w:pgMar w:left="436" w:top="368" w:right="519" w:bottom="1440" w:gutter="0" w:footer="0" w:header="0"/>
          <w:type w:val="continuous"/>
        </w:sectPr>
      </w:pPr>
    </w:p>
    <w:p>
      <w:pPr>
        <w:jc w:val="center"/>
        <w:ind w:right="-8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8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224"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25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64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8"/>
        </w:trPr>
        <w:tc>
          <w:tcPr>
            <w:tcW w:w="482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PFLT</w:t>
            </w:r>
          </w:p>
        </w:tc>
        <w:tc>
          <w:tcPr>
            <w:tcW w:w="164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56"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type w:val="continuous"/>
        </w:sectPr>
      </w:pPr>
    </w:p>
    <w:bookmarkStart w:id="1" w:name="page2"/>
    <w:bookmarkEnd w:id="1"/>
    <w:p>
      <w:pPr>
        <w:ind w:left="4"/>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On June 21, 2021, PennantPark Floating Rate Capital Ltd. (“PFLT”) announced that Richard Cheung has been appointed as the Chief Financial Officer and Treasurer of PFLT, effective as of June 21, 2021.</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Mr. Cheung, 41, most recently served as Senior Managing Director and Head of Alternative Investment Accounting at Guggenheim Partners, LLC, where he has served in various roles since 2008. Mr. Cheung holds a B.S. in Accounting and Finance from the New York University Leonard N. Stern School of Business.</w:t>
      </w:r>
    </w:p>
    <w:p>
      <w:pPr>
        <w:spacing w:after="0" w:line="184"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There are no reportable family relationships or related party transactions (as defined in Item 404(a) of Regulation S-K) involving the Company and Mr. Cheung.</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Also effective June 21, 2021, Aviv Efrat will step down from his current position as Chief Financial Officer and Treasurer of PFLT. Mr. Efrat will remain with the PennantPark organization, where he will focus his attention on strategic growth initiatives.</w:t>
      </w:r>
    </w:p>
    <w:p>
      <w:pPr>
        <w:spacing w:after="0" w:line="170" w:lineRule="exact"/>
        <w:rPr>
          <w:sz w:val="20"/>
          <w:szCs w:val="20"/>
          <w:color w:val="auto"/>
        </w:rPr>
      </w:pPr>
    </w:p>
    <w:p>
      <w:pPr>
        <w:ind w:left="4" w:right="800" w:firstLine="440"/>
        <w:spacing w:after="0" w:line="277" w:lineRule="auto"/>
        <w:rPr>
          <w:sz w:val="20"/>
          <w:szCs w:val="20"/>
          <w:color w:val="auto"/>
        </w:rPr>
      </w:pPr>
      <w:r>
        <w:rPr>
          <w:rFonts w:ascii="Arial" w:cs="Arial" w:eastAsia="Arial" w:hAnsi="Arial"/>
          <w:sz w:val="18"/>
          <w:szCs w:val="18"/>
          <w:color w:val="auto"/>
        </w:rPr>
        <w:t>A copy of PFLT’s press release announcing the foregoing matters is attached as Exhibit 99.1 to this Current Report on Form 8-K and is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984" w:right="9060" w:hanging="984"/>
        <w:spacing w:after="0" w:line="563" w:lineRule="auto"/>
        <w:tabs>
          <w:tab w:leader="none" w:pos="24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ind w:left="984" w:right="8160" w:hanging="984"/>
        <w:spacing w:after="0" w:line="500" w:lineRule="auto"/>
        <w:tabs>
          <w:tab w:leader="none" w:pos="25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984" w:right="8540" w:hanging="984"/>
        <w:spacing w:after="0" w:line="563" w:lineRule="auto"/>
        <w:tabs>
          <w:tab w:leader="none" w:pos="23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Shell company transactions: </w:t>
      </w:r>
      <w:r>
        <w:rPr>
          <w:rFonts w:ascii="Arial" w:cs="Arial" w:eastAsia="Arial" w:hAnsi="Arial"/>
          <w:sz w:val="16"/>
          <w:szCs w:val="16"/>
          <w:color w:val="auto"/>
        </w:rPr>
        <w:t>None</w:t>
      </w: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924"/>
        <w:spacing w:after="0"/>
        <w:tabs>
          <w:tab w:leader="none" w:pos="164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Floating Rate Capital Ltd., dated June 21, 2021.</w:t>
        </w:r>
      </w:hyperlink>
    </w:p>
    <w:p>
      <w:pPr>
        <w:sectPr>
          <w:pgSz w:w="11900" w:h="16838" w:orient="portrait"/>
          <w:cols w:equalWidth="0" w:num="1">
            <w:col w:w="10964"/>
          </w:cols>
          <w:pgMar w:left="436" w:top="270" w:right="499"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FLOATING RATE CAPITAL LTD.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June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Penn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66306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Appoints Richard Cheung as New Chief Financial Officer</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NEW YORK, NY — (GLOBE NEWSWIRE – June 21, 2021) — PennantPark Floating Rate Capital Ltd. (NASDAQ: PFLT) (“we,” “our,” “PFLT” or the “Company”) announced today that it has appointed Richard Cheung as its Chief Financial Officer and Treasurer, effective June 21,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Mr. Cheung most recently served as Senior Managing Director and Head of Alternative Investment Accounting at Guggenheim Partners, LLC</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Guggenheim</w:t>
      </w:r>
      <w:r>
        <w:rPr>
          <w:rFonts w:ascii="Arial" w:cs="Arial" w:eastAsia="Arial" w:hAnsi="Arial"/>
          <w:sz w:val="18"/>
          <w:szCs w:val="18"/>
          <w:color w:val="auto"/>
        </w:rPr>
        <w:t>”), where he has served in various roles since 2008. Prior to joining Guggenheim in 2008, Mr. Cheung spent the majority of his career at Ernst &amp; Young LLP in its financial services industry practice where he managed audits for a variety of funds. Mr. Cheung holds a B.S. in Accounting and Finance from the New York University Leonard N. Stern School of Business.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extremely pleased that Richard will be joining the Company as our new Chief Financial Officer and a member of our senior management team. We are confident that his extensive experience will be a tremendous asset to the Company and its shareholders as we continue to build the Company,” stated Arthur Penn, Chief Executive Officer of PFLT.</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Aviv Efrat, PFLT’s current Chief Financial Officer and Treasurer, will move within the PennantPark organization and remain in senior management where he will focus on PennantPark’s strategic growth initiatives.</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thankful for all of Aviv’s contributions to date as a valued member of the Company’s senior management team since its inception in 2010, including his contribution to building our finance and operations team,” said Mr. Penn. “We are grateful that Aviv will remain in senior management within the PennantPark organization where he will continue to contribute to the firm’s strategic direction.”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PennantPark Investment Advisers, LLC is a leading middle-market credit platform, managing $4.7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CONTACT:</w:t>
        <w:tab/>
        <w:t>Arthur Penn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1100" w:right="8240" w:firstLine="3"/>
        <w:spacing w:after="0" w:line="323" w:lineRule="auto"/>
        <w:tabs>
          <w:tab w:leader="none" w:pos="15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2021-06-21T15:57:04Z</dcterms:created>
  <dcterms:modified xsi:type="dcterms:W3CDTF">2021-06-21T15:57:04Z</dcterms:modified>
</cp:coreProperties>
</file>