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rFonts w:ascii="Times New Roman" w:hAnsi="Times New Roman"/>
          <w:b/>
          <w:sz w:val="20"/>
          <w:highlight w:val="white"/>
        </w:rPr>
      </w:pPr>
      <w:bookmarkStart w:id="0" w:name="d478714d424b2.htm"/>
      <w:bookmarkStart w:id="1" w:name="ksd478714d424b2"/>
      <w:bookmarkEnd w:id="0"/>
      <w:bookmarkEnd w:id="1"/>
      <w:r>
        <w:rPr>
          <w:rFonts w:ascii="Times New Roman" w:hAnsi="Times New Roman"/>
          <w:b/>
          <w:sz w:val="20"/>
          <w:highlight w:val="white"/>
        </w:rPr>
        <w:t xml:space="preserve">Filed Pursuant to Rule 424(b)(2) </w:t>
        <w:br/>
        <w:t xml:space="preserve">File No. 333-268813 </w:t>
      </w:r>
    </w:p>
    <w:p>
      <w:pPr>
        <w:pStyle w:val="TextBody"/>
        <w:spacing w:before="0" w:after="0"/>
        <w:ind w:left="0" w:right="0" w:hanging="0"/>
        <w:jc w:val="left"/>
        <w:rPr>
          <w:rFonts w:ascii="Times New Roman" w:hAnsi="Times New Roman"/>
          <w:b/>
          <w:sz w:val="20"/>
          <w:highlight w:val="white"/>
        </w:rPr>
      </w:pPr>
      <w:r>
        <w:rPr>
          <w:rFonts w:ascii="Times New Roman" w:hAnsi="Times New Roman"/>
          <w:b/>
          <w:sz w:val="20"/>
          <w:highlight w:val="white"/>
        </w:rPr>
        <w:t xml:space="preserve">Prospectus Supplement </w:t>
      </w:r>
    </w:p>
    <w:p>
      <w:pPr>
        <w:pStyle w:val="TextBody"/>
        <w:spacing w:before="0" w:after="0"/>
        <w:ind w:left="0" w:right="0" w:hanging="0"/>
        <w:jc w:val="left"/>
        <w:rPr>
          <w:rFonts w:ascii="Times New Roman" w:hAnsi="Times New Roman"/>
          <w:b/>
          <w:sz w:val="20"/>
          <w:highlight w:val="white"/>
        </w:rPr>
      </w:pPr>
      <w:r>
        <w:rPr>
          <w:rFonts w:ascii="Times New Roman" w:hAnsi="Times New Roman"/>
          <w:b/>
          <w:sz w:val="20"/>
          <w:highlight w:val="white"/>
        </w:rPr>
        <w:t xml:space="preserve">To the Prospectus dated January 9, 2023 </w:t>
      </w:r>
    </w:p>
    <w:p>
      <w:pPr>
        <w:pStyle w:val="TextBody"/>
        <w:spacing w:before="0" w:after="0"/>
        <w:ind w:left="0" w:right="0" w:hanging="0"/>
        <w:jc w:val="left"/>
        <w:rPr>
          <w:highlight w:val="white"/>
        </w:rPr>
      </w:pPr>
      <w:r>
        <w:rPr>
          <w:highlight w:val="white"/>
        </w:rPr>
        <w:t> </w:t>
      </w:r>
    </w:p>
    <w:p>
      <w:pPr>
        <w:pStyle w:val="TextBody"/>
        <w:spacing w:before="0" w:after="0"/>
        <w:ind w:left="0" w:right="0" w:hanging="0"/>
        <w:jc w:val="center"/>
        <w:rPr>
          <w:highlight w:val="white"/>
        </w:rPr>
      </w:pPr>
      <w:r>
        <w:rPr>
          <w:highlight w:val="white"/>
        </w:rPr>
        <w:drawing>
          <wp:inline distT="0" distB="0" distL="0" distR="0">
            <wp:extent cx="22574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542925"/>
                    </a:xfrm>
                    <a:prstGeom prst="rect">
                      <a:avLst/>
                    </a:prstGeom>
                  </pic:spPr>
                </pic:pic>
              </a:graphicData>
            </a:graphic>
          </wp:inline>
        </w:drawing>
      </w:r>
    </w:p>
    <w:p>
      <w:pPr>
        <w:pStyle w:val="TextBody"/>
        <w:spacing w:before="60" w:after="0"/>
        <w:ind w:left="0" w:right="0" w:hanging="0"/>
        <w:jc w:val="center"/>
        <w:rPr>
          <w:rFonts w:ascii="Times New Roman" w:hAnsi="Times New Roman"/>
          <w:b/>
          <w:sz w:val="36"/>
          <w:highlight w:val="white"/>
        </w:rPr>
      </w:pPr>
      <w:r>
        <w:rPr>
          <w:rFonts w:ascii="Times New Roman" w:hAnsi="Times New Roman"/>
          <w:b/>
          <w:sz w:val="36"/>
          <w:highlight w:val="white"/>
        </w:rPr>
        <w:t xml:space="preserve">Up to $100 million </w:t>
      </w:r>
    </w:p>
    <w:p>
      <w:pPr>
        <w:pStyle w:val="TextBody"/>
        <w:spacing w:before="60" w:after="0"/>
        <w:ind w:left="0" w:right="0" w:hanging="0"/>
        <w:jc w:val="center"/>
        <w:rPr>
          <w:rFonts w:ascii="Times New Roman" w:hAnsi="Times New Roman"/>
          <w:b/>
          <w:sz w:val="28"/>
          <w:highlight w:val="white"/>
        </w:rPr>
      </w:pPr>
      <w:r>
        <w:rPr>
          <w:rFonts w:ascii="Times New Roman" w:hAnsi="Times New Roman"/>
          <w:b/>
          <w:sz w:val="28"/>
          <w:highlight w:val="white"/>
        </w:rPr>
        <w:t xml:space="preserve">Common Stock </w:t>
      </w:r>
    </w:p>
    <w:p>
      <w:pPr>
        <w:pStyle w:val="TextBody"/>
        <w:spacing w:before="0" w:after="0"/>
        <w:ind w:left="0" w:right="0" w:hanging="0"/>
        <w:jc w:val="left"/>
        <w:rPr>
          <w:highlight w:val="white"/>
        </w:rPr>
      </w:pPr>
      <w:r>
        <w:rPr>
          <w:highlight w:val="white"/>
        </w:rPr>
        <w:t> </w:t>
      </w:r>
    </w:p>
    <w:p>
      <w:pPr>
        <w:pStyle w:val="TextBody"/>
        <w:spacing w:lineRule="atLeast" w:line="141" w:before="0" w:after="0"/>
        <w:ind w:left="0" w:right="0" w:hanging="0"/>
        <w:jc w:val="center"/>
        <w:rPr>
          <w:highlight w:val="white"/>
          <w:bdr w:val="single" w:sz="8" w:space="1" w:color="000000"/>
        </w:rPr>
      </w:pPr>
      <w:r>
        <w:rPr>
          <w:highlight w:val="white"/>
          <w:bdr w:val="single" w:sz="8" w:space="1" w:color="000000"/>
        </w:rPr>
        <w:t> </w:t>
      </w:r>
    </w:p>
    <w:p>
      <w:pPr>
        <w:pStyle w:val="TextBody"/>
        <w:spacing w:before="60" w:after="0"/>
        <w:ind w:left="0" w:right="0" w:hanging="0"/>
        <w:jc w:val="left"/>
        <w:rPr>
          <w:rFonts w:ascii="Times New Roman" w:hAnsi="Times New Roman"/>
          <w:sz w:val="16"/>
          <w:highlight w:val="white"/>
        </w:rPr>
      </w:pPr>
      <w:r>
        <w:rPr>
          <w:rFonts w:ascii="Times New Roman" w:hAnsi="Times New Roman"/>
          <w:sz w:val="16"/>
          <w:highlight w:val="white"/>
        </w:rPr>
        <w:t xml:space="preserve">PennantPark Floating Rate Capital Ltd. (“we”, “our”, or “us”) has entered into separate equity distribution agreements, each dated </w:t>
      </w:r>
    </w:p>
    <w:p>
      <w:pPr>
        <w:pStyle w:val="TextBody"/>
        <w:widowControl/>
        <w:spacing w:before="60" w:after="0"/>
        <w:ind w:left="0" w:right="0" w:hanging="0"/>
        <w:jc w:val="left"/>
        <w:rPr>
          <w:rFonts w:ascii="Times New Roman" w:hAnsi="Times New Roman"/>
          <w:b w:val="false"/>
          <w:i w:val="false"/>
          <w:caps w:val="false"/>
          <w:smallCaps w:val="false"/>
          <w:color w:val="000000"/>
          <w:spacing w:val="0"/>
          <w:sz w:val="15"/>
          <w:highlight w:val="white"/>
        </w:rPr>
      </w:pPr>
      <w:r>
        <w:rPr>
          <w:rFonts w:ascii="Times New Roman" w:hAnsi="Times New Roman"/>
          <w:b w:val="false"/>
          <w:i w:val="false"/>
          <w:caps w:val="false"/>
          <w:smallCaps w:val="false"/>
          <w:color w:val="000000"/>
          <w:spacing w:val="0"/>
          <w:sz w:val="15"/>
          <w:highlight w:val="white"/>
        </w:rPr>
        <w:t>March 31, 2023</w:t>
      </w:r>
    </w:p>
    <w:p>
      <w:pPr>
        <w:pStyle w:val="TextBody"/>
        <w:spacing w:before="60" w:after="0"/>
        <w:jc w:val="left"/>
        <w:rPr>
          <w:rFonts w:ascii="Times New Roman" w:hAnsi="Times New Roman"/>
          <w:sz w:val="16"/>
          <w:highlight w:val="white"/>
        </w:rPr>
      </w:pPr>
      <w:r>
        <w:rPr>
          <w:rFonts w:ascii="Times New Roman" w:hAnsi="Times New Roman"/>
          <w:sz w:val="16"/>
          <w:highlight w:val="white"/>
        </w:rPr>
        <w:t xml:space="preserve">, with JMP Securities LLC, Raymond James &amp; Associates, Inc. and Truist Securities, Inc., each, a sales agent, relating to the shares of our common stock offered by this prospectus supplement and the accompanying prospectus. The equity distribution agreements provide that we may offer and sell shares of our common stock having an aggregate offering price of up to $100 million from time to time through the sales agents. Sales of our common stock, if any, under this prospectus supplement and the accompanying prospectus may be made in negotiated transactions or transactions that are deemed to be “at the market,” as defined in Rule 415 under the Securities Act of 1933, as amended, or the Securities Act, including sales made directly on The New York Stock Exchange, or NYSE, or any similar securities exchange or sales made to or through a market maker other than on a securities exchange, at prices related to the prevailing market prices or at negotiated prices. See “Plan of Distribution.” As of the date of this prospectus supplement, we have not sold any shares of common stock under the equity distribution agreements. </w:t>
      </w:r>
    </w:p>
    <w:p>
      <w:pPr>
        <w:pStyle w:val="TextBody"/>
        <w:spacing w:before="60" w:after="0"/>
        <w:ind w:left="0" w:right="0" w:hanging="0"/>
        <w:jc w:val="left"/>
        <w:rPr>
          <w:rFonts w:ascii="Times New Roman" w:hAnsi="Times New Roman"/>
          <w:sz w:val="16"/>
          <w:highlight w:val="white"/>
        </w:rPr>
      </w:pPr>
      <w:r>
        <w:rPr>
          <w:rFonts w:ascii="Times New Roman" w:hAnsi="Times New Roman"/>
          <w:sz w:val="16"/>
          <w:highlight w:val="white"/>
        </w:rPr>
        <w:t xml:space="preserve">PennantPark Floating Rate Capital Ltd., a Maryland corporation, is a </w:t>
      </w:r>
    </w:p>
    <w:p>
      <w:pPr>
        <w:pStyle w:val="TextBody"/>
        <w:spacing w:before="60" w:after="0"/>
        <w:jc w:val="left"/>
        <w:rPr>
          <w:rFonts w:ascii="Times New Roman" w:hAnsi="Times New Roman"/>
          <w:spacing w:val="0"/>
          <w:sz w:val="16"/>
          <w:highlight w:val="white"/>
        </w:rPr>
      </w:pPr>
      <w:r>
        <w:rPr>
          <w:rFonts w:ascii="Times New Roman" w:hAnsi="Times New Roman"/>
          <w:spacing w:val="0"/>
          <w:sz w:val="16"/>
          <w:highlight w:val="white"/>
        </w:rPr>
        <w:t>closed-end,</w:t>
      </w:r>
    </w:p>
    <w:p>
      <w:pPr>
        <w:pStyle w:val="TextBody"/>
        <w:spacing w:before="60" w:after="0"/>
        <w:jc w:val="left"/>
        <w:rPr>
          <w:rFonts w:ascii="Times New Roman" w:hAnsi="Times New Roman"/>
          <w:sz w:val="16"/>
          <w:highlight w:val="white"/>
        </w:rPr>
      </w:pPr>
      <w:r>
        <w:rPr>
          <w:rFonts w:ascii="Times New Roman" w:hAnsi="Times New Roman"/>
          <w:sz w:val="16"/>
          <w:highlight w:val="white"/>
        </w:rPr>
        <w:t xml:space="preserve">externally managed, </w:t>
      </w:r>
    </w:p>
    <w:p>
      <w:pPr>
        <w:pStyle w:val="TextBody"/>
        <w:spacing w:before="60" w:after="0"/>
        <w:jc w:val="left"/>
        <w:rPr>
          <w:rFonts w:ascii="Times New Roman" w:hAnsi="Times New Roman"/>
          <w:spacing w:val="0"/>
          <w:sz w:val="16"/>
          <w:highlight w:val="white"/>
        </w:rPr>
      </w:pPr>
      <w:r>
        <w:rPr>
          <w:rFonts w:ascii="Times New Roman" w:hAnsi="Times New Roman"/>
          <w:spacing w:val="0"/>
          <w:sz w:val="16"/>
          <w:highlight w:val="white"/>
        </w:rPr>
        <w:t>non-diversified</w:t>
      </w:r>
    </w:p>
    <w:p>
      <w:pPr>
        <w:pStyle w:val="TextBody"/>
        <w:spacing w:before="60" w:after="0"/>
        <w:jc w:val="left"/>
        <w:rPr>
          <w:rFonts w:ascii="Times New Roman" w:hAnsi="Times New Roman"/>
          <w:sz w:val="16"/>
          <w:highlight w:val="white"/>
        </w:rPr>
      </w:pPr>
      <w:r>
        <w:rPr>
          <w:rFonts w:ascii="Times New Roman" w:hAnsi="Times New Roman"/>
          <w:sz w:val="16"/>
          <w:highlight w:val="white"/>
        </w:rPr>
        <w:t xml:space="preserve">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private companies whose debt is rated below investment grade. Securities rated below investment grade are often referred to as “leveraged loans,” “high yield” securities or “junk bonds” and are often higher risk compared to debt instruments that are rated above investment grade and have speculative characteristics. We are externally managed by PennantPark Investment Advisers, LLC (the “Investment Adviser”). PennantPark Investment Administration, LLC provides the administrative services necessary for us to operate. </w:t>
      </w:r>
    </w:p>
    <w:p>
      <w:pPr>
        <w:pStyle w:val="TextBody"/>
        <w:spacing w:before="60" w:after="0"/>
        <w:ind w:left="0" w:right="0" w:hanging="0"/>
        <w:jc w:val="left"/>
        <w:rPr>
          <w:rFonts w:ascii="Times New Roman" w:hAnsi="Times New Roman"/>
          <w:sz w:val="16"/>
          <w:highlight w:val="white"/>
        </w:rPr>
      </w:pPr>
      <w:r>
        <w:rPr>
          <w:rFonts w:ascii="Times New Roman" w:hAnsi="Times New Roman"/>
          <w:sz w:val="16"/>
          <w:highlight w:val="white"/>
        </w:rPr>
        <w:t>Our common stock is traded on the NYSE and The Tel Aviv Stock Exchange, or TASE, under the symbol “PFLT”. The last reported closing price for our common stock on the NYSE on</w:t>
      </w:r>
    </w:p>
    <w:p>
      <w:pPr>
        <w:pStyle w:val="TextBody"/>
        <w:spacing w:before="60" w:after="0"/>
        <w:jc w:val="left"/>
        <w:rPr>
          <w:spacing w:val="0"/>
          <w:highlight w:val="white"/>
        </w:rPr>
      </w:pPr>
      <w:r>
        <w:rPr>
          <w:spacing w:val="0"/>
          <w:highlight w:val="white"/>
        </w:rPr>
        <w:t> </w:t>
      </w:r>
    </w:p>
    <w:p>
      <w:pPr>
        <w:pStyle w:val="TextBody"/>
        <w:widowControl/>
        <w:spacing w:before="60" w:after="0"/>
        <w:ind w:left="0" w:right="0" w:hanging="0"/>
        <w:jc w:val="left"/>
        <w:rPr>
          <w:rFonts w:ascii="Times New Roman" w:hAnsi="Times New Roman"/>
          <w:b w:val="false"/>
          <w:i w:val="false"/>
          <w:caps w:val="false"/>
          <w:smallCaps w:val="false"/>
          <w:color w:val="000000"/>
          <w:spacing w:val="0"/>
          <w:sz w:val="15"/>
          <w:highlight w:val="white"/>
        </w:rPr>
      </w:pPr>
      <w:r>
        <w:rPr>
          <w:rFonts w:ascii="Times New Roman" w:hAnsi="Times New Roman"/>
          <w:b w:val="false"/>
          <w:i w:val="false"/>
          <w:caps w:val="false"/>
          <w:smallCaps w:val="false"/>
          <w:color w:val="000000"/>
          <w:spacing w:val="0"/>
          <w:sz w:val="15"/>
          <w:highlight w:val="white"/>
        </w:rPr>
        <w:t>March 30, 2023 was $10.70 per share.</w:t>
      </w:r>
    </w:p>
    <w:p>
      <w:pPr>
        <w:pStyle w:val="TextBody"/>
        <w:spacing w:before="60" w:after="0"/>
        <w:jc w:val="left"/>
        <w:rPr>
          <w:rFonts w:ascii="Times New Roman" w:hAnsi="Times New Roman"/>
          <w:sz w:val="16"/>
          <w:highlight w:val="white"/>
        </w:rPr>
      </w:pPr>
      <w:r>
        <w:rPr>
          <w:rFonts w:ascii="Times New Roman" w:hAnsi="Times New Roman"/>
          <w:sz w:val="16"/>
          <w:highlight w:val="white"/>
        </w:rPr>
        <w:t xml:space="preserve">The net asset value, or NAV, of our common stock as of December 31, 2022 (the last date prior to the date of this prospectus supplement on which we published NAV) was $11.30 per share. </w:t>
      </w:r>
    </w:p>
    <w:p>
      <w:pPr>
        <w:pStyle w:val="TextBody"/>
        <w:spacing w:before="60" w:after="0"/>
        <w:ind w:left="0" w:right="0" w:hanging="0"/>
        <w:jc w:val="left"/>
        <w:rPr/>
      </w:pPr>
      <w:r>
        <w:rPr>
          <w:rFonts w:ascii="Times New Roman" w:hAnsi="Times New Roman"/>
          <w:sz w:val="16"/>
          <w:highlight w:val="white"/>
        </w:rPr>
        <w:t>Under the terms of the equity distribution agreements, each sales agent will receive a commission from us of up to 2.0% of the gross sales price of any shares of common stock sold through such sales agent under the applicable equity distribution agreement. The sales agents are not required to sell any specific number or dollar amount of common stock but will use their commercially reasonable efforts consistent with their respective sales and trading practices to sell the shares of our common stock offered by this prospectus supplement and the accompanying prospectus. We may also sell shares of common stock to a sales agent, as principal for its own account, at a price agreed upon at the time of sale. If we sell shares to a sales agent as principal, we will enter into a separate agreement with such sales agent, setting forth the terms of such transaction, and we will describe such agreement in a separate prospectus supplement. See “</w:t>
      </w:r>
      <w:hyperlink w:anchor="supptx478714_9">
        <w:r>
          <w:rPr>
            <w:rStyle w:val="InternetLink"/>
            <w:rFonts w:ascii="Times New Roman" w:hAnsi="Times New Roman"/>
            <w:sz w:val="16"/>
            <w:highlight w:val="white"/>
          </w:rPr>
          <w:t>Plan of Distribution</w:t>
        </w:r>
      </w:hyperlink>
      <w:r>
        <w:rPr>
          <w:rFonts w:ascii="Times New Roman" w:hAnsi="Times New Roman"/>
          <w:sz w:val="16"/>
          <w:highlight w:val="white"/>
        </w:rPr>
        <w:t xml:space="preserve">” beginning on page </w:t>
      </w:r>
    </w:p>
    <w:p>
      <w:pPr>
        <w:pStyle w:val="TextBody"/>
        <w:spacing w:before="60" w:after="0"/>
        <w:jc w:val="left"/>
        <w:rPr>
          <w:rFonts w:ascii="Times New Roman" w:hAnsi="Times New Roman"/>
          <w:spacing w:val="0"/>
          <w:sz w:val="16"/>
          <w:highlight w:val="white"/>
        </w:rPr>
      </w:pPr>
      <w:r>
        <w:rPr>
          <w:rFonts w:ascii="Times New Roman" w:hAnsi="Times New Roman"/>
          <w:spacing w:val="0"/>
          <w:sz w:val="16"/>
          <w:highlight w:val="white"/>
        </w:rPr>
        <w:t>S-13</w:t>
      </w:r>
    </w:p>
    <w:p>
      <w:pPr>
        <w:pStyle w:val="TextBody"/>
        <w:spacing w:before="60" w:after="0"/>
        <w:jc w:val="left"/>
        <w:rPr>
          <w:rFonts w:ascii="Times New Roman" w:hAnsi="Times New Roman"/>
          <w:sz w:val="16"/>
          <w:highlight w:val="white"/>
        </w:rPr>
      </w:pPr>
      <w:r>
        <w:rPr>
          <w:rFonts w:ascii="Times New Roman" w:hAnsi="Times New Roman"/>
          <w:sz w:val="16"/>
          <w:highlight w:val="white"/>
        </w:rPr>
        <w:t xml:space="preserve">of this prospectus supplement. The sales price per share of our common stock offered by this prospectus supplement and the accompanying prospectus, less commissions payable under the applicable equity distribution agreement and discounts, if any, will not be less than the NAV per share of our common stock at the time of such sale.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 </w:t>
      </w:r>
    </w:p>
    <w:p>
      <w:pPr>
        <w:pStyle w:val="TextBody"/>
        <w:spacing w:before="60" w:after="0"/>
        <w:ind w:left="0" w:right="0" w:hanging="0"/>
        <w:jc w:val="left"/>
        <w:rPr>
          <w:rFonts w:ascii="Times New Roman" w:hAnsi="Times New Roman"/>
          <w:sz w:val="16"/>
          <w:highlight w:val="white"/>
        </w:rPr>
      </w:pPr>
      <w:r>
        <w:rPr>
          <w:rFonts w:ascii="Times New Roman" w:hAnsi="Times New Roman"/>
          <w:sz w:val="16"/>
          <w:highlight w:val="white"/>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1691 Michigan Avenue, Miami Beach, Florida 33139, by calling us collect at (786) </w:t>
      </w:r>
    </w:p>
    <w:p>
      <w:pPr>
        <w:pStyle w:val="TextBody"/>
        <w:spacing w:before="60" w:after="0"/>
        <w:jc w:val="left"/>
        <w:rPr>
          <w:rFonts w:ascii="Times New Roman" w:hAnsi="Times New Roman"/>
          <w:spacing w:val="0"/>
          <w:sz w:val="16"/>
          <w:highlight w:val="white"/>
        </w:rPr>
      </w:pPr>
      <w:r>
        <w:rPr>
          <w:rFonts w:ascii="Times New Roman" w:hAnsi="Times New Roman"/>
          <w:spacing w:val="0"/>
          <w:sz w:val="16"/>
          <w:highlight w:val="white"/>
        </w:rPr>
        <w:t>297-9500</w:t>
      </w:r>
    </w:p>
    <w:p>
      <w:pPr>
        <w:pStyle w:val="TextBody"/>
        <w:spacing w:before="60" w:after="0"/>
        <w:jc w:val="left"/>
        <w:rPr>
          <w:rFonts w:ascii="Times New Roman" w:hAnsi="Times New Roman"/>
          <w:sz w:val="16"/>
          <w:highlight w:val="white"/>
        </w:rPr>
      </w:pPr>
      <w:r>
        <w:rPr>
          <w:rFonts w:ascii="Times New Roman" w:hAnsi="Times New Roman"/>
          <w:sz w:val="16"/>
          <w:highlight w:val="white"/>
        </w:rPr>
        <w:t xml:space="preserve">or by visiting our website at </w:t>
      </w:r>
    </w:p>
    <w:p>
      <w:pPr>
        <w:pStyle w:val="TextBody"/>
        <w:spacing w:before="60" w:after="0"/>
        <w:jc w:val="left"/>
        <w:rPr>
          <w:rFonts w:ascii="Times New Roman" w:hAnsi="Times New Roman"/>
          <w:i/>
          <w:caps w:val="false"/>
          <w:smallCaps w:val="false"/>
          <w:spacing w:val="0"/>
          <w:sz w:val="16"/>
          <w:highlight w:val="white"/>
          <w:u w:val="single"/>
        </w:rPr>
      </w:pPr>
      <w:r>
        <w:rPr>
          <w:rFonts w:ascii="Times New Roman" w:hAnsi="Times New Roman"/>
          <w:i/>
          <w:caps w:val="false"/>
          <w:smallCaps w:val="false"/>
          <w:spacing w:val="0"/>
          <w:sz w:val="16"/>
          <w:highlight w:val="white"/>
          <w:u w:val="single"/>
        </w:rPr>
        <w:t>www.pennantpark.com</w:t>
      </w:r>
    </w:p>
    <w:p>
      <w:pPr>
        <w:pStyle w:val="TextBody"/>
        <w:spacing w:before="60" w:after="0"/>
        <w:jc w:val="left"/>
        <w:rPr>
          <w:rFonts w:ascii="Times New Roman" w:hAnsi="Times New Roman"/>
          <w:sz w:val="16"/>
          <w:highlight w:val="white"/>
        </w:rPr>
      </w:pPr>
      <w:r>
        <w:rPr>
          <w:rFonts w:ascii="Times New Roman" w:hAnsi="Times New Roman"/>
          <w:sz w:val="16"/>
          <w:highlight w:val="white"/>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p>
    <w:p>
      <w:pPr>
        <w:pStyle w:val="TextBody"/>
        <w:spacing w:before="60" w:after="0"/>
        <w:jc w:val="left"/>
        <w:rPr>
          <w:rFonts w:ascii="Times New Roman" w:hAnsi="Times New Roman"/>
          <w:i/>
          <w:caps w:val="false"/>
          <w:smallCaps w:val="false"/>
          <w:spacing w:val="0"/>
          <w:sz w:val="16"/>
          <w:highlight w:val="white"/>
          <w:u w:val="single"/>
        </w:rPr>
      </w:pPr>
      <w:r>
        <w:rPr>
          <w:rFonts w:ascii="Times New Roman" w:hAnsi="Times New Roman"/>
          <w:i/>
          <w:caps w:val="false"/>
          <w:smallCaps w:val="false"/>
          <w:spacing w:val="0"/>
          <w:sz w:val="16"/>
          <w:highlight w:val="white"/>
          <w:u w:val="single"/>
        </w:rPr>
        <w:t>www.sec.gov</w:t>
      </w:r>
    </w:p>
    <w:p>
      <w:pPr>
        <w:pStyle w:val="TextBody"/>
        <w:spacing w:before="60" w:after="0"/>
        <w:jc w:val="left"/>
        <w:rPr>
          <w:rFonts w:ascii="Times New Roman" w:hAnsi="Times New Roman"/>
          <w:sz w:val="16"/>
          <w:highlight w:val="white"/>
        </w:rPr>
      </w:pPr>
      <w:r>
        <w:rPr>
          <w:rFonts w:ascii="Times New Roman" w:hAnsi="Times New Roman"/>
          <w:sz w:val="16"/>
          <w:highlight w:val="white"/>
        </w:rPr>
        <w:t xml:space="preserve">that contains such information free of charge. </w:t>
      </w:r>
    </w:p>
    <w:p>
      <w:pPr>
        <w:pStyle w:val="TextBody"/>
        <w:spacing w:before="60" w:after="0"/>
        <w:ind w:left="0" w:right="0" w:hanging="0"/>
        <w:jc w:val="left"/>
        <w:rPr/>
      </w:pPr>
      <w:r>
        <w:rPr>
          <w:rFonts w:ascii="Times New Roman" w:hAnsi="Times New Roman"/>
          <w:b/>
          <w:sz w:val="18"/>
          <w:highlight w:val="white"/>
        </w:rPr>
        <w:t>Investing in our common stock involves a high degree of risk, including the risk of leverage. Before buying any shares of our common stock, you should read the discussion of the material risks of investing in us described in the section titled “</w:t>
      </w:r>
      <w:hyperlink w:anchor="supptx478714_6">
        <w:r>
          <w:rPr>
            <w:rStyle w:val="InternetLink"/>
            <w:rFonts w:ascii="Times New Roman" w:hAnsi="Times New Roman"/>
            <w:b/>
            <w:sz w:val="18"/>
            <w:highlight w:val="white"/>
          </w:rPr>
          <w:t>Risk Factors</w:t>
        </w:r>
      </w:hyperlink>
      <w:r>
        <w:rPr>
          <w:rFonts w:ascii="Times New Roman" w:hAnsi="Times New Roman"/>
          <w:b/>
          <w:sz w:val="18"/>
          <w:highlight w:val="white"/>
        </w:rPr>
        <w:t xml:space="preserve">” on page </w:t>
      </w:r>
    </w:p>
    <w:p>
      <w:pPr>
        <w:pStyle w:val="TextBody"/>
        <w:spacing w:before="60" w:after="0"/>
        <w:jc w:val="left"/>
        <w:rPr>
          <w:rFonts w:ascii="Times New Roman" w:hAnsi="Times New Roman"/>
          <w:b/>
          <w:spacing w:val="0"/>
          <w:sz w:val="18"/>
          <w:highlight w:val="white"/>
        </w:rPr>
      </w:pPr>
      <w:r>
        <w:rPr>
          <w:rFonts w:ascii="Times New Roman" w:hAnsi="Times New Roman"/>
          <w:b/>
          <w:spacing w:val="0"/>
          <w:sz w:val="18"/>
          <w:highlight w:val="white"/>
        </w:rPr>
        <w:t>S-10</w:t>
      </w:r>
    </w:p>
    <w:p>
      <w:pPr>
        <w:pStyle w:val="TextBody"/>
        <w:spacing w:before="60" w:after="0"/>
        <w:jc w:val="left"/>
        <w:rPr>
          <w:rFonts w:ascii="Times New Roman" w:hAnsi="Times New Roman"/>
          <w:b/>
          <w:sz w:val="18"/>
          <w:highlight w:val="white"/>
        </w:rPr>
      </w:pPr>
      <w:r>
        <w:rPr>
          <w:rFonts w:ascii="Times New Roman" w:hAnsi="Times New Roman"/>
          <w:b/>
          <w:sz w:val="18"/>
          <w:highlight w:val="white"/>
        </w:rPr>
        <w:t xml:space="preserve">of this prospectus supplement and in our most recent Annual Report on Form </w:t>
      </w:r>
    </w:p>
    <w:p>
      <w:pPr>
        <w:pStyle w:val="TextBody"/>
        <w:spacing w:before="60" w:after="0"/>
        <w:jc w:val="left"/>
        <w:rPr>
          <w:rFonts w:ascii="Times New Roman" w:hAnsi="Times New Roman"/>
          <w:b/>
          <w:spacing w:val="0"/>
          <w:sz w:val="18"/>
          <w:highlight w:val="white"/>
        </w:rPr>
      </w:pPr>
      <w:r>
        <w:rPr>
          <w:rFonts w:ascii="Times New Roman" w:hAnsi="Times New Roman"/>
          <w:b/>
          <w:spacing w:val="0"/>
          <w:sz w:val="18"/>
          <w:highlight w:val="white"/>
        </w:rPr>
        <w:t>10-K,</w:t>
      </w:r>
    </w:p>
    <w:p>
      <w:pPr>
        <w:pStyle w:val="TextBody"/>
        <w:spacing w:before="60" w:after="0"/>
        <w:jc w:val="left"/>
        <w:rPr>
          <w:rFonts w:ascii="Times New Roman" w:hAnsi="Times New Roman"/>
          <w:b/>
          <w:sz w:val="18"/>
          <w:highlight w:val="white"/>
        </w:rPr>
      </w:pPr>
      <w:r>
        <w:rPr>
          <w:rFonts w:ascii="Times New Roman" w:hAnsi="Times New Roman"/>
          <w:b/>
          <w:sz w:val="18"/>
          <w:highlight w:val="white"/>
        </w:rPr>
        <w:t xml:space="preserve">our most recent Quarterly Report on Form </w:t>
      </w:r>
    </w:p>
    <w:p>
      <w:pPr>
        <w:pStyle w:val="TextBody"/>
        <w:spacing w:before="60" w:after="0"/>
        <w:jc w:val="left"/>
        <w:rPr>
          <w:rFonts w:ascii="Times New Roman" w:hAnsi="Times New Roman"/>
          <w:b/>
          <w:spacing w:val="0"/>
          <w:sz w:val="18"/>
          <w:highlight w:val="white"/>
        </w:rPr>
      </w:pPr>
      <w:r>
        <w:rPr>
          <w:rFonts w:ascii="Times New Roman" w:hAnsi="Times New Roman"/>
          <w:b/>
          <w:spacing w:val="0"/>
          <w:sz w:val="18"/>
          <w:highlight w:val="white"/>
        </w:rPr>
        <w:t>10-Q</w:t>
      </w:r>
    </w:p>
    <w:p>
      <w:pPr>
        <w:pStyle w:val="TextBody"/>
        <w:spacing w:before="60" w:after="0"/>
        <w:jc w:val="left"/>
        <w:rPr>
          <w:rFonts w:ascii="Times New Roman" w:hAnsi="Times New Roman"/>
          <w:b/>
          <w:sz w:val="18"/>
          <w:highlight w:val="white"/>
        </w:rPr>
      </w:pPr>
      <w:r>
        <w:rPr>
          <w:rFonts w:ascii="Times New Roman" w:hAnsi="Times New Roman"/>
          <w:b/>
          <w:sz w:val="18"/>
          <w:highlight w:val="white"/>
        </w:rPr>
        <w:t xml:space="preserve">and under similar headings in other documents that are filed with the SEC on or after the date hereof and incorporated by reference into this prospectus supplement and the accompanying prospectus. </w:t>
      </w:r>
    </w:p>
    <w:p>
      <w:pPr>
        <w:pStyle w:val="TextBody"/>
        <w:spacing w:before="60" w:after="0"/>
        <w:ind w:left="0" w:right="0" w:hanging="0"/>
        <w:jc w:val="left"/>
        <w:rPr>
          <w:rFonts w:ascii="Times New Roman" w:hAnsi="Times New Roman"/>
          <w:b/>
          <w:sz w:val="14"/>
          <w:highlight w:val="white"/>
        </w:rPr>
      </w:pPr>
      <w:r>
        <w:rPr>
          <w:rFonts w:ascii="Times New Roman" w:hAnsi="Times New Roman"/>
          <w:b/>
          <w:sz w:val="14"/>
          <w:highlight w:val="white"/>
        </w:rPr>
        <w:t xml:space="preserve">Shares of </w:t>
      </w:r>
    </w:p>
    <w:p>
      <w:pPr>
        <w:pStyle w:val="TextBody"/>
        <w:spacing w:before="60" w:after="0"/>
        <w:jc w:val="left"/>
        <w:rPr>
          <w:rFonts w:ascii="Times New Roman" w:hAnsi="Times New Roman"/>
          <w:b/>
          <w:spacing w:val="0"/>
          <w:sz w:val="14"/>
          <w:highlight w:val="white"/>
        </w:rPr>
      </w:pPr>
      <w:r>
        <w:rPr>
          <w:rFonts w:ascii="Times New Roman" w:hAnsi="Times New Roman"/>
          <w:b/>
          <w:spacing w:val="0"/>
          <w:sz w:val="14"/>
          <w:highlight w:val="white"/>
        </w:rPr>
        <w:t>closed-end</w:t>
      </w:r>
    </w:p>
    <w:p>
      <w:pPr>
        <w:pStyle w:val="TextBody"/>
        <w:spacing w:before="60" w:after="0"/>
        <w:jc w:val="left"/>
        <w:rPr>
          <w:rFonts w:ascii="Times New Roman" w:hAnsi="Times New Roman"/>
          <w:b/>
          <w:sz w:val="14"/>
          <w:highlight w:val="white"/>
        </w:rPr>
      </w:pPr>
      <w:r>
        <w:rPr>
          <w:rFonts w:ascii="Times New Roman" w:hAnsi="Times New Roman"/>
          <w:b/>
          <w:sz w:val="14"/>
          <w:highlight w:val="white"/>
        </w:rPr>
        <w:t xml:space="preserve">investment companies, including BDCs, frequently trade at a discount to their NAV. If our shares trade at a discount to our NAV, it may increase the risk of loss for purchasers in this offering. </w:t>
      </w:r>
    </w:p>
    <w:p>
      <w:pPr>
        <w:pStyle w:val="TextBody"/>
        <w:spacing w:before="60" w:after="0"/>
        <w:ind w:left="0" w:right="0" w:hanging="0"/>
        <w:jc w:val="left"/>
        <w:rPr>
          <w:rFonts w:ascii="Times New Roman" w:hAnsi="Times New Roman"/>
          <w:b/>
          <w:sz w:val="14"/>
          <w:highlight w:val="white"/>
        </w:rPr>
      </w:pPr>
      <w:r>
        <w:rPr>
          <w:rFonts w:ascii="Times New Roman" w:hAnsi="Times New Roman"/>
          <w:b/>
          <w:sz w:val="14"/>
          <w:highlight w:val="white"/>
        </w:rPr>
        <w:t xml:space="preserve">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 </w:t>
      </w:r>
    </w:p>
    <w:p>
      <w:pPr>
        <w:pStyle w:val="TextBody"/>
        <w:spacing w:before="0" w:after="0"/>
        <w:ind w:left="0" w:right="0" w:hanging="0"/>
        <w:jc w:val="left"/>
        <w:rPr>
          <w:highlight w:val="white"/>
        </w:rPr>
      </w:pPr>
      <w:r>
        <w:rPr>
          <w:highlight w:val="white"/>
        </w:rPr>
        <w:t> </w:t>
      </w:r>
    </w:p>
    <w:p>
      <w:pPr>
        <w:pStyle w:val="TextBody"/>
        <w:spacing w:lineRule="atLeast" w:line="141" w:before="0" w:after="0"/>
        <w:ind w:left="0" w:right="0" w:hanging="0"/>
        <w:jc w:val="center"/>
        <w:rPr>
          <w:highlight w:val="white"/>
          <w:bdr w:val="single" w:sz="8" w:space="1" w:color="000000"/>
        </w:rPr>
      </w:pPr>
      <w:r>
        <w:rPr>
          <w:highlight w:val="white"/>
          <w:bdr w:val="single" w:sz="8" w:space="1" w:color="000000"/>
        </w:rPr>
        <w:t> </w:t>
      </w:r>
    </w:p>
    <w:p>
      <w:pPr>
        <w:pStyle w:val="TextBody"/>
        <w:spacing w:before="0" w:after="0"/>
        <w:ind w:left="0" w:right="0" w:hanging="0"/>
        <w:jc w:val="left"/>
        <w:rPr>
          <w:highlight w:val="white"/>
        </w:rPr>
      </w:pPr>
      <w:r>
        <w:rPr>
          <w:highlight w:val="white"/>
        </w:rPr>
        <w:t> </w:t>
      </w:r>
    </w:p>
    <w:tbl>
      <w:tblPr>
        <w:tblW w:w="4050" w:type="dxa"/>
        <w:jc w:val="left"/>
        <w:tblInd w:w="0" w:type="dxa"/>
        <w:tblCellMar>
          <w:top w:w="0" w:type="dxa"/>
          <w:left w:w="0" w:type="dxa"/>
          <w:bottom w:w="0" w:type="dxa"/>
          <w:right w:w="0" w:type="dxa"/>
        </w:tblCellMar>
      </w:tblPr>
      <w:tblGrid>
        <w:gridCol w:w="1325"/>
        <w:gridCol w:w="60"/>
        <w:gridCol w:w="1310"/>
        <w:gridCol w:w="60"/>
        <w:gridCol w:w="1295"/>
      </w:tblGrid>
      <w:tr>
        <w:trPr/>
        <w:tc>
          <w:tcPr>
            <w:tcW w:w="1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r>
      <w:tr>
        <w:trPr/>
        <w:tc>
          <w:tcPr>
            <w:tcW w:w="1325" w:type="dxa"/>
            <w:tcBorders/>
            <w:shd w:fill="auto" w:val="clear"/>
            <w:vAlign w:val="center"/>
          </w:tcPr>
          <w:p>
            <w:pPr>
              <w:pStyle w:val="TableContents"/>
              <w:spacing w:before="0" w:after="0"/>
              <w:rPr/>
            </w:pPr>
            <w:r>
              <w:rPr/>
              <w:t> </w:t>
            </w:r>
          </w:p>
          <w:p>
            <w:pPr>
              <w:pStyle w:val="TableContents"/>
              <w:spacing w:before="0" w:after="0"/>
              <w:rPr>
                <w:rFonts w:ascii="Times New Roman" w:hAnsi="Times New Roman"/>
                <w:b/>
                <w:sz w:val="18"/>
              </w:rPr>
            </w:pPr>
            <w:r>
              <w:rPr>
                <w:rFonts w:ascii="Times New Roman" w:hAnsi="Times New Roman"/>
                <w:b/>
                <w:sz w:val="18"/>
              </w:rPr>
              <w:t>JMP Securities</w:t>
            </w:r>
          </w:p>
          <w:p>
            <w:pPr>
              <w:pStyle w:val="TableContents"/>
              <w:spacing w:before="0" w:after="20"/>
              <w:rPr>
                <w:rFonts w:ascii="Times New Roman" w:hAnsi="Times New Roman"/>
                <w:spacing w:val="0"/>
                <w:sz w:val="12"/>
              </w:rPr>
            </w:pPr>
            <w:r>
              <w:rPr>
                <w:rFonts w:ascii="Times New Roman" w:hAnsi="Times New Roman"/>
                <w:spacing w:val="0"/>
                <w:sz w:val="12"/>
              </w:rPr>
              <w:t>A CITIZENS COMPANY</w:t>
            </w:r>
          </w:p>
        </w:tc>
        <w:tc>
          <w:tcPr>
            <w:tcW w:w="6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0"/>
              <w:jc w:val="center"/>
              <w:rPr>
                <w:rFonts w:ascii="Times New Roman" w:hAnsi="Times New Roman"/>
                <w:b/>
                <w:sz w:val="18"/>
              </w:rPr>
            </w:pPr>
            <w:r>
              <w:rPr>
                <w:rFonts w:ascii="Times New Roman" w:hAnsi="Times New Roman"/>
                <w:b/>
                <w:sz w:val="18"/>
              </w:rPr>
              <w:t>Raymond James</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0"/>
              <w:jc w:val="right"/>
              <w:rPr>
                <w:rFonts w:ascii="Times New Roman" w:hAnsi="Times New Roman"/>
                <w:b/>
                <w:sz w:val="18"/>
              </w:rPr>
            </w:pPr>
            <w:r>
              <w:rPr>
                <w:rFonts w:ascii="Times New Roman" w:hAnsi="Times New Roman"/>
                <w:b/>
                <w:sz w:val="18"/>
              </w:rPr>
              <w:t>Truist Securities</w:t>
            </w:r>
          </w:p>
        </w:tc>
      </w:tr>
    </w:tbl>
    <w:p>
      <w:pPr>
        <w:pStyle w:val="TextBody"/>
        <w:spacing w:before="60" w:after="0"/>
        <w:ind w:left="0" w:right="0" w:hanging="0"/>
        <w:jc w:val="center"/>
        <w:rPr>
          <w:rFonts w:ascii="Times New Roman" w:hAnsi="Times New Roman"/>
          <w:b/>
          <w:spacing w:val="0"/>
          <w:sz w:val="16"/>
          <w:highlight w:val="white"/>
        </w:rPr>
      </w:pPr>
      <w:r>
        <w:rPr>
          <w:rFonts w:ascii="Times New Roman" w:hAnsi="Times New Roman"/>
          <w:b/>
          <w:spacing w:val="0"/>
          <w:sz w:val="16"/>
          <w:highlight w:val="white"/>
        </w:rPr>
        <w:t>The date of this prospectus supplement is</w:t>
      </w:r>
    </w:p>
    <w:p>
      <w:pPr>
        <w:pStyle w:val="TextBody"/>
        <w:spacing w:before="60" w:after="0"/>
        <w:jc w:val="center"/>
        <w:rPr>
          <w:highlight w:val="white"/>
        </w:rPr>
      </w:pPr>
      <w:r>
        <w:rPr>
          <w:highlight w:val="white"/>
        </w:rPr>
        <w:t> </w:t>
      </w:r>
    </w:p>
    <w:p>
      <w:pPr>
        <w:pStyle w:val="TextBody"/>
        <w:widowControl/>
        <w:spacing w:before="60" w:after="0"/>
        <w:ind w:left="0" w:right="0" w:hanging="0"/>
        <w:jc w:val="center"/>
        <w:rPr>
          <w:rFonts w:ascii="Times New Roman" w:hAnsi="Times New Roman"/>
          <w:b/>
          <w:i w:val="false"/>
          <w:caps w:val="false"/>
          <w:smallCaps w:val="false"/>
          <w:color w:val="000000"/>
          <w:spacing w:val="0"/>
          <w:sz w:val="15"/>
          <w:highlight w:val="white"/>
        </w:rPr>
      </w:pPr>
      <w:r>
        <w:rPr>
          <w:rFonts w:ascii="Times New Roman" w:hAnsi="Times New Roman"/>
          <w:b/>
          <w:i w:val="false"/>
          <w:caps w:val="false"/>
          <w:smallCaps w:val="false"/>
          <w:color w:val="000000"/>
          <w:spacing w:val="0"/>
          <w:sz w:val="15"/>
          <w:highlight w:val="white"/>
        </w:rPr>
        <w:t>March 31, 2023.</w:t>
      </w:r>
    </w:p>
    <w:p>
      <w:pPr>
        <w:pStyle w:val="HorizontalLine"/>
        <w:rPr/>
      </w:pPr>
      <w:r>
        <w:rPr/>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TABLE OF CONTENTS </w:t>
      </w:r>
    </w:p>
    <w:p>
      <w:pPr>
        <w:pStyle w:val="TextBody"/>
        <w:spacing w:before="120" w:after="0"/>
        <w:jc w:val="center"/>
        <w:rPr>
          <w:rFonts w:ascii="Times New Roman" w:hAnsi="Times New Roman"/>
          <w:b/>
          <w:sz w:val="20"/>
          <w:highlight w:val="white"/>
        </w:rPr>
      </w:pPr>
      <w:r>
        <w:rPr>
          <w:rFonts w:ascii="Times New Roman" w:hAnsi="Times New Roman"/>
          <w:b/>
          <w:sz w:val="20"/>
          <w:highlight w:val="white"/>
        </w:rPr>
        <w:t xml:space="preserve">PROSPECTUS SUPPLEMENT </w:t>
      </w:r>
    </w:p>
    <w:p>
      <w:pPr>
        <w:pStyle w:val="TextBody"/>
        <w:spacing w:before="0" w:after="0"/>
        <w:jc w:val="left"/>
        <w:rPr>
          <w:highlight w:val="white"/>
        </w:rPr>
      </w:pPr>
      <w:r>
        <w:rPr>
          <w:highlight w:val="white"/>
        </w:rPr>
        <w:t> </w:t>
      </w:r>
    </w:p>
    <w:tbl>
      <w:tblPr>
        <w:tblW w:w="7090" w:type="dxa"/>
        <w:jc w:val="left"/>
        <w:tblInd w:w="0" w:type="dxa"/>
        <w:tblCellMar>
          <w:top w:w="0" w:type="dxa"/>
          <w:left w:w="0" w:type="dxa"/>
          <w:bottom w:w="0" w:type="dxa"/>
          <w:right w:w="0" w:type="dxa"/>
        </w:tblCellMar>
      </w:tblPr>
      <w:tblGrid>
        <w:gridCol w:w="6365"/>
        <w:gridCol w:w="120"/>
        <w:gridCol w:w="60"/>
        <w:gridCol w:w="470"/>
        <w:gridCol w:w="75"/>
      </w:tblGrid>
      <w:tr>
        <w:trPr/>
        <w:tc>
          <w:tcPr>
            <w:tcW w:w="63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365" w:type="dxa"/>
            <w:tcBorders/>
            <w:shd w:fill="auto" w:val="clear"/>
            <w:vAlign w:val="center"/>
          </w:tcPr>
          <w:p>
            <w:pPr>
              <w:pStyle w:val="TableContents"/>
              <w:spacing w:before="0" w:after="0"/>
              <w:rPr/>
            </w:pPr>
            <w:hyperlink w:anchor="supptx478714_1">
              <w:r>
                <w:rPr>
                  <w:rStyle w:val="InternetLink"/>
                  <w:rFonts w:ascii="Times New Roman" w:hAnsi="Times New Roman"/>
                  <w:sz w:val="20"/>
                </w:rPr>
                <w:t>TABLE OF CONTENTS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S-i</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2">
              <w:r>
                <w:rPr>
                  <w:rStyle w:val="InternetLink"/>
                  <w:rFonts w:ascii="Times New Roman" w:hAnsi="Times New Roman"/>
                  <w:sz w:val="20"/>
                </w:rPr>
                <w:t>ABOUT THIS PROSPECTUS SUPPLEMENT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S-1</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3">
              <w:r>
                <w:rPr>
                  <w:rStyle w:val="InternetLink"/>
                  <w:rFonts w:ascii="Times New Roman" w:hAnsi="Times New Roman"/>
                  <w:sz w:val="20"/>
                </w:rPr>
                <w:t>PROSPECTUS SUPPLEMENT SUMMARY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S-2</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4">
              <w:r>
                <w:rPr>
                  <w:rStyle w:val="InternetLink"/>
                  <w:rFonts w:ascii="Times New Roman" w:hAnsi="Times New Roman"/>
                  <w:sz w:val="20"/>
                </w:rPr>
                <w:t>THE OFFERING</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S-5</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5">
              <w:r>
                <w:rPr>
                  <w:rStyle w:val="InternetLink"/>
                  <w:rFonts w:ascii="Times New Roman" w:hAnsi="Times New Roman"/>
                  <w:sz w:val="20"/>
                </w:rPr>
                <w:t>FEES AND EXPENSES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S-7</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6">
              <w:r>
                <w:rPr>
                  <w:rStyle w:val="InternetLink"/>
                  <w:rFonts w:ascii="Times New Roman" w:hAnsi="Times New Roman"/>
                  <w:sz w:val="20"/>
                </w:rPr>
                <w:t>RISK FACTORS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S-10</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7">
              <w:r>
                <w:rPr>
                  <w:rStyle w:val="InternetLink"/>
                  <w:rFonts w:ascii="Times New Roman" w:hAnsi="Times New Roman"/>
                  <w:sz w:val="20"/>
                </w:rPr>
                <w:t>FORWARD-LOOKING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S-10</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8">
              <w:r>
                <w:rPr>
                  <w:rStyle w:val="InternetLink"/>
                  <w:rFonts w:ascii="Times New Roman" w:hAnsi="Times New Roman"/>
                  <w:sz w:val="20"/>
                </w:rPr>
                <w:t>USE OF PROCEEDS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S-12</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9">
              <w:r>
                <w:rPr>
                  <w:rStyle w:val="InternetLink"/>
                  <w:rFonts w:ascii="Times New Roman" w:hAnsi="Times New Roman"/>
                  <w:sz w:val="20"/>
                </w:rPr>
                <w:t>PLAN OF DISTRIBUTION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S-13</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10">
              <w:r>
                <w:rPr>
                  <w:rStyle w:val="InternetLink"/>
                  <w:rFonts w:ascii="Times New Roman" w:hAnsi="Times New Roman"/>
                  <w:sz w:val="20"/>
                </w:rPr>
                <w:t>LEGAL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S-15</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11">
              <w:r>
                <w:rPr>
                  <w:rStyle w:val="InternetLink"/>
                  <w:rFonts w:ascii="Times New Roman" w:hAnsi="Times New Roman"/>
                  <w:sz w:val="20"/>
                </w:rPr>
                <w:t>INDEPENDENT REGISTERED PUBLIC ACCOUNTING FIRM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S-15</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12">
              <w:r>
                <w:rPr>
                  <w:rStyle w:val="InternetLink"/>
                  <w:rFonts w:ascii="Times New Roman" w:hAnsi="Times New Roman"/>
                  <w:sz w:val="20"/>
                </w:rPr>
                <w:t>INDEPENDENT AUDITOR</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S-15</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13">
              <w:r>
                <w:rPr>
                  <w:rStyle w:val="InternetLink"/>
                  <w:rFonts w:ascii="Times New Roman" w:hAnsi="Times New Roman"/>
                  <w:sz w:val="20"/>
                </w:rPr>
                <w:t>INCORPORATION BY REFERENCE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S-15</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supptx478714_14">
              <w:r>
                <w:rPr>
                  <w:rStyle w:val="InternetLink"/>
                  <w:rFonts w:ascii="Times New Roman" w:hAnsi="Times New Roman"/>
                  <w:sz w:val="20"/>
                </w:rPr>
                <w:t>AVAILABLE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S-16</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283"/>
              <w:rPr/>
            </w:pPr>
            <w:r>
              <w:rPr/>
              <w:t> </w:t>
            </w:r>
          </w:p>
        </w:tc>
        <w:tc>
          <w:tcPr>
            <w:tcW w:w="725" w:type="dxa"/>
            <w:gridSpan w:val="4"/>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jc w:val="center"/>
              <w:rPr>
                <w:b/>
                <w:spacing w:val="0"/>
              </w:rPr>
            </w:pPr>
            <w:r>
              <w:rPr>
                <w:b/>
                <w:spacing w:val="0"/>
              </w:rPr>
              <w:t>PROSPECTUS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Page</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
              <w:r>
                <w:rPr>
                  <w:rStyle w:val="InternetLink"/>
                  <w:rFonts w:ascii="Times New Roman" w:hAnsi="Times New Roman"/>
                  <w:sz w:val="20"/>
                </w:rPr>
                <w:t>PROSPECTUS SUMMARY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
              <w:r>
                <w:rPr>
                  <w:rStyle w:val="InternetLink"/>
                  <w:rFonts w:ascii="Times New Roman" w:hAnsi="Times New Roman"/>
                  <w:sz w:val="20"/>
                </w:rPr>
                <w:t>FEES AND EXPENSES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3">
              <w:r>
                <w:rPr>
                  <w:rStyle w:val="InternetLink"/>
                  <w:rFonts w:ascii="Times New Roman" w:hAnsi="Times New Roman"/>
                  <w:sz w:val="20"/>
                </w:rPr>
                <w:t>FINANCIAL HIGHLIGHTS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4">
              <w:r>
                <w:rPr>
                  <w:rStyle w:val="InternetLink"/>
                  <w:rFonts w:ascii="Times New Roman" w:hAnsi="Times New Roman"/>
                  <w:sz w:val="20"/>
                </w:rPr>
                <w:t>RISK FACTORS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10</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5">
              <w:r>
                <w:rPr>
                  <w:rStyle w:val="InternetLink"/>
                  <w:rFonts w:ascii="Times New Roman" w:hAnsi="Times New Roman"/>
                  <w:sz w:val="20"/>
                </w:rPr>
                <w:t>FORWARD-LOOKING STATEMENTS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10</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6">
              <w:r>
                <w:rPr>
                  <w:rStyle w:val="InternetLink"/>
                  <w:rFonts w:ascii="Times New Roman" w:hAnsi="Times New Roman"/>
                  <w:sz w:val="20"/>
                </w:rPr>
                <w:t>USE OF PROCEEDS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7">
              <w:r>
                <w:rPr>
                  <w:rStyle w:val="InternetLink"/>
                  <w:rFonts w:ascii="Times New Roman" w:hAnsi="Times New Roman"/>
                  <w:sz w:val="20"/>
                </w:rPr>
                <w:t>SENIOR SECURITIES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8">
              <w:r>
                <w:rPr>
                  <w:rStyle w:val="InternetLink"/>
                  <w:rFonts w:ascii="Times New Roman" w:hAnsi="Times New Roman"/>
                  <w:sz w:val="20"/>
                </w:rPr>
                <w:t>PRICE RANGE OF COMMON STOCK</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9">
              <w:r>
                <w:rPr>
                  <w:rStyle w:val="InternetLink"/>
                  <w:rFonts w:ascii="Times New Roman" w:hAnsi="Times New Roman"/>
                  <w:sz w:val="20"/>
                </w:rPr>
                <w:t>SALES OF COMMON STOCK BELOW NET ASSET VALUE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0">
              <w:r>
                <w:rPr>
                  <w:rStyle w:val="InternetLink"/>
                  <w:rFonts w:ascii="Times New Roman" w:hAnsi="Times New Roman"/>
                  <w:sz w:val="20"/>
                </w:rPr>
                <w:t>DISTRIBUTIONS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1">
              <w:r>
                <w:rPr>
                  <w:rStyle w:val="InternetLink"/>
                  <w:rFonts w:ascii="Times New Roman" w:hAnsi="Times New Roman"/>
                  <w:sz w:val="20"/>
                </w:rPr>
                <w:t>PORTFOLIO COMPANIES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19</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2">
              <w:r>
                <w:rPr>
                  <w:rStyle w:val="InternetLink"/>
                  <w:rFonts w:ascii="Times New Roman" w:hAnsi="Times New Roman"/>
                  <w:sz w:val="20"/>
                </w:rPr>
                <w:t>PORTFOLIO MANAGEMENT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31</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3">
              <w:r>
                <w:rPr>
                  <w:rStyle w:val="InternetLink"/>
                  <w:rFonts w:ascii="Times New Roman" w:hAnsi="Times New Roman"/>
                  <w:sz w:val="20"/>
                </w:rPr>
                <w:t>DETERMINATION OF NET ASSET VALUE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34</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5">
              <w:r>
                <w:rPr>
                  <w:rStyle w:val="InternetLink"/>
                  <w:rFonts w:ascii="Times New Roman" w:hAnsi="Times New Roman"/>
                  <w:sz w:val="20"/>
                </w:rPr>
                <w:t>DESCRIPTION OF OUR CAPITAL STOCK</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37</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6">
              <w:r>
                <w:rPr>
                  <w:rStyle w:val="InternetLink"/>
                  <w:rFonts w:ascii="Times New Roman" w:hAnsi="Times New Roman"/>
                  <w:sz w:val="20"/>
                </w:rPr>
                <w:t>DESCRIPTION OF OUR PREFERRED STOCK</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43</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7">
              <w:r>
                <w:rPr>
                  <w:rStyle w:val="InternetLink"/>
                  <w:rFonts w:ascii="Times New Roman" w:hAnsi="Times New Roman"/>
                  <w:sz w:val="20"/>
                </w:rPr>
                <w:t>DESCRIPTION OF OUR WARRANTS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44</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8">
              <w:r>
                <w:rPr>
                  <w:rStyle w:val="InternetLink"/>
                  <w:rFonts w:ascii="Times New Roman" w:hAnsi="Times New Roman"/>
                  <w:sz w:val="20"/>
                </w:rPr>
                <w:t>DESCRIPTION OF OUR SUBSCRIPTION RIGHTS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9">
              <w:r>
                <w:rPr>
                  <w:rStyle w:val="InternetLink"/>
                  <w:rFonts w:ascii="Times New Roman" w:hAnsi="Times New Roman"/>
                  <w:sz w:val="20"/>
                </w:rPr>
                <w:t>DESCRIPTION OF OUR DEBT SECURITIES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47</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0">
              <w:r>
                <w:rPr>
                  <w:rStyle w:val="InternetLink"/>
                  <w:rFonts w:ascii="Times New Roman" w:hAnsi="Times New Roman"/>
                  <w:sz w:val="20"/>
                </w:rPr>
                <w:t>BROKERAGE ALLOCATIONS AND OTHER PRACTICES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60</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1">
              <w:r>
                <w:rPr>
                  <w:rStyle w:val="InternetLink"/>
                  <w:rFonts w:ascii="Times New Roman" w:hAnsi="Times New Roman"/>
                  <w:sz w:val="20"/>
                </w:rPr>
                <w:t>MATERIAL U.S. FEDERAL INCOME TAX CONSIDERATIONS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2">
              <w:r>
                <w:rPr>
                  <w:rStyle w:val="InternetLink"/>
                  <w:rFonts w:ascii="Times New Roman" w:hAnsi="Times New Roman"/>
                  <w:sz w:val="20"/>
                </w:rPr>
                <w:t>PLAN OF DISTRIBUTION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72</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3">
              <w:r>
                <w:rPr>
                  <w:rStyle w:val="InternetLink"/>
                  <w:rFonts w:ascii="Times New Roman" w:hAnsi="Times New Roman"/>
                  <w:spacing w:val="0"/>
                  <w:sz w:val="20"/>
                </w:rPr>
                <w:t>SUB-ADMINISTRATOR,</w:t>
              </w:r>
            </w:hyperlink>
            <w:hyperlink w:anchor="toc478714_23">
              <w:r>
                <w:rPr>
                  <w:rStyle w:val="InternetLink"/>
                  <w:rFonts w:ascii="Times New Roman" w:hAnsi="Times New Roman"/>
                  <w:sz w:val="20"/>
                </w:rPr>
                <w:t xml:space="preserve"> CUSTODIAN, TRANSFER AGENT AND TRUSTEE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4">
              <w:r>
                <w:rPr>
                  <w:rStyle w:val="InternetLink"/>
                  <w:rFonts w:ascii="Times New Roman" w:hAnsi="Times New Roman"/>
                  <w:sz w:val="20"/>
                </w:rPr>
                <w:t>LEGAL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5">
              <w:r>
                <w:rPr>
                  <w:rStyle w:val="InternetLink"/>
                  <w:rFonts w:ascii="Times New Roman" w:hAnsi="Times New Roman"/>
                  <w:sz w:val="20"/>
                </w:rPr>
                <w:t>INDEPENDENT REGISTERED PUBLIC ACCOUNTING FIRM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6">
              <w:r>
                <w:rPr>
                  <w:rStyle w:val="InternetLink"/>
                  <w:rFonts w:ascii="Times New Roman" w:hAnsi="Times New Roman"/>
                  <w:sz w:val="20"/>
                </w:rPr>
                <w:t>INDEPENDENT AUDITORS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7">
              <w:r>
                <w:rPr>
                  <w:rStyle w:val="InternetLink"/>
                  <w:rFonts w:ascii="Times New Roman" w:hAnsi="Times New Roman"/>
                  <w:sz w:val="20"/>
                </w:rPr>
                <w:t>INCORPORATION BY REFERENCE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75</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8">
              <w:r>
                <w:rPr>
                  <w:rStyle w:val="InternetLink"/>
                  <w:rFonts w:ascii="Times New Roman" w:hAnsi="Times New Roman"/>
                  <w:sz w:val="20"/>
                </w:rPr>
                <w:t>AVAILABLE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jc w:val="right"/>
              <w:rPr/>
            </w:pPr>
            <w:r>
              <w:rPr/>
              <w:t>76</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S-i </w:t>
      </w:r>
    </w:p>
    <w:p>
      <w:pPr>
        <w:pStyle w:val="HorizontalLine"/>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ABOUT THIS PROSPECTUS SUPPLEMENT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This document is in two parts. The first part is this prospectus supplement, which describes specific details regarding the terms of this offering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or any exhibits and documents incorporated by reference. Please carefully read this prospectus supplement and the accompanying prospectus together with any free writing prospectus that we have authorized for use in connection with this offering and any exhibits and documents incorporated by reference before you make an investment decision. </w:t>
      </w:r>
    </w:p>
    <w:p>
      <w:pPr>
        <w:pStyle w:val="TextBody"/>
        <w:spacing w:before="240" w:after="0"/>
        <w:jc w:val="left"/>
        <w:rPr>
          <w:rFonts w:ascii="Times New Roman" w:hAnsi="Times New Roman"/>
          <w:b/>
          <w:sz w:val="20"/>
          <w:highlight w:val="white"/>
        </w:rPr>
      </w:pPr>
      <w:r>
        <w:rPr>
          <w:rFonts w:ascii="Times New Roman" w:hAnsi="Times New Roman"/>
          <w:b/>
          <w:sz w:val="20"/>
          <w:highlight w:val="white"/>
        </w:rPr>
        <w:t xml:space="preserve">YOU SHOULD RELY ONLY ON THE INFORMATION CONTAINED IN THIS PROSPECTUS SUPPLEMENT, INCLUDING ANY DOCUMENTS WE INCORPORATE BY REFERENCE HEREIN, THE ACCOMPANYING PROSPECTUS AND ANY FREE WRITING PROSPECTUS PREPARED BY OR ON BEHALF OF US THAT RELATES TO THIS OFFERING, INCLUDING THE DOCUMENTS WE INCORPORATE BY REFERENCE THEREIN. NEITHER WE NOR ANY SALES AGENT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SALES AGENTS ARE NOT, MAKING AN OFFER TO SELL SHARES OF OUR COMMON STOCK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 REGARDLESS OF THE TIME OF DELIVERY OF THIS PROSPECTUS SUPPLEMENT, THE ACCOMPANYING PROSPECTUS, ANY FREE WRITING PROSPECTUS OR ANY SALES OF SHARES OF OUR COMMON STOCK. OUR BUSINESS, FINANCIAL CONDITION, RESULTS OF OPERATIONS AND PROSPECTS MAY HAVE CHANGED SINCE THOSE DATES.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S-1 </w:t>
      </w:r>
    </w:p>
    <w:p>
      <w:pPr>
        <w:pStyle w:val="HorizontalLine"/>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PROSPECTUS SUPPLEMENT SUMMARY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 xml:space="preserve">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the section titled “Risk Factors” in our most recent Annual Report on Form </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10-K,</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 xml:space="preserve">our most recent Quarterly Report on Form </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10-Q</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 xml:space="preserve">and elsewhere in this prospectus supplement and the accompanying prospectus. You should read carefully the more detailed information set forth under “Risk Factors” and the other information included in this prospectus supplement and accompanying prospectus. </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 xml:space="preserve">In this prospectus supplement and the accompanying prospectus, except where the context suggests otherwise, the terms “Company,” “we,” “our” or “us” refer to PennantPark Floating Rate Capital Ltd. and its wholly-owned consolidated subsidiaries; “Funding I” refers to PennantPark Floating Rate Funding I,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“Administrator” refers to PennantPark Investment Administration, LLC; “2023 Notes” refers to our 4.3% Series A notes due 2023; “2026 Notes” refers to our 4.25% Notes due 2026; “1940 Act” refers to the Investment Company Act of 1940, as amended; “Code” refers to the Internal Revenue Code of 1986, as amended; “RIC” refers to a regulated investment company under the Code; “BDC” refers to a business development company under the 1940 Act; “Credit Facility” refers to our multi-currency senior secured revolving credit facility, as amended from time to time, with Truist Bank and other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Class A-1</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 xml:space="preserve">Senior Secured Floating Rate Notes due 2031, the </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Class A-2</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 xml:space="preserve">Senior Secured Fixed Rate Notes due 2031, the </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Class B-1</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 xml:space="preserve">Senior Secured Floating Rate Notes due 2031, the </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Class B-2</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 xml:space="preserve">Senior Secured Fixed Rate Notes due 2031, the </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Class C-1</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 xml:space="preserve">Secured Deferrable Floating Rate Notes due 2031, the </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Class C-2</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 xml:space="preserve">Notes Secured Deferrable Fixed Rate Notes due 2031, and the Class D Secured Deferrable Floating Notes due 2031 and (ii) the borrowing of the </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Class A-1</w:t>
      </w:r>
    </w:p>
    <w:p>
      <w:pPr>
        <w:pStyle w:val="TextBody"/>
        <w:spacing w:before="24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 xml:space="preserve">Senior Secured Floating Rate Notes due 2031 by the Securitization Issuers in connection with the Debt Securitization. References to our portfolio, our investments, the Credit Facility and our business include investments we make through our subsidiaries. </w:t>
      </w:r>
    </w:p>
    <w:p>
      <w:pPr>
        <w:pStyle w:val="TextBody"/>
        <w:spacing w:before="360" w:after="0"/>
        <w:jc w:val="left"/>
        <w:rPr>
          <w:rFonts w:ascii="Times New Roman" w:hAnsi="Times New Roman"/>
          <w:b/>
          <w:sz w:val="20"/>
          <w:highlight w:val="white"/>
          <w:bdr w:val="single" w:sz="8" w:space="1" w:color="000000"/>
        </w:rPr>
      </w:pPr>
      <w:r>
        <w:rPr>
          <w:rFonts w:ascii="Times New Roman" w:hAnsi="Times New Roman"/>
          <w:b/>
          <w:sz w:val="20"/>
          <w:highlight w:val="white"/>
          <w:bdr w:val="single" w:sz="8" w:space="1" w:color="000000"/>
        </w:rPr>
        <w:t xml:space="preserve">General Business of PennantPark Floating Rate Capital Ltd. </w:t>
      </w:r>
    </w:p>
    <w:p>
      <w:pPr>
        <w:pStyle w:val="TextBody"/>
        <w:spacing w:before="12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PennantPark Floating Rate Capital Ltd. is a BDC whose objectives are to generate both current income and capital appreciation while seeking to preserve capital by investing primarily in Floating Rate Loans and other investments made to U.S. middle-market companies. </w:t>
      </w:r>
    </w:p>
    <w:p>
      <w:pPr>
        <w:pStyle w:val="TextBody"/>
        <w:spacing w:before="24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w:t>
      </w:r>
    </w:p>
    <w:p>
      <w:pPr>
        <w:pStyle w:val="TextBody"/>
        <w:spacing w:before="240" w:after="0"/>
        <w:jc w:val="left"/>
        <w:rPr>
          <w:rFonts w:ascii="Times New Roman" w:hAnsi="Times New Roman"/>
          <w:spacing w:val="0"/>
          <w:sz w:val="20"/>
          <w:highlight w:val="white"/>
          <w:bdr w:val="single" w:sz="8" w:space="1" w:color="000000"/>
        </w:rPr>
      </w:pPr>
      <w:r>
        <w:rPr>
          <w:rFonts w:ascii="Times New Roman" w:hAnsi="Times New Roman"/>
          <w:spacing w:val="0"/>
          <w:sz w:val="20"/>
          <w:highlight w:val="white"/>
          <w:bdr w:val="single" w:sz="8" w:space="1" w:color="000000"/>
        </w:rPr>
        <w:t>non-investment</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S-2 </w:t>
      </w:r>
    </w:p>
    <w:p>
      <w:pPr>
        <w:pStyle w:val="HorizontalLine"/>
        <w:rPr/>
      </w:pPr>
      <w:r>
        <w:rPr/>
      </w:r>
    </w:p>
    <w:p>
      <w:pPr>
        <w:pStyle w:val="TextBody"/>
        <w:spacing w:before="0" w:after="0"/>
        <w:ind w:left="0" w:right="0" w:hanging="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w:t>
      </w:r>
    </w:p>
    <w:p>
      <w:pPr>
        <w:pStyle w:val="TextBody"/>
        <w:spacing w:before="0" w:after="0"/>
        <w:jc w:val="left"/>
        <w:rPr>
          <w:rFonts w:ascii="Times New Roman" w:hAnsi="Times New Roman"/>
          <w:spacing w:val="0"/>
          <w:sz w:val="20"/>
          <w:highlight w:val="white"/>
          <w:bdr w:val="single" w:sz="8" w:space="1" w:color="000000"/>
        </w:rPr>
      </w:pPr>
      <w:r>
        <w:rPr>
          <w:rFonts w:ascii="Times New Roman" w:hAnsi="Times New Roman"/>
          <w:spacing w:val="0"/>
          <w:sz w:val="20"/>
          <w:highlight w:val="white"/>
          <w:bdr w:val="single" w:sz="8" w:space="1" w:color="000000"/>
        </w:rPr>
        <w:t>non-U.S.</w:t>
      </w:r>
    </w:p>
    <w:p>
      <w:pPr>
        <w:pStyle w:val="TextBody"/>
        <w:spacing w:before="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corporations, partnerships and other business entities which operate in various industries and geographical regions. </w:t>
      </w:r>
    </w:p>
    <w:p>
      <w:pPr>
        <w:pStyle w:val="TextBody"/>
        <w:spacing w:before="24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 </w:t>
      </w:r>
    </w:p>
    <w:p>
      <w:pPr>
        <w:pStyle w:val="TextBody"/>
        <w:spacing w:before="24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w:t>
      </w:r>
    </w:p>
    <w:p>
      <w:pPr>
        <w:pStyle w:val="TextBody"/>
        <w:spacing w:before="360" w:after="0"/>
        <w:jc w:val="left"/>
        <w:rPr>
          <w:rFonts w:ascii="Times New Roman" w:hAnsi="Times New Roman"/>
          <w:b/>
          <w:sz w:val="20"/>
          <w:highlight w:val="white"/>
          <w:bdr w:val="single" w:sz="8" w:space="1" w:color="000000"/>
        </w:rPr>
      </w:pPr>
      <w:r>
        <w:rPr>
          <w:rFonts w:ascii="Times New Roman" w:hAnsi="Times New Roman"/>
          <w:b/>
          <w:sz w:val="20"/>
          <w:highlight w:val="white"/>
          <w:bdr w:val="single" w:sz="8" w:space="1" w:color="000000"/>
        </w:rPr>
        <w:t xml:space="preserve">Organization and Structure of PennantPark Floating Rate Capital Ltd. </w:t>
      </w:r>
    </w:p>
    <w:p>
      <w:pPr>
        <w:pStyle w:val="TextBody"/>
        <w:spacing w:before="12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PennantPark Floating Rate Capital Ltd., a Maryland corporation organized in October 2010, is a </w:t>
      </w:r>
    </w:p>
    <w:p>
      <w:pPr>
        <w:pStyle w:val="TextBody"/>
        <w:spacing w:before="120" w:after="0"/>
        <w:jc w:val="left"/>
        <w:rPr>
          <w:rFonts w:ascii="Times New Roman" w:hAnsi="Times New Roman"/>
          <w:spacing w:val="0"/>
          <w:sz w:val="20"/>
          <w:highlight w:val="white"/>
          <w:bdr w:val="single" w:sz="8" w:space="1" w:color="000000"/>
        </w:rPr>
      </w:pPr>
      <w:r>
        <w:rPr>
          <w:rFonts w:ascii="Times New Roman" w:hAnsi="Times New Roman"/>
          <w:spacing w:val="0"/>
          <w:sz w:val="20"/>
          <w:highlight w:val="white"/>
          <w:bdr w:val="single" w:sz="8" w:space="1" w:color="000000"/>
        </w:rPr>
        <w:t>closed-end,</w:t>
      </w:r>
    </w:p>
    <w:p>
      <w:pPr>
        <w:pStyle w:val="TextBody"/>
        <w:spacing w:before="12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externally managed, </w:t>
      </w:r>
    </w:p>
    <w:p>
      <w:pPr>
        <w:pStyle w:val="TextBody"/>
        <w:spacing w:before="120" w:after="0"/>
        <w:jc w:val="left"/>
        <w:rPr>
          <w:rFonts w:ascii="Times New Roman" w:hAnsi="Times New Roman"/>
          <w:spacing w:val="0"/>
          <w:sz w:val="20"/>
          <w:highlight w:val="white"/>
          <w:bdr w:val="single" w:sz="8" w:space="1" w:color="000000"/>
        </w:rPr>
      </w:pPr>
      <w:r>
        <w:rPr>
          <w:rFonts w:ascii="Times New Roman" w:hAnsi="Times New Roman"/>
          <w:spacing w:val="0"/>
          <w:sz w:val="20"/>
          <w:highlight w:val="white"/>
          <w:bdr w:val="single" w:sz="8" w:space="1" w:color="000000"/>
        </w:rPr>
        <w:t>non-diversified</w:t>
      </w:r>
    </w:p>
    <w:p>
      <w:pPr>
        <w:pStyle w:val="TextBody"/>
        <w:spacing w:before="12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investment company that has elected to be treated as a BDC under the 1940 Act. In addition, for federal income tax purposes we have elected to be treated, and intend to qualify annually, as a RIC under the Code. </w:t>
      </w:r>
    </w:p>
    <w:p>
      <w:pPr>
        <w:pStyle w:val="TextBody"/>
        <w:spacing w:before="24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We have entered into an investment advisory management agreement, or the Investment Management Agreement, with the Investment Adviser, an external adviser that manages our </w:t>
      </w:r>
    </w:p>
    <w:p>
      <w:pPr>
        <w:pStyle w:val="TextBody"/>
        <w:spacing w:before="240" w:after="0"/>
        <w:jc w:val="left"/>
        <w:rPr>
          <w:rFonts w:ascii="Times New Roman" w:hAnsi="Times New Roman"/>
          <w:spacing w:val="0"/>
          <w:sz w:val="20"/>
          <w:highlight w:val="white"/>
          <w:bdr w:val="single" w:sz="8" w:space="1" w:color="000000"/>
        </w:rPr>
      </w:pPr>
      <w:r>
        <w:rPr>
          <w:rFonts w:ascii="Times New Roman" w:hAnsi="Times New Roman"/>
          <w:spacing w:val="0"/>
          <w:sz w:val="20"/>
          <w:highlight w:val="white"/>
          <w:bdr w:val="single" w:sz="8" w:space="1" w:color="000000"/>
        </w:rPr>
        <w:t>day-to-day</w:t>
      </w:r>
    </w:p>
    <w:p>
      <w:pPr>
        <w:pStyle w:val="TextBody"/>
        <w:spacing w:before="24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operation.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or the Administration Agreement.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w:t>
      </w:r>
    </w:p>
    <w:p>
      <w:pPr>
        <w:pStyle w:val="TextBody"/>
        <w:spacing w:before="240" w:after="0"/>
        <w:jc w:val="left"/>
        <w:rPr>
          <w:rFonts w:ascii="Times New Roman" w:hAnsi="Times New Roman"/>
          <w:spacing w:val="0"/>
          <w:sz w:val="20"/>
          <w:highlight w:val="white"/>
          <w:bdr w:val="single" w:sz="8" w:space="1" w:color="000000"/>
        </w:rPr>
      </w:pPr>
      <w:r>
        <w:rPr>
          <w:rFonts w:ascii="Times New Roman" w:hAnsi="Times New Roman"/>
          <w:spacing w:val="0"/>
          <w:sz w:val="20"/>
          <w:highlight w:val="white"/>
          <w:bdr w:val="single" w:sz="8" w:space="1" w:color="000000"/>
        </w:rPr>
        <w:t>day-to-day</w:t>
      </w:r>
    </w:p>
    <w:p>
      <w:pPr>
        <w:pStyle w:val="TextBody"/>
        <w:spacing w:before="24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activities. </w:t>
      </w:r>
    </w:p>
    <w:p>
      <w:pPr>
        <w:pStyle w:val="TextBody"/>
        <w:spacing w:before="24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Funding I, our wholly owned subsidiary and a special purpose entity, was organized in Delaware as a limited liability company in May 2011. On August 12, 2021, Funding I, as borrower, entered into the Credit Facility, which provides the ability for Funding I to borrow up to $366 million. The Credit Facility is secured by all of the assets of Funding I. </w:t>
      </w:r>
    </w:p>
    <w:p>
      <w:pPr>
        <w:pStyle w:val="TextBody"/>
        <w:spacing w:before="24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In May 2017, we and a subsidiary of Kemper Corporation (NYSE: KMPR), Trinity Universal Insurance Company, formed PSSL, an unconsolidated joint venture. PSSL invests primarily in middle-market and other corporate debt securities consistent with our strategy. PSSL was formed as a Delaware limited liability company.</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S-3 </w:t>
      </w:r>
    </w:p>
    <w:p>
      <w:pPr>
        <w:pStyle w:val="HorizontalLine"/>
        <w:rPr/>
      </w:pPr>
      <w:r>
        <w:rPr/>
      </w:r>
    </w:p>
    <w:p>
      <w:pPr>
        <w:pStyle w:val="TextBody"/>
        <w:spacing w:before="0" w:after="0"/>
        <w:ind w:left="0" w:right="0" w:hanging="0"/>
        <w:jc w:val="left"/>
        <w:rPr>
          <w:rFonts w:ascii="Times New Roman" w:hAnsi="Times New Roman"/>
          <w:b/>
          <w:sz w:val="20"/>
          <w:highlight w:val="white"/>
          <w:bdr w:val="single" w:sz="8" w:space="1" w:color="000000"/>
        </w:rPr>
      </w:pPr>
      <w:r>
        <w:rPr>
          <w:rFonts w:ascii="Times New Roman" w:hAnsi="Times New Roman"/>
          <w:b/>
          <w:sz w:val="20"/>
          <w:highlight w:val="white"/>
          <w:bdr w:val="single" w:sz="8" w:space="1" w:color="000000"/>
        </w:rPr>
        <w:t xml:space="preserve">Our Investment Adviser and Administrator </w:t>
      </w:r>
    </w:p>
    <w:p>
      <w:pPr>
        <w:pStyle w:val="TextBody"/>
        <w:spacing w:before="12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$17.4 billion in 638 companies with more than 200 different financial sponsors, which includes investments by the Company totaling $5.1 billion in 455 companies as of December 31, 2022. </w:t>
      </w:r>
    </w:p>
    <w:p>
      <w:pPr>
        <w:pStyle w:val="TextBody"/>
        <w:spacing w:before="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p>
    <w:p>
      <w:pPr>
        <w:pStyle w:val="TextBody"/>
        <w:spacing w:before="0" w:after="0"/>
        <w:jc w:val="left"/>
        <w:rPr>
          <w:rFonts w:ascii="Times New Roman" w:hAnsi="Times New Roman"/>
          <w:i/>
          <w:caps w:val="false"/>
          <w:smallCaps w:val="false"/>
          <w:spacing w:val="0"/>
          <w:sz w:val="20"/>
          <w:highlight w:val="white"/>
          <w:bdr w:val="single" w:sz="8" w:space="1" w:color="000000"/>
        </w:rPr>
      </w:pPr>
      <w:r>
        <w:rPr>
          <w:rFonts w:ascii="Times New Roman" w:hAnsi="Times New Roman"/>
          <w:i/>
          <w:caps w:val="false"/>
          <w:smallCaps w:val="false"/>
          <w:spacing w:val="0"/>
          <w:sz w:val="20"/>
          <w:highlight w:val="white"/>
          <w:bdr w:val="single" w:sz="8" w:space="1" w:color="000000"/>
        </w:rPr>
        <w:t>Risk Factors—Risks Relating to our Business and Structure—There are significant potential conflicts of interest which could impact our investment returns</w:t>
      </w:r>
    </w:p>
    <w:p>
      <w:pPr>
        <w:pStyle w:val="TextBody"/>
        <w:spacing w:before="0" w:after="0"/>
        <w:jc w:val="left"/>
        <w:rPr>
          <w:highlight w:val="white"/>
          <w:bdr w:val="single" w:sz="8" w:space="1" w:color="000000"/>
        </w:rPr>
      </w:pPr>
      <w:r>
        <w:rPr>
          <w:highlight w:val="white"/>
          <w:bdr w:val="single" w:sz="8" w:space="1" w:color="000000"/>
        </w:rPr>
        <w:t xml:space="preserve">” </w:t>
      </w:r>
      <w:r>
        <w:rPr>
          <w:rFonts w:ascii="Times New Roman" w:hAnsi="Times New Roman"/>
          <w:sz w:val="20"/>
          <w:highlight w:val="white"/>
          <w:bdr w:val="single" w:sz="8" w:space="1" w:color="000000"/>
        </w:rPr>
        <w:t xml:space="preserve">in our most recent Annual Report on Form </w:t>
      </w:r>
    </w:p>
    <w:p>
      <w:pPr>
        <w:pStyle w:val="TextBody"/>
        <w:spacing w:before="0" w:after="0"/>
        <w:jc w:val="left"/>
        <w:rPr>
          <w:rFonts w:ascii="Times New Roman" w:hAnsi="Times New Roman"/>
          <w:spacing w:val="0"/>
          <w:sz w:val="20"/>
          <w:highlight w:val="white"/>
          <w:bdr w:val="single" w:sz="8" w:space="1" w:color="000000"/>
        </w:rPr>
      </w:pPr>
      <w:r>
        <w:rPr>
          <w:rFonts w:ascii="Times New Roman" w:hAnsi="Times New Roman"/>
          <w:spacing w:val="0"/>
          <w:sz w:val="20"/>
          <w:highlight w:val="white"/>
          <w:bdr w:val="single" w:sz="8" w:space="1" w:color="000000"/>
        </w:rPr>
        <w:t>10-K</w:t>
      </w:r>
    </w:p>
    <w:p>
      <w:pPr>
        <w:pStyle w:val="TextBody"/>
        <w:spacing w:before="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for more information. </w:t>
      </w:r>
    </w:p>
    <w:p>
      <w:pPr>
        <w:pStyle w:val="TextBody"/>
        <w:spacing w:before="360" w:after="0"/>
        <w:jc w:val="left"/>
        <w:rPr>
          <w:rFonts w:ascii="Times New Roman" w:hAnsi="Times New Roman"/>
          <w:b/>
          <w:sz w:val="20"/>
          <w:highlight w:val="white"/>
          <w:bdr w:val="single" w:sz="8" w:space="1" w:color="000000"/>
        </w:rPr>
      </w:pPr>
      <w:r>
        <w:rPr>
          <w:rFonts w:ascii="Times New Roman" w:hAnsi="Times New Roman"/>
          <w:b/>
          <w:sz w:val="20"/>
          <w:highlight w:val="white"/>
          <w:bdr w:val="single" w:sz="8" w:space="1" w:color="000000"/>
        </w:rPr>
        <w:t xml:space="preserve">Our Corporate Information </w:t>
      </w:r>
    </w:p>
    <w:p>
      <w:pPr>
        <w:pStyle w:val="TextBody"/>
        <w:spacing w:before="12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Our administrative and principal executive offices are located at 1691 Michigan Avenue, Miami Beach, Florida 33139. Our phone number is (786) </w:t>
      </w:r>
    </w:p>
    <w:p>
      <w:pPr>
        <w:pStyle w:val="TextBody"/>
        <w:spacing w:before="120" w:after="0"/>
        <w:jc w:val="left"/>
        <w:rPr>
          <w:rFonts w:ascii="Times New Roman" w:hAnsi="Times New Roman"/>
          <w:spacing w:val="0"/>
          <w:sz w:val="20"/>
          <w:highlight w:val="white"/>
          <w:bdr w:val="single" w:sz="8" w:space="1" w:color="000000"/>
        </w:rPr>
      </w:pPr>
      <w:r>
        <w:rPr>
          <w:rFonts w:ascii="Times New Roman" w:hAnsi="Times New Roman"/>
          <w:spacing w:val="0"/>
          <w:sz w:val="20"/>
          <w:highlight w:val="white"/>
          <w:bdr w:val="single" w:sz="8" w:space="1" w:color="000000"/>
        </w:rPr>
        <w:t>297-9500,</w:t>
      </w:r>
    </w:p>
    <w:p>
      <w:pPr>
        <w:pStyle w:val="TextBody"/>
        <w:spacing w:before="12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and our internet website address is www.pennantpark.com. Information contained on our website is not incorporated by reference into this prospectus supplement, and you should not consider information contained on our website to be part of this prospectus supplement. We file periodic reports, proxy statements and other information with the SEC and make such reports available on our website free of charge as soon as reasonably practicable. In addition, the SEC maintains an Internet site at </w:t>
      </w:r>
    </w:p>
    <w:p>
      <w:pPr>
        <w:pStyle w:val="TextBody"/>
        <w:spacing w:before="120" w:after="0"/>
        <w:jc w:val="left"/>
        <w:rPr>
          <w:rFonts w:ascii="Times New Roman" w:hAnsi="Times New Roman"/>
          <w:i/>
          <w:caps w:val="false"/>
          <w:smallCaps w:val="false"/>
          <w:spacing w:val="0"/>
          <w:sz w:val="20"/>
          <w:highlight w:val="white"/>
          <w:u w:val="single"/>
          <w:bdr w:val="single" w:sz="8" w:space="1" w:color="000000"/>
        </w:rPr>
      </w:pPr>
      <w:r>
        <w:rPr>
          <w:rFonts w:ascii="Times New Roman" w:hAnsi="Times New Roman"/>
          <w:i/>
          <w:caps w:val="false"/>
          <w:smallCaps w:val="false"/>
          <w:spacing w:val="0"/>
          <w:sz w:val="20"/>
          <w:highlight w:val="white"/>
          <w:u w:val="single"/>
          <w:bdr w:val="single" w:sz="8" w:space="1" w:color="000000"/>
        </w:rPr>
        <w:t>www.sec.gov</w:t>
      </w:r>
    </w:p>
    <w:p>
      <w:pPr>
        <w:pStyle w:val="TextBody"/>
        <w:spacing w:before="120" w:after="0"/>
        <w:jc w:val="left"/>
        <w:rPr>
          <w:rFonts w:ascii="Times New Roman" w:hAnsi="Times New Roman"/>
          <w:sz w:val="20"/>
          <w:highlight w:val="white"/>
          <w:bdr w:val="single" w:sz="8" w:space="1" w:color="000000"/>
        </w:rPr>
      </w:pPr>
      <w:r>
        <w:rPr>
          <w:rFonts w:ascii="Times New Roman" w:hAnsi="Times New Roman"/>
          <w:sz w:val="20"/>
          <w:highlight w:val="white"/>
          <w:bdr w:val="single" w:sz="8" w:space="1" w:color="000000"/>
        </w:rPr>
        <w:t xml:space="preserve">that contains reports, proxy and information statements, and other information regarding issuers that file electronically with the SEC.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S-4 </w:t>
      </w:r>
    </w:p>
    <w:p>
      <w:pPr>
        <w:pStyle w:val="HorizontalLine"/>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THE OFFERING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This section outlines the specific legal and financial terms of this offering. You should read this section together with the more general description of our common stock in the accompanying prospectus under the heading “Description of Our Capital Stock” before investing in our common stock. Capitalized terms used in this prospectus supplement and not otherwise defined shall have the meanings ascribed to them in the accompanying prospectus or in the equity distribution agreements, as applicable. </w:t>
      </w:r>
    </w:p>
    <w:p>
      <w:pPr>
        <w:pStyle w:val="TextBody"/>
        <w:spacing w:before="0" w:after="0"/>
        <w:jc w:val="left"/>
        <w:rPr>
          <w:highlight w:val="white"/>
        </w:rPr>
      </w:pPr>
      <w:r>
        <w:rPr>
          <w:highlight w:val="white"/>
        </w:rPr>
        <w:t> </w:t>
      </w:r>
    </w:p>
    <w:tbl>
      <w:tblPr>
        <w:tblW w:w="7285" w:type="dxa"/>
        <w:jc w:val="left"/>
        <w:tblInd w:w="0" w:type="dxa"/>
        <w:tblCellMar>
          <w:top w:w="0" w:type="dxa"/>
          <w:left w:w="0" w:type="dxa"/>
          <w:bottom w:w="0" w:type="dxa"/>
          <w:right w:w="0" w:type="dxa"/>
        </w:tblCellMar>
      </w:tblPr>
      <w:tblGrid>
        <w:gridCol w:w="3320"/>
        <w:gridCol w:w="3965"/>
      </w:tblGrid>
      <w:tr>
        <w:trPr/>
        <w:tc>
          <w:tcPr>
            <w:tcW w:w="3320" w:type="dxa"/>
            <w:tcBorders/>
            <w:shd w:fill="auto" w:val="clear"/>
            <w:vAlign w:val="center"/>
          </w:tcPr>
          <w:p>
            <w:pPr>
              <w:pStyle w:val="TableContents"/>
              <w:spacing w:before="0" w:after="20"/>
              <w:rPr>
                <w:rFonts w:ascii="Times New Roman" w:hAnsi="Times New Roman"/>
                <w:sz w:val="20"/>
              </w:rPr>
            </w:pPr>
            <w:r>
              <w:rPr>
                <w:rFonts w:ascii="Times New Roman" w:hAnsi="Times New Roman"/>
                <w:sz w:val="20"/>
              </w:rPr>
              <w:t xml:space="preserve">Common stock offered by the Company </w:t>
            </w:r>
          </w:p>
        </w:tc>
        <w:tc>
          <w:tcPr>
            <w:tcW w:w="3965" w:type="dxa"/>
            <w:tcBorders/>
            <w:shd w:fill="auto" w:val="clear"/>
            <w:vAlign w:val="center"/>
          </w:tcPr>
          <w:p>
            <w:pPr>
              <w:pStyle w:val="TableContents"/>
              <w:spacing w:before="0" w:after="283"/>
              <w:rPr/>
            </w:pPr>
            <w:r>
              <w:rPr/>
              <w:t xml:space="preserve">Up to $100 million of our common stock </w:t>
            </w:r>
          </w:p>
        </w:tc>
      </w:tr>
    </w:tbl>
    <w:p>
      <w:pPr>
        <w:pStyle w:val="TextBody"/>
        <w:spacing w:before="0" w:after="0"/>
        <w:jc w:val="left"/>
        <w:rPr>
          <w:highlight w:val="white"/>
        </w:rPr>
      </w:pPr>
      <w:r>
        <w:rPr>
          <w:highlight w:val="white"/>
        </w:rPr>
        <w:t> </w:t>
      </w:r>
    </w:p>
    <w:tbl>
      <w:tblPr>
        <w:tblW w:w="3880" w:type="dxa"/>
        <w:jc w:val="left"/>
        <w:tblInd w:w="0" w:type="dxa"/>
        <w:tblCellMar>
          <w:top w:w="0" w:type="dxa"/>
          <w:left w:w="0" w:type="dxa"/>
          <w:bottom w:w="0" w:type="dxa"/>
          <w:right w:w="0" w:type="dxa"/>
        </w:tblCellMar>
      </w:tblPr>
      <w:tblGrid>
        <w:gridCol w:w="2705"/>
        <w:gridCol w:w="1175"/>
      </w:tblGrid>
      <w:tr>
        <w:trPr/>
        <w:tc>
          <w:tcPr>
            <w:tcW w:w="2705" w:type="dxa"/>
            <w:tcBorders/>
            <w:shd w:fill="auto" w:val="clear"/>
            <w:vAlign w:val="center"/>
          </w:tcPr>
          <w:p>
            <w:pPr>
              <w:pStyle w:val="TableContents"/>
              <w:spacing w:before="0" w:after="20"/>
              <w:rPr>
                <w:rFonts w:ascii="Times New Roman" w:hAnsi="Times New Roman"/>
                <w:sz w:val="20"/>
              </w:rPr>
            </w:pPr>
            <w:r>
              <w:rPr>
                <w:rFonts w:ascii="Times New Roman" w:hAnsi="Times New Roman"/>
                <w:sz w:val="20"/>
              </w:rPr>
              <w:t>Common stock outstanding as of</w:t>
            </w:r>
          </w:p>
          <w:p>
            <w:pPr>
              <w:pStyle w:val="TableContents"/>
              <w:spacing w:before="0" w:after="20"/>
              <w:rPr/>
            </w:pPr>
            <w:r>
              <w:rPr/>
              <w:t> </w:t>
            </w:r>
          </w:p>
          <w:p>
            <w:pPr>
              <w:pStyle w:val="TableContents"/>
              <w:widowControl/>
              <w:spacing w:before="0" w:after="2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March 30, 2023</w:t>
            </w:r>
          </w:p>
        </w:tc>
        <w:tc>
          <w:tcPr>
            <w:tcW w:w="1175" w:type="dxa"/>
            <w:tcBorders/>
            <w:shd w:fill="auto" w:val="clear"/>
            <w:vAlign w:val="center"/>
          </w:tcPr>
          <w:p>
            <w:pPr>
              <w:pStyle w:val="TableContents"/>
              <w:spacing w:before="0" w:after="283"/>
              <w:rPr/>
            </w:pPr>
            <w:r>
              <w:rPr/>
              <w:t xml:space="preserve">49,731,815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1008"/>
        <w:gridCol w:w="9197"/>
      </w:tblGrid>
      <w:tr>
        <w:trPr/>
        <w:tc>
          <w:tcPr>
            <w:tcW w:w="1008" w:type="dxa"/>
            <w:tcBorders/>
            <w:shd w:fill="auto" w:val="clear"/>
            <w:vAlign w:val="center"/>
          </w:tcPr>
          <w:p>
            <w:pPr>
              <w:pStyle w:val="TableContents"/>
              <w:spacing w:before="0" w:after="20"/>
              <w:rPr>
                <w:rFonts w:ascii="Times New Roman" w:hAnsi="Times New Roman"/>
                <w:sz w:val="20"/>
              </w:rPr>
            </w:pPr>
            <w:r>
              <w:rPr>
                <w:rFonts w:ascii="Times New Roman" w:hAnsi="Times New Roman"/>
                <w:sz w:val="20"/>
              </w:rPr>
              <w:t xml:space="preserve">Manner of offering </w:t>
            </w:r>
          </w:p>
        </w:tc>
        <w:tc>
          <w:tcPr>
            <w:tcW w:w="9197" w:type="dxa"/>
            <w:tcBorders/>
            <w:shd w:fill="auto" w:val="clear"/>
            <w:vAlign w:val="center"/>
          </w:tcPr>
          <w:p>
            <w:pPr>
              <w:pStyle w:val="TableContents"/>
              <w:spacing w:before="0" w:after="283"/>
              <w:rPr/>
            </w:pPr>
            <w:r>
              <w:rPr/>
              <w:t>“</w:t>
            </w:r>
            <w:r>
              <w:rPr/>
              <w:t xml:space="preserve">At the market offering” that may be made from time to time through JMP Securities LLC, Raymond James &amp; Associates, Inc. and Truist Securities, Inc., the sales agents, using commercially reasonable efforts. See “Plan of Distribution.” </w:t>
            </w:r>
          </w:p>
        </w:tc>
      </w:tr>
    </w:tbl>
    <w:p>
      <w:pPr>
        <w:pStyle w:val="TextBody"/>
        <w:spacing w:before="0" w:after="0"/>
        <w:jc w:val="left"/>
        <w:rPr>
          <w:highlight w:val="white"/>
        </w:rPr>
      </w:pPr>
      <w:r>
        <w:rPr>
          <w:highlight w:val="white"/>
        </w:rPr>
        <w:t> </w:t>
      </w:r>
    </w:p>
    <w:tbl>
      <w:tblPr>
        <w:tblW w:w="2095" w:type="dxa"/>
        <w:jc w:val="left"/>
        <w:tblInd w:w="0" w:type="dxa"/>
        <w:tblCellMar>
          <w:top w:w="0" w:type="dxa"/>
          <w:left w:w="0" w:type="dxa"/>
          <w:bottom w:w="0" w:type="dxa"/>
          <w:right w:w="0" w:type="dxa"/>
        </w:tblCellMar>
      </w:tblPr>
      <w:tblGrid>
        <w:gridCol w:w="1220"/>
        <w:gridCol w:w="875"/>
      </w:tblGrid>
      <w:tr>
        <w:trPr/>
        <w:tc>
          <w:tcPr>
            <w:tcW w:w="1220" w:type="dxa"/>
            <w:tcBorders/>
            <w:shd w:fill="auto" w:val="clear"/>
            <w:vAlign w:val="center"/>
          </w:tcPr>
          <w:p>
            <w:pPr>
              <w:pStyle w:val="TableContents"/>
              <w:spacing w:before="0" w:after="20"/>
              <w:rPr>
                <w:rFonts w:ascii="Times New Roman" w:hAnsi="Times New Roman"/>
                <w:sz w:val="20"/>
              </w:rPr>
            </w:pPr>
            <w:r>
              <w:rPr>
                <w:rFonts w:ascii="Times New Roman" w:hAnsi="Times New Roman"/>
                <w:sz w:val="20"/>
              </w:rPr>
              <w:t xml:space="preserve">NYSE symbol </w:t>
            </w:r>
          </w:p>
        </w:tc>
        <w:tc>
          <w:tcPr>
            <w:tcW w:w="875" w:type="dxa"/>
            <w:tcBorders/>
            <w:shd w:fill="auto" w:val="clear"/>
            <w:vAlign w:val="center"/>
          </w:tcPr>
          <w:p>
            <w:pPr>
              <w:pStyle w:val="TableContents"/>
              <w:spacing w:before="0" w:after="283"/>
              <w:rPr/>
            </w:pPr>
            <w:r>
              <w:rPr/>
              <w:t>“</w:t>
            </w:r>
            <w:r>
              <w:rPr/>
              <w:t xml:space="preserve">PFLT”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Common stock issued in this offering will be dual listed on the NYSE and the TASE under the symbol “PFLT.”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954"/>
        <w:gridCol w:w="9251"/>
      </w:tblGrid>
      <w:tr>
        <w:trPr/>
        <w:tc>
          <w:tcPr>
            <w:tcW w:w="954" w:type="dxa"/>
            <w:tcBorders/>
            <w:shd w:fill="auto" w:val="clear"/>
            <w:vAlign w:val="center"/>
          </w:tcPr>
          <w:p>
            <w:pPr>
              <w:pStyle w:val="TableContents"/>
              <w:spacing w:before="0" w:after="20"/>
              <w:rPr>
                <w:rFonts w:ascii="Times New Roman" w:hAnsi="Times New Roman"/>
                <w:sz w:val="20"/>
              </w:rPr>
            </w:pPr>
            <w:r>
              <w:rPr>
                <w:rFonts w:ascii="Times New Roman" w:hAnsi="Times New Roman"/>
                <w:sz w:val="20"/>
              </w:rPr>
              <w:t xml:space="preserve">Use of Proceeds </w:t>
            </w:r>
          </w:p>
        </w:tc>
        <w:tc>
          <w:tcPr>
            <w:tcW w:w="9251" w:type="dxa"/>
            <w:tcBorders/>
            <w:shd w:fill="auto" w:val="clear"/>
            <w:vAlign w:val="center"/>
          </w:tcPr>
          <w:p>
            <w:pPr>
              <w:pStyle w:val="TableContents"/>
              <w:spacing w:before="0" w:after="283"/>
              <w:rPr/>
            </w:pPr>
            <w:r>
              <w:rPr/>
              <w:t xml:space="preserve">If we sell shares of our common stock with an aggregate offering price of $100 million, we anticipate that our net proceeds, after deducting an assumed maximum sales agents’ commissions and estimated expenses payable by us, will be approximately $97,550,000.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We expect to use the net proceeds from this offering to invest in new or existing portfolio companies or for other general corporate or strategic purposes, including repaying amounts outstanding under our existing indebtedness. </w:t>
            </w:r>
          </w:p>
        </w:tc>
      </w:tr>
    </w:tbl>
    <w:p>
      <w:pPr>
        <w:pStyle w:val="TextBody"/>
        <w:spacing w:before="0" w:after="0"/>
        <w:jc w:val="left"/>
        <w:rPr>
          <w:highlight w:val="white"/>
        </w:rPr>
      </w:pPr>
      <w:r>
        <w:rPr>
          <w:highlight w:val="white"/>
        </w:rPr>
        <w:t> </w:t>
      </w:r>
    </w:p>
    <w:tbl>
      <w:tblPr>
        <w:tblW w:w="4415" w:type="dxa"/>
        <w:jc w:val="left"/>
        <w:tblInd w:w="0" w:type="dxa"/>
        <w:tblCellMar>
          <w:top w:w="0" w:type="dxa"/>
          <w:left w:w="0" w:type="dxa"/>
          <w:bottom w:w="0" w:type="dxa"/>
          <w:right w:w="0" w:type="dxa"/>
        </w:tblCellMar>
      </w:tblPr>
      <w:tblGrid>
        <w:gridCol w:w="75"/>
        <w:gridCol w:w="4340"/>
      </w:tblGrid>
      <w:tr>
        <w:trPr/>
        <w:tc>
          <w:tcPr>
            <w:tcW w:w="75"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283"/>
              <w:jc w:val="left"/>
              <w:rPr/>
            </w:pPr>
            <w:r>
              <w:rPr/>
              <w:t xml:space="preserve">See “Use of Proceeds” for more information.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890"/>
        <w:gridCol w:w="9315"/>
      </w:tblGrid>
      <w:tr>
        <w:trPr/>
        <w:tc>
          <w:tcPr>
            <w:tcW w:w="890" w:type="dxa"/>
            <w:tcBorders/>
            <w:shd w:fill="auto" w:val="clear"/>
            <w:vAlign w:val="center"/>
          </w:tcPr>
          <w:p>
            <w:pPr>
              <w:pStyle w:val="TableContents"/>
              <w:spacing w:before="0" w:after="20"/>
              <w:rPr>
                <w:rFonts w:ascii="Times New Roman" w:hAnsi="Times New Roman"/>
                <w:sz w:val="20"/>
              </w:rPr>
            </w:pPr>
            <w:r>
              <w:rPr>
                <w:rFonts w:ascii="Times New Roman" w:hAnsi="Times New Roman"/>
                <w:sz w:val="20"/>
              </w:rPr>
              <w:t xml:space="preserve">Trading at a Discount </w:t>
            </w:r>
          </w:p>
        </w:tc>
        <w:tc>
          <w:tcPr>
            <w:tcW w:w="9315" w:type="dxa"/>
            <w:tcBorders/>
            <w:shd w:fill="auto" w:val="clear"/>
            <w:vAlign w:val="center"/>
          </w:tcPr>
          <w:p>
            <w:pPr>
              <w:pStyle w:val="TableContents"/>
              <w:spacing w:before="0" w:after="0"/>
              <w:rPr/>
            </w:pPr>
            <w:r>
              <w:rPr/>
              <w:t xml:space="preserve">Shares of </w:t>
            </w:r>
          </w:p>
          <w:p>
            <w:pPr>
              <w:pStyle w:val="TableContents"/>
              <w:spacing w:before="0" w:after="0"/>
              <w:rPr>
                <w:spacing w:val="0"/>
              </w:rPr>
            </w:pPr>
            <w:r>
              <w:rPr>
                <w:spacing w:val="0"/>
              </w:rPr>
              <w:t>closed-end</w:t>
            </w:r>
          </w:p>
          <w:p>
            <w:pPr>
              <w:pStyle w:val="TableContents"/>
              <w:spacing w:before="0" w:after="0"/>
              <w:rPr/>
            </w:pPr>
            <w:r>
              <w:rPr/>
              <w:t xml:space="preserve">investment companies, including BDCs, frequently trade at a discount to their NAV. The risk that our shares may trade at a discount to our NAV is separate and distinct from the risk that our NAV per share may decline. We cannot predict whether our shares will trade above, at or below NAV.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1478"/>
        <w:gridCol w:w="8727"/>
      </w:tblGrid>
      <w:tr>
        <w:trPr/>
        <w:tc>
          <w:tcPr>
            <w:tcW w:w="1478" w:type="dxa"/>
            <w:tcBorders/>
            <w:shd w:fill="auto" w:val="clear"/>
            <w:vAlign w:val="center"/>
          </w:tcPr>
          <w:p>
            <w:pPr>
              <w:pStyle w:val="TableContents"/>
              <w:spacing w:before="0" w:after="20"/>
              <w:rPr>
                <w:rFonts w:ascii="Times New Roman" w:hAnsi="Times New Roman"/>
                <w:sz w:val="20"/>
              </w:rPr>
            </w:pPr>
            <w:r>
              <w:rPr>
                <w:rFonts w:ascii="Times New Roman" w:hAnsi="Times New Roman"/>
                <w:sz w:val="20"/>
              </w:rPr>
              <w:t xml:space="preserve">Distributions on Common Stock </w:t>
            </w:r>
          </w:p>
        </w:tc>
        <w:tc>
          <w:tcPr>
            <w:tcW w:w="872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The timing and amount of our monthly distributions to stockholders, if any, are determined by our board of directors. While we intend to make distributions on a monthly basis to our stockholders out of assets legally available for distribution, we may not be able to achieve operating results that will allow us to make distributions at a specific level or to increase the amount of our distributions from time to time.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S-5 </w:t>
      </w:r>
    </w:p>
    <w:p>
      <w:pPr>
        <w:pStyle w:val="HorizontalLine"/>
        <w:rPr/>
      </w:pPr>
      <w:r>
        <w:rPr/>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0"/>
              <w:jc w:val="left"/>
              <w:rPr>
                <w:rFonts w:ascii="Times New Roman" w:hAnsi="Times New Roman"/>
                <w:sz w:val="20"/>
              </w:rPr>
            </w:pPr>
            <w:r>
              <w:rPr>
                <w:rFonts w:ascii="Times New Roman" w:hAnsi="Times New Roman"/>
                <w:sz w:val="20"/>
              </w:rPr>
              <w:t xml:space="preserve">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ability to be subject to tax as a RIC. We cannot assure stockholders that they will receive any distributions.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78"/>
        <w:gridCol w:w="9427"/>
      </w:tblGrid>
      <w:tr>
        <w:trPr/>
        <w:tc>
          <w:tcPr>
            <w:tcW w:w="778" w:type="dxa"/>
            <w:tcBorders/>
            <w:shd w:fill="auto" w:val="clear"/>
            <w:vAlign w:val="center"/>
          </w:tcPr>
          <w:p>
            <w:pPr>
              <w:pStyle w:val="TableContents"/>
              <w:spacing w:before="0" w:after="20"/>
              <w:rPr>
                <w:rFonts w:ascii="Times New Roman" w:hAnsi="Times New Roman"/>
                <w:sz w:val="20"/>
              </w:rPr>
            </w:pPr>
            <w:r>
              <w:rPr>
                <w:rFonts w:ascii="Times New Roman" w:hAnsi="Times New Roman"/>
                <w:sz w:val="20"/>
              </w:rPr>
              <w:t xml:space="preserve">Taxation </w:t>
            </w:r>
          </w:p>
        </w:tc>
        <w:tc>
          <w:tcPr>
            <w:tcW w:w="9427" w:type="dxa"/>
            <w:tcBorders/>
            <w:shd w:fill="auto" w:val="clear"/>
            <w:vAlign w:val="center"/>
          </w:tcPr>
          <w:p>
            <w:pPr>
              <w:pStyle w:val="TableContents"/>
              <w:spacing w:before="0" w:after="0"/>
              <w:rPr/>
            </w:pPr>
            <w:r>
              <w:rPr/>
              <w:t xml:space="preserve">We have elected to be treated, and intend to qualify annually to maintain our election to be treated, as a RIC under Subchapter M of the Code. To maintain our RIC tax election, we must, among other requirements, meet certain annual </w:t>
            </w:r>
          </w:p>
          <w:p>
            <w:pPr>
              <w:pStyle w:val="TableContents"/>
              <w:spacing w:before="0" w:after="0"/>
              <w:rPr>
                <w:spacing w:val="0"/>
              </w:rPr>
            </w:pPr>
            <w:r>
              <w:rPr>
                <w:spacing w:val="0"/>
              </w:rPr>
              <w:t>source-of-income</w:t>
            </w:r>
          </w:p>
          <w:p>
            <w:pPr>
              <w:pStyle w:val="TableContents"/>
              <w:spacing w:before="0" w:after="0"/>
              <w:rPr/>
            </w:pPr>
            <w:r>
              <w:rPr/>
              <w:t xml:space="preserve">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31"/>
        <w:gridCol w:w="9474"/>
      </w:tblGrid>
      <w:tr>
        <w:trPr/>
        <w:tc>
          <w:tcPr>
            <w:tcW w:w="731" w:type="dxa"/>
            <w:tcBorders/>
            <w:shd w:fill="auto" w:val="clear"/>
            <w:vAlign w:val="center"/>
          </w:tcPr>
          <w:p>
            <w:pPr>
              <w:pStyle w:val="TableContents"/>
              <w:spacing w:before="0" w:after="20"/>
              <w:rPr>
                <w:rFonts w:ascii="Times New Roman" w:hAnsi="Times New Roman"/>
                <w:sz w:val="20"/>
              </w:rPr>
            </w:pPr>
            <w:r>
              <w:rPr>
                <w:rFonts w:ascii="Times New Roman" w:hAnsi="Times New Roman"/>
                <w:sz w:val="20"/>
              </w:rPr>
              <w:t xml:space="preserve">Risk Factors </w:t>
            </w:r>
          </w:p>
        </w:tc>
        <w:tc>
          <w:tcPr>
            <w:tcW w:w="9474" w:type="dxa"/>
            <w:tcBorders/>
            <w:shd w:fill="auto" w:val="clear"/>
            <w:vAlign w:val="center"/>
          </w:tcPr>
          <w:p>
            <w:pPr>
              <w:pStyle w:val="TableContents"/>
              <w:spacing w:before="0" w:after="0"/>
              <w:rPr/>
            </w:pPr>
            <w:r>
              <w:rPr/>
              <w:t xml:space="preserve">Investing in our common stock involves risks. See “Risk Factors” in this prospectus supplement and in our most recent Annual Report on Form </w:t>
            </w:r>
          </w:p>
          <w:p>
            <w:pPr>
              <w:pStyle w:val="TableContents"/>
              <w:spacing w:before="0" w:after="0"/>
              <w:rPr>
                <w:spacing w:val="0"/>
              </w:rPr>
            </w:pPr>
            <w:r>
              <w:rPr>
                <w:spacing w:val="0"/>
              </w:rPr>
              <w:t>10-K</w:t>
            </w:r>
          </w:p>
          <w:p>
            <w:pPr>
              <w:pStyle w:val="TableContents"/>
              <w:spacing w:before="0" w:after="0"/>
              <w:rPr/>
            </w:pPr>
            <w:r>
              <w:rPr/>
              <w:t xml:space="preserve">and our most recent Quarterly Report on Form </w:t>
            </w:r>
          </w:p>
          <w:p>
            <w:pPr>
              <w:pStyle w:val="TableContents"/>
              <w:spacing w:before="0" w:after="0"/>
              <w:rPr>
                <w:spacing w:val="0"/>
              </w:rPr>
            </w:pPr>
            <w:r>
              <w:rPr>
                <w:spacing w:val="0"/>
              </w:rPr>
              <w:t>10-Q,</w:t>
            </w:r>
          </w:p>
          <w:p>
            <w:pPr>
              <w:pStyle w:val="TableContents"/>
              <w:spacing w:before="0" w:after="0"/>
              <w:rPr/>
            </w:pPr>
            <w:r>
              <w:rPr/>
              <w:t xml:space="preserve">each of which is incorporated by reference to this prospectus supplement, and in any free writing prospectuses we have authorized for use in connection with this offering, and under similar headings in the documents that are filed with the SEC on or after the date hereof and are incorporated by reference into this prospectus supplement and the accompanying prospectus.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S-6 </w:t>
      </w:r>
    </w:p>
    <w:p>
      <w:pPr>
        <w:pStyle w:val="HorizontalLine"/>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FEES AND EXPENSES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The following table will a</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ssist</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supplement contains a reference to fees or expenses paid by “you” or “us” or that “we” will pay, stockholders will indirectly bear such fees or expenses as investors in us. </w:t>
      </w:r>
    </w:p>
    <w:p>
      <w:pPr>
        <w:pStyle w:val="TextBody"/>
        <w:spacing w:before="0" w:after="0"/>
        <w:jc w:val="left"/>
        <w:rPr>
          <w:highlight w:val="white"/>
        </w:rPr>
      </w:pPr>
      <w:r>
        <w:rPr>
          <w:highlight w:val="white"/>
        </w:rPr>
        <w:t> </w:t>
      </w:r>
    </w:p>
    <w:tbl>
      <w:tblPr>
        <w:tblW w:w="6180" w:type="dxa"/>
        <w:jc w:val="left"/>
        <w:tblInd w:w="0" w:type="dxa"/>
        <w:tblCellMar>
          <w:top w:w="0" w:type="dxa"/>
          <w:left w:w="0" w:type="dxa"/>
          <w:bottom w:w="0" w:type="dxa"/>
          <w:right w:w="0" w:type="dxa"/>
        </w:tblCellMar>
      </w:tblPr>
      <w:tblGrid>
        <w:gridCol w:w="5000"/>
        <w:gridCol w:w="120"/>
        <w:gridCol w:w="60"/>
        <w:gridCol w:w="440"/>
        <w:gridCol w:w="560"/>
      </w:tblGrid>
      <w:tr>
        <w:trPr/>
        <w:tc>
          <w:tcPr>
            <w:tcW w:w="50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Stockholder transaction expenses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rPr/>
            </w:pPr>
            <w:r>
              <w:rPr/>
              <w:t>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Sales load (as a percentage of offering price)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2.00</w:t>
            </w:r>
          </w:p>
        </w:tc>
        <w:tc>
          <w:tcPr>
            <w:tcW w:w="560" w:type="dxa"/>
            <w:tcBorders/>
            <w:shd w:fill="auto" w:val="clear"/>
            <w:vAlign w:val="center"/>
          </w:tcPr>
          <w:p>
            <w:pPr>
              <w:pStyle w:val="TableContents"/>
              <w:spacing w:before="0" w:after="283"/>
              <w:rPr/>
            </w:pPr>
            <w:r>
              <w:rPr/>
              <w:t>%(1) </w:t>
            </w:r>
          </w:p>
        </w:tc>
      </w:tr>
      <w:tr>
        <w:trPr/>
        <w:tc>
          <w:tcPr>
            <w:tcW w:w="50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Offering expenses (as a percentage of offering price)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right"/>
              <w:rPr/>
            </w:pPr>
            <w:r>
              <w:rPr/>
              <w:t>0.45</w:t>
            </w:r>
          </w:p>
        </w:tc>
        <w:tc>
          <w:tcPr>
            <w:tcW w:w="560" w:type="dxa"/>
            <w:tcBorders/>
            <w:shd w:fill="CCEEFF" w:val="clear"/>
            <w:vAlign w:val="center"/>
          </w:tcPr>
          <w:p>
            <w:pPr>
              <w:pStyle w:val="TableContents"/>
              <w:spacing w:before="0" w:after="283"/>
              <w:rPr/>
            </w:pPr>
            <w:r>
              <w:rPr/>
              <w:t>%(2) </w:t>
            </w:r>
          </w:p>
        </w:tc>
      </w:tr>
      <w:tr>
        <w:trPr/>
        <w:tc>
          <w:tcPr>
            <w:tcW w:w="50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stockholder expenses (as a percentage of offering price)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2.45</w:t>
            </w:r>
          </w:p>
        </w:tc>
        <w:tc>
          <w:tcPr>
            <w:tcW w:w="560" w:type="dxa"/>
            <w:tcBorders/>
            <w:shd w:fill="auto" w:val="clear"/>
            <w:vAlign w:val="center"/>
          </w:tcPr>
          <w:p>
            <w:pPr>
              <w:pStyle w:val="TableContents"/>
              <w:spacing w:before="0" w:after="283"/>
              <w:rPr/>
            </w:pPr>
            <w:r>
              <w:rPr/>
              <w:t>% </w:t>
            </w:r>
          </w:p>
        </w:tc>
      </w:tr>
    </w:tbl>
    <w:tbl>
      <w:tblPr>
        <w:tblW w:w="10150" w:type="dxa"/>
        <w:jc w:val="left"/>
        <w:tblInd w:w="0" w:type="dxa"/>
        <w:tblCellMar>
          <w:top w:w="28" w:type="dxa"/>
          <w:left w:w="28" w:type="dxa"/>
          <w:bottom w:w="28" w:type="dxa"/>
          <w:right w:w="28" w:type="dxa"/>
        </w:tblCellMar>
      </w:tblPr>
      <w:tblGrid>
        <w:gridCol w:w="8476"/>
        <w:gridCol w:w="206"/>
        <w:gridCol w:w="146"/>
        <w:gridCol w:w="646"/>
        <w:gridCol w:w="676"/>
      </w:tblGrid>
      <w:tr>
        <w:trPr/>
        <w:tc>
          <w:tcPr>
            <w:tcW w:w="8476"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Estimated annual expenses (as a percentage of average net assets attributable to common shares)(3)</w:t>
            </w:r>
          </w:p>
        </w:tc>
        <w:tc>
          <w:tcPr>
            <w:tcW w:w="20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46" w:type="dxa"/>
            <w:tcBorders/>
            <w:shd w:fill="CCEEFF" w:val="clear"/>
            <w:vAlign w:val="center"/>
          </w:tcPr>
          <w:p>
            <w:pPr>
              <w:pStyle w:val="TableContents"/>
              <w:spacing w:before="0" w:after="283"/>
              <w:rPr/>
            </w:pPr>
            <w:r>
              <w:rPr/>
              <w:t> </w:t>
            </w:r>
          </w:p>
        </w:tc>
        <w:tc>
          <w:tcPr>
            <w:tcW w:w="676" w:type="dxa"/>
            <w:tcBorders/>
            <w:shd w:fill="CCEEFF" w:val="clear"/>
            <w:vAlign w:val="center"/>
          </w:tcPr>
          <w:p>
            <w:pPr>
              <w:pStyle w:val="TableContents"/>
              <w:spacing w:before="0" w:after="283"/>
              <w:rPr/>
            </w:pPr>
            <w:r>
              <w:rPr/>
              <w:t> </w:t>
            </w:r>
          </w:p>
        </w:tc>
      </w:tr>
      <w:tr>
        <w:trPr/>
        <w:tc>
          <w:tcPr>
            <w:tcW w:w="847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Management fees</w:t>
            </w:r>
          </w:p>
        </w:tc>
        <w:tc>
          <w:tcPr>
            <w:tcW w:w="20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46" w:type="dxa"/>
            <w:tcBorders/>
            <w:shd w:fill="auto" w:val="clear"/>
            <w:vAlign w:val="center"/>
          </w:tcPr>
          <w:p>
            <w:pPr>
              <w:pStyle w:val="TableContents"/>
              <w:spacing w:before="0" w:after="283"/>
              <w:jc w:val="right"/>
              <w:rPr/>
            </w:pPr>
            <w:r>
              <w:rPr/>
              <w:t>2.24</w:t>
            </w:r>
          </w:p>
        </w:tc>
        <w:tc>
          <w:tcPr>
            <w:tcW w:w="676" w:type="dxa"/>
            <w:tcBorders/>
            <w:shd w:fill="auto" w:val="clear"/>
            <w:vAlign w:val="center"/>
          </w:tcPr>
          <w:p>
            <w:pPr>
              <w:pStyle w:val="TableContents"/>
              <w:spacing w:before="0" w:after="283"/>
              <w:rPr/>
            </w:pPr>
            <w:r>
              <w:rPr/>
              <w:t>%(4) </w:t>
            </w:r>
          </w:p>
        </w:tc>
      </w:tr>
      <w:tr>
        <w:trPr/>
        <w:tc>
          <w:tcPr>
            <w:tcW w:w="847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Incentive fees</w:t>
            </w:r>
          </w:p>
        </w:tc>
        <w:tc>
          <w:tcPr>
            <w:tcW w:w="20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46" w:type="dxa"/>
            <w:tcBorders/>
            <w:shd w:fill="CCEEFF" w:val="clear"/>
            <w:vAlign w:val="center"/>
          </w:tcPr>
          <w:p>
            <w:pPr>
              <w:pStyle w:val="TableContents"/>
              <w:spacing w:before="0" w:after="283"/>
              <w:jc w:val="right"/>
              <w:rPr/>
            </w:pPr>
            <w:r>
              <w:rPr/>
              <w:t>2.62</w:t>
            </w:r>
          </w:p>
        </w:tc>
        <w:tc>
          <w:tcPr>
            <w:tcW w:w="676" w:type="dxa"/>
            <w:tcBorders/>
            <w:shd w:fill="CCEEFF" w:val="clear"/>
            <w:vAlign w:val="center"/>
          </w:tcPr>
          <w:p>
            <w:pPr>
              <w:pStyle w:val="TableContents"/>
              <w:spacing w:before="0" w:after="283"/>
              <w:rPr/>
            </w:pPr>
            <w:r>
              <w:rPr/>
              <w:t>%(5) </w:t>
            </w:r>
          </w:p>
        </w:tc>
      </w:tr>
      <w:tr>
        <w:trPr/>
        <w:tc>
          <w:tcPr>
            <w:tcW w:w="847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on borrowed funds</w:t>
            </w:r>
          </w:p>
        </w:tc>
        <w:tc>
          <w:tcPr>
            <w:tcW w:w="20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46" w:type="dxa"/>
            <w:tcBorders/>
            <w:shd w:fill="auto" w:val="clear"/>
            <w:vAlign w:val="center"/>
          </w:tcPr>
          <w:p>
            <w:pPr>
              <w:pStyle w:val="TableContents"/>
              <w:spacing w:before="0" w:after="283"/>
              <w:jc w:val="right"/>
              <w:rPr/>
            </w:pPr>
            <w:r>
              <w:rPr/>
              <w:t>7.53</w:t>
            </w:r>
          </w:p>
        </w:tc>
        <w:tc>
          <w:tcPr>
            <w:tcW w:w="676" w:type="dxa"/>
            <w:tcBorders/>
            <w:shd w:fill="auto" w:val="clear"/>
            <w:vAlign w:val="center"/>
          </w:tcPr>
          <w:p>
            <w:pPr>
              <w:pStyle w:val="TableContents"/>
              <w:spacing w:before="0" w:after="283"/>
              <w:rPr/>
            </w:pPr>
            <w:r>
              <w:rPr/>
              <w:t>%(6) </w:t>
            </w:r>
          </w:p>
        </w:tc>
      </w:tr>
      <w:tr>
        <w:trPr/>
        <w:tc>
          <w:tcPr>
            <w:tcW w:w="847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Acquired fund fees and expenses</w:t>
            </w:r>
          </w:p>
        </w:tc>
        <w:tc>
          <w:tcPr>
            <w:tcW w:w="20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46" w:type="dxa"/>
            <w:tcBorders/>
            <w:shd w:fill="CCEEFF" w:val="clear"/>
            <w:vAlign w:val="center"/>
          </w:tcPr>
          <w:p>
            <w:pPr>
              <w:pStyle w:val="TableContents"/>
              <w:spacing w:before="0" w:after="283"/>
              <w:jc w:val="right"/>
              <w:rPr/>
            </w:pPr>
            <w:r>
              <w:rPr/>
              <w:t>11.73</w:t>
            </w:r>
          </w:p>
        </w:tc>
        <w:tc>
          <w:tcPr>
            <w:tcW w:w="676" w:type="dxa"/>
            <w:tcBorders/>
            <w:shd w:fill="CCEEFF" w:val="clear"/>
            <w:vAlign w:val="center"/>
          </w:tcPr>
          <w:p>
            <w:pPr>
              <w:pStyle w:val="TableContents"/>
              <w:spacing w:before="0" w:after="283"/>
              <w:rPr/>
            </w:pPr>
            <w:r>
              <w:rPr/>
              <w:t>%(7) </w:t>
            </w:r>
          </w:p>
        </w:tc>
      </w:tr>
      <w:tr>
        <w:trPr/>
        <w:tc>
          <w:tcPr>
            <w:tcW w:w="847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expenses</w:t>
            </w:r>
          </w:p>
        </w:tc>
        <w:tc>
          <w:tcPr>
            <w:tcW w:w="20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46" w:type="dxa"/>
            <w:tcBorders/>
            <w:shd w:fill="auto" w:val="clear"/>
            <w:vAlign w:val="center"/>
          </w:tcPr>
          <w:p>
            <w:pPr>
              <w:pStyle w:val="TableContents"/>
              <w:spacing w:before="0" w:after="283"/>
              <w:jc w:val="right"/>
              <w:rPr/>
            </w:pPr>
            <w:r>
              <w:rPr/>
              <w:t>1.06</w:t>
            </w:r>
          </w:p>
        </w:tc>
        <w:tc>
          <w:tcPr>
            <w:tcW w:w="676" w:type="dxa"/>
            <w:tcBorders/>
            <w:shd w:fill="auto" w:val="clear"/>
            <w:vAlign w:val="center"/>
          </w:tcPr>
          <w:p>
            <w:pPr>
              <w:pStyle w:val="TableContents"/>
              <w:spacing w:before="0" w:after="283"/>
              <w:rPr/>
            </w:pPr>
            <w:r>
              <w:rPr/>
              <w:t>%(8) </w:t>
            </w:r>
          </w:p>
        </w:tc>
      </w:tr>
      <w:tr>
        <w:trPr/>
        <w:tc>
          <w:tcPr>
            <w:tcW w:w="8476"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estimated annual expenses</w:t>
            </w:r>
          </w:p>
        </w:tc>
        <w:tc>
          <w:tcPr>
            <w:tcW w:w="20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46" w:type="dxa"/>
            <w:tcBorders/>
            <w:shd w:fill="CCEEFF" w:val="clear"/>
            <w:vAlign w:val="center"/>
          </w:tcPr>
          <w:p>
            <w:pPr>
              <w:pStyle w:val="TableContents"/>
              <w:spacing w:before="0" w:after="283"/>
              <w:jc w:val="right"/>
              <w:rPr/>
            </w:pPr>
            <w:r>
              <w:rPr/>
              <w:t>25.18</w:t>
            </w:r>
          </w:p>
        </w:tc>
        <w:tc>
          <w:tcPr>
            <w:tcW w:w="676" w:type="dxa"/>
            <w:tcBorders/>
            <w:shd w:fill="CCEEFF" w:val="clear"/>
            <w:vAlign w:val="center"/>
          </w:tcPr>
          <w:p>
            <w:pPr>
              <w:pStyle w:val="TableContents"/>
              <w:spacing w:before="0" w:after="283"/>
              <w:rPr/>
            </w:pPr>
            <w:r>
              <w:rPr/>
              <w:t>%(9)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(1)</w:t>
            </w:r>
          </w:p>
        </w:tc>
        <w:tc>
          <w:tcPr>
            <w:tcW w:w="994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the maximum sales agents’ commission with respect to the shares of our common stock sold by us in this offering. There is no guarantee that there will be any sales of our common stock pursuant to this prospectus supplement and the accompanying prospectus. </w:t>
            </w:r>
          </w:p>
        </w:tc>
      </w:tr>
    </w:tbl>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jc w:val="left"/>
              <w:rPr/>
            </w:pPr>
            <w:r>
              <w:rPr/>
              <w:t>(2)</w:t>
            </w:r>
          </w:p>
        </w:tc>
        <w:tc>
          <w:tcPr>
            <w:tcW w:w="99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percentage reflects estimated offering expenses payable by us of approximately $450,000 for the estimated duration of this offering. </w:t>
            </w:r>
          </w:p>
        </w:tc>
      </w:tr>
    </w:tbl>
    <w:tbl>
      <w:tblPr>
        <w:tblW w:w="7810" w:type="dxa"/>
        <w:jc w:val="left"/>
        <w:tblInd w:w="0" w:type="dxa"/>
        <w:tblCellMar>
          <w:top w:w="0" w:type="dxa"/>
          <w:left w:w="0" w:type="dxa"/>
          <w:bottom w:w="0" w:type="dxa"/>
          <w:right w:w="0" w:type="dxa"/>
        </w:tblCellMar>
      </w:tblPr>
      <w:tblGrid>
        <w:gridCol w:w="305"/>
        <w:gridCol w:w="7505"/>
      </w:tblGrid>
      <w:tr>
        <w:trPr/>
        <w:tc>
          <w:tcPr>
            <w:tcW w:w="305" w:type="dxa"/>
            <w:tcBorders/>
            <w:shd w:fill="auto" w:val="clear"/>
            <w:vAlign w:val="center"/>
          </w:tcPr>
          <w:p>
            <w:pPr>
              <w:pStyle w:val="TableContents"/>
              <w:spacing w:before="0" w:after="283"/>
              <w:jc w:val="left"/>
              <w:rPr/>
            </w:pPr>
            <w:r>
              <w:rPr/>
              <w:t>(3)</w:t>
            </w:r>
          </w:p>
        </w:tc>
        <w:tc>
          <w:tcPr>
            <w:tcW w:w="75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Net assets attributable to common shares equals average net assets as of December 31, 2022. </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jc w:val="left"/>
              <w:rPr/>
            </w:pPr>
            <w:r>
              <w:rPr/>
              <w:t>(4)</w:t>
            </w:r>
          </w:p>
        </w:tc>
        <w:tc>
          <w:tcPr>
            <w:tcW w:w="990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contractual management fee is calculated at an annual rate of 1.00% of our average adjusted gross assets on December 31, 2022. </w:t>
            </w:r>
          </w:p>
        </w:tc>
      </w:tr>
    </w:tbl>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jc w:val="left"/>
              <w:rPr/>
            </w:pPr>
            <w:r>
              <w:rPr/>
              <w:t>(5)</w:t>
            </w:r>
          </w:p>
        </w:tc>
        <w:tc>
          <w:tcPr>
            <w:tcW w:w="997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portion of incentive fees paid with respect to net investment income and capital gains, if any, is based on actual amounts incurred during the fiscal quarter ended December 31, 2022,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the U.S. generally accepted accounting principles. As we cannot predict our future net investment income or capital gains, the incentive fee paid in future periods, if any, may be substantially different than the fee earned during the fiscal quarter ended December 31, 2022. For more detailed information about the incentive fee, please see “Item 1. Business-Investment Management Agreement” and “Item 1. Business-Investment Advisory Fees” in our most recent Annual Report on Form </w:t>
            </w:r>
          </w:p>
          <w:p>
            <w:pPr>
              <w:pStyle w:val="TableContents"/>
              <w:spacing w:before="0" w:after="0"/>
              <w:jc w:val="left"/>
              <w:rPr>
                <w:rFonts w:ascii="Times New Roman" w:hAnsi="Times New Roman"/>
                <w:spacing w:val="0"/>
                <w:sz w:val="20"/>
              </w:rPr>
            </w:pPr>
            <w:r>
              <w:rPr>
                <w:rFonts w:ascii="Times New Roman" w:hAnsi="Times New Roman"/>
                <w:spacing w:val="0"/>
                <w:sz w:val="20"/>
              </w:rPr>
              <w:t>10-K.</w:t>
            </w:r>
          </w:p>
        </w:tc>
      </w:tr>
    </w:tbl>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(6)</w:t>
            </w:r>
          </w:p>
        </w:tc>
        <w:tc>
          <w:tcPr>
            <w:tcW w:w="995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of December 31, 2022, we had $199.2 million in borrowings outstanding under our Credit Facility, and we had $76.2 million outstanding under our 2023 Notes, $185.0 million outstanding under our 2026 Notes and $228.0 million outstanding under the 2031 Asset-Backed Debt. We may use proceeds of this offering, if any, to repay outstanding obligations under our existing financing arrangements or other indebtedness. After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S-7 </w:t>
      </w:r>
    </w:p>
    <w:p>
      <w:pPr>
        <w:pStyle w:val="HorizontalLine"/>
        <w:rPr/>
      </w:pPr>
      <w:r>
        <w:rPr/>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completing this offering, we may continue to borrow under our existing financing arrangements to finance our investment objectives. We have estimated the annual interest expense on borrowed funds and we caution you that our actual interest expense in the future will depend on prevailing interest rates and our rate of borrowing, which may be substantially higher than the amount provided in this table.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(7)</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December 31, 2022, annualized for a full year. Expenses for PSSL may fluctuate over time and may be substantially higher or lower in the future.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Our stockholders indirectly bear 23.08% of the expenses of our investment in PTSF. A management fee equal to 0.30% per annum of the gross assets of PTSF and its subsidiaries is charged by PennantPark Investment Advisers in connection with PTSF (which is waived by PennantPark Investment Advisers). For this chart, PTSF fees and operating expenses are based on our share of the actual fees and operating expenses of PTSF for the fiscal quarter ended December 31, 2022, annualized for a full year. Expenses for PTSF may fluctuate over time and may be substantially higher or lower in the future.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(8)</w:t>
            </w:r>
          </w:p>
        </w:tc>
        <w:tc>
          <w:tcPr>
            <w:tcW w:w="9958" w:type="dxa"/>
            <w:tcBorders/>
            <w:shd w:fill="auto" w:val="clear"/>
            <w:vAlign w:val="center"/>
          </w:tcPr>
          <w:p>
            <w:pPr>
              <w:pStyle w:val="TableContents"/>
              <w:spacing w:before="0" w:after="0"/>
              <w:jc w:val="left"/>
              <w:rPr/>
            </w:pPr>
            <w:r>
              <w:rPr/>
              <w:t>“</w:t>
            </w:r>
            <w:r>
              <w:rPr>
                <w:rFonts w:ascii="Times New Roman" w:hAnsi="Times New Roman"/>
                <w:sz w:val="20"/>
              </w:rPr>
              <w:t xml:space="preserve">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fiscal quarter ended December 31, 2022, annualized for a full year. </w:t>
            </w:r>
          </w:p>
        </w:tc>
      </w:tr>
    </w:tbl>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(9)</w:t>
            </w:r>
          </w:p>
        </w:tc>
        <w:tc>
          <w:tcPr>
            <w:tcW w:w="9965" w:type="dxa"/>
            <w:tcBorders/>
            <w:shd w:fill="auto" w:val="clear"/>
            <w:vAlign w:val="center"/>
          </w:tcPr>
          <w:p>
            <w:pPr>
              <w:pStyle w:val="TableContents"/>
              <w:spacing w:before="0" w:after="0"/>
              <w:jc w:val="left"/>
              <w:rPr/>
            </w:pPr>
            <w:r>
              <w:rPr/>
              <w:t>“</w:t>
            </w:r>
            <w:r>
              <w:rPr>
                <w:rFonts w:ascii="Times New Roman" w:hAnsi="Times New Roman"/>
                <w:sz w:val="20"/>
              </w:rPr>
              <w:t xml:space="preserve">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10.79% of average total assets. </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Example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following example illustrates the projected dollar amount of total cumulative expenses that you would pay on a $1,000 hypothetical investment in common shares, assuming (1) a 2.00% sales load (the maximum commission to be paid by us with respect to common stock sold by us in this offering) and offering expenses totaling 0.45%, (2) total net estimated annual expenses of 22.56% of average net assets attributable to common shares as set forth in the table above (other than performance-based incentive fees) and (3) a 5.0% annual return.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6910"/>
        <w:gridCol w:w="120"/>
        <w:gridCol w:w="166"/>
        <w:gridCol w:w="454"/>
        <w:gridCol w:w="60"/>
        <w:gridCol w:w="120"/>
        <w:gridCol w:w="166"/>
        <w:gridCol w:w="454"/>
        <w:gridCol w:w="60"/>
        <w:gridCol w:w="120"/>
        <w:gridCol w:w="166"/>
        <w:gridCol w:w="454"/>
        <w:gridCol w:w="60"/>
        <w:gridCol w:w="120"/>
        <w:gridCol w:w="140"/>
        <w:gridCol w:w="560"/>
        <w:gridCol w:w="75"/>
      </w:tblGrid>
      <w:tr>
        <w:trPr/>
        <w:tc>
          <w:tcPr>
            <w:tcW w:w="69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910" w:type="dxa"/>
            <w:tcBorders/>
            <w:shd w:fill="auto" w:val="clear"/>
            <w:vAlign w:val="center"/>
          </w:tcPr>
          <w:p>
            <w:pPr>
              <w:pStyle w:val="TableContents"/>
              <w:spacing w:before="0" w:after="0"/>
              <w:jc w:val="center"/>
              <w:rPr>
                <w:b/>
                <w:spacing w:val="0"/>
              </w:rPr>
            </w:pPr>
            <w:r>
              <w:rPr>
                <w:b/>
                <w:spacing w:val="0"/>
              </w:rPr>
              <w:t>You would pay the following expenses on a $1,000 common stock investment</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1</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3</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5</w:t>
              <w:b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10</w:t>
              <w:br/>
              <w:t>Years</w:t>
            </w:r>
          </w:p>
        </w:tc>
        <w:tc>
          <w:tcPr>
            <w:tcW w:w="75" w:type="dxa"/>
            <w:tcBorders/>
            <w:shd w:fill="auto" w:val="clear"/>
            <w:vAlign w:val="center"/>
          </w:tcPr>
          <w:p>
            <w:pPr>
              <w:pStyle w:val="TableContents"/>
              <w:spacing w:before="0" w:after="283"/>
              <w:rPr/>
            </w:pPr>
            <w:r>
              <w:rPr/>
              <w:t> </w:t>
            </w:r>
          </w:p>
        </w:tc>
      </w:tr>
      <w:tr>
        <w:trPr/>
        <w:tc>
          <w:tcPr>
            <w:tcW w:w="69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Assuming a 5% annual return (assumes no return from net realized capital gains or net unrealized capital appreciation)</w:t>
            </w:r>
          </w:p>
        </w:tc>
        <w:tc>
          <w:tcPr>
            <w:tcW w:w="12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w:t>
            </w:r>
          </w:p>
        </w:tc>
        <w:tc>
          <w:tcPr>
            <w:tcW w:w="454" w:type="dxa"/>
            <w:tcBorders/>
            <w:shd w:fill="CCEEFF" w:val="clear"/>
            <w:vAlign w:val="center"/>
          </w:tcPr>
          <w:p>
            <w:pPr>
              <w:pStyle w:val="TableContents"/>
              <w:spacing w:before="0" w:after="283"/>
              <w:jc w:val="right"/>
              <w:rPr/>
            </w:pPr>
            <w:r>
              <w:rPr/>
              <w:t>225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w:t>
            </w:r>
          </w:p>
        </w:tc>
        <w:tc>
          <w:tcPr>
            <w:tcW w:w="454" w:type="dxa"/>
            <w:tcBorders/>
            <w:shd w:fill="CCEEFF" w:val="clear"/>
            <w:vAlign w:val="center"/>
          </w:tcPr>
          <w:p>
            <w:pPr>
              <w:pStyle w:val="TableContents"/>
              <w:spacing w:before="0" w:after="283"/>
              <w:jc w:val="right"/>
              <w:rPr/>
            </w:pPr>
            <w:r>
              <w:rPr/>
              <w:t>527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w:t>
            </w:r>
          </w:p>
        </w:tc>
        <w:tc>
          <w:tcPr>
            <w:tcW w:w="454" w:type="dxa"/>
            <w:tcBorders/>
            <w:shd w:fill="CCEEFF" w:val="clear"/>
            <w:vAlign w:val="center"/>
          </w:tcPr>
          <w:p>
            <w:pPr>
              <w:pStyle w:val="TableContents"/>
              <w:spacing w:before="0" w:after="283"/>
              <w:jc w:val="right"/>
              <w:rPr/>
            </w:pPr>
            <w:r>
              <w:rPr/>
              <w:t>732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1,002</w:t>
            </w:r>
          </w:p>
        </w:tc>
        <w:tc>
          <w:tcPr>
            <w:tcW w:w="75" w:type="dxa"/>
            <w:tcBorders/>
            <w:shd w:fill="CCEEFF" w:val="clear"/>
            <w:vAlign w:val="center"/>
          </w:tcPr>
          <w:p>
            <w:pPr>
              <w:pStyle w:val="TableContents"/>
              <w:spacing w:before="0" w:after="283"/>
              <w:rPr/>
            </w:pPr>
            <w:r>
              <w:rPr/>
              <w:t> </w:t>
            </w:r>
          </w:p>
        </w:tc>
      </w:tr>
      <w:tr>
        <w:trPr/>
        <w:tc>
          <w:tcPr>
            <w:tcW w:w="69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Assuming a 5% annual return (assumes return only from realized capital gains and thus subject to the capital gains incentive fee)</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w:t>
            </w:r>
          </w:p>
        </w:tc>
        <w:tc>
          <w:tcPr>
            <w:tcW w:w="454" w:type="dxa"/>
            <w:tcBorders/>
            <w:shd w:fill="auto" w:val="clear"/>
            <w:vAlign w:val="center"/>
          </w:tcPr>
          <w:p>
            <w:pPr>
              <w:pStyle w:val="TableContents"/>
              <w:spacing w:before="0" w:after="283"/>
              <w:jc w:val="right"/>
              <w:rPr/>
            </w:pPr>
            <w:r>
              <w:rPr/>
              <w:t>233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w:t>
            </w:r>
          </w:p>
        </w:tc>
        <w:tc>
          <w:tcPr>
            <w:tcW w:w="454" w:type="dxa"/>
            <w:tcBorders/>
            <w:shd w:fill="auto" w:val="clear"/>
            <w:vAlign w:val="center"/>
          </w:tcPr>
          <w:p>
            <w:pPr>
              <w:pStyle w:val="TableContents"/>
              <w:spacing w:before="0" w:after="283"/>
              <w:jc w:val="right"/>
              <w:rPr/>
            </w:pPr>
            <w:r>
              <w:rPr/>
              <w:t>541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w:t>
            </w:r>
          </w:p>
        </w:tc>
        <w:tc>
          <w:tcPr>
            <w:tcW w:w="454" w:type="dxa"/>
            <w:tcBorders/>
            <w:shd w:fill="auto" w:val="clear"/>
            <w:vAlign w:val="center"/>
          </w:tcPr>
          <w:p>
            <w:pPr>
              <w:pStyle w:val="TableContents"/>
              <w:spacing w:before="0" w:after="283"/>
              <w:jc w:val="right"/>
              <w:rPr/>
            </w:pPr>
            <w:r>
              <w:rPr/>
              <w:t>745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jc w:val="right"/>
              <w:rPr/>
            </w:pPr>
            <w:r>
              <w:rPr/>
              <w:t>1,004</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5.0% annual return, our performance will vary and may result in a return greater or less than 5.0%. If we were to earn an annual return equal to or less than 5.0%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S-8 </w:t>
      </w:r>
    </w:p>
    <w:p>
      <w:pPr>
        <w:pStyle w:val="HorizontalLine"/>
        <w:rPr/>
      </w:pPr>
      <w:r>
        <w:rPr/>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in our most recent Annual Report on Form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10-K</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for more information.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S-9 </w:t>
      </w:r>
    </w:p>
    <w:p>
      <w:pPr>
        <w:pStyle w:val="HorizontalLine"/>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RISK FACTORS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Investing in our shares of our common stock may be speculative and involves a high degree of risk. You should carefully consider the risk factors incorporated by reference from our most recent Annual Report on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our most recent Quarterly Report on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10-Q,</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well as other information contained or incorporated by reference into this prospectus supplement and the accompanying prospectus, any free writing prospectus we have authorized for use in connection with this offering and under similar headings in the documents that we file with the SEC on or after the date of this prospectus supplement and are incorporated by reference into this prospectus supplement and the accompanying prospectus.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risks described in these documents are not the only risks we face. Additional risks and uncertainties not currently known to us or that we currently deem to be immaterial also may materially adversely affect our business, financial condition and/or operating results. In such case, our NAV and the trading price of our common stock could decline, and you may lose all or part of your investment.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480" w:after="0"/>
        <w:jc w:val="center"/>
        <w:rPr>
          <w:rFonts w:ascii="Times New Roman" w:hAnsi="Times New Roman"/>
          <w:b/>
          <w:sz w:val="20"/>
        </w:rPr>
      </w:pPr>
      <w:r>
        <w:rPr>
          <w:rFonts w:ascii="Times New Roman" w:hAnsi="Times New Roman"/>
          <w:b/>
          <w:sz w:val="20"/>
        </w:rPr>
        <w:t xml:space="preserve">FORWARD-LOOKING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 </w:t>
      </w:r>
    </w:p>
    <w:p>
      <w:pPr>
        <w:pStyle w:val="TextBody"/>
        <w:spacing w:before="0" w:after="0"/>
        <w:jc w:val="left"/>
        <w:rPr>
          <w:highlight w:val="white"/>
        </w:rPr>
      </w:pPr>
      <w:r>
        <w:rPr>
          <w:highlight w:val="white"/>
        </w:rPr>
        <w:t> </w:t>
      </w:r>
    </w:p>
    <w:tbl>
      <w:tblPr>
        <w:tblW w:w="2575" w:type="dxa"/>
        <w:jc w:val="left"/>
        <w:tblInd w:w="0" w:type="dxa"/>
        <w:tblCellMar>
          <w:top w:w="0" w:type="dxa"/>
          <w:left w:w="0" w:type="dxa"/>
          <w:bottom w:w="0" w:type="dxa"/>
          <w:right w:w="0" w:type="dxa"/>
        </w:tblCellMar>
      </w:tblPr>
      <w:tblGrid>
        <w:gridCol w:w="75"/>
        <w:gridCol w:w="110"/>
        <w:gridCol w:w="60"/>
        <w:gridCol w:w="2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business prospects and the prospects of our prospective portfolio companies, including as a result of the current pandemic caused by </w:t>
            </w:r>
          </w:p>
          <w:p>
            <w:pPr>
              <w:pStyle w:val="TableContents"/>
              <w:spacing w:before="0" w:after="0"/>
              <w:jc w:val="left"/>
              <w:rPr>
                <w:rFonts w:ascii="Times New Roman" w:hAnsi="Times New Roman"/>
                <w:spacing w:val="0"/>
                <w:sz w:val="20"/>
              </w:rPr>
            </w:pPr>
            <w:r>
              <w:rPr>
                <w:rFonts w:ascii="Times New Roman" w:hAnsi="Times New Roman"/>
                <w:spacing w:val="0"/>
                <w:sz w:val="20"/>
              </w:rPr>
              <w:t>COVID-19</w:t>
            </w:r>
          </w:p>
          <w:p>
            <w:pPr>
              <w:pStyle w:val="TableContents"/>
              <w:spacing w:before="0" w:after="0"/>
              <w:jc w:val="left"/>
              <w:rPr>
                <w:rFonts w:ascii="Times New Roman" w:hAnsi="Times New Roman"/>
                <w:sz w:val="20"/>
              </w:rPr>
            </w:pPr>
            <w:r>
              <w:rPr>
                <w:rFonts w:ascii="Times New Roman" w:hAnsi="Times New Roman"/>
                <w:sz w:val="20"/>
              </w:rPr>
              <w:t xml:space="preserve">or any future worsening thereof;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political, economic or industry conditions, the interest rate environment or conditions affecting the financial and capital markets that could result in changes to the value of our assets, including changes from the impact of the current </w:t>
            </w:r>
          </w:p>
          <w:p>
            <w:pPr>
              <w:pStyle w:val="TableContents"/>
              <w:spacing w:before="0" w:after="0"/>
              <w:jc w:val="left"/>
              <w:rPr>
                <w:rFonts w:ascii="Times New Roman" w:hAnsi="Times New Roman"/>
                <w:spacing w:val="0"/>
                <w:sz w:val="20"/>
              </w:rPr>
            </w:pPr>
            <w:r>
              <w:rPr>
                <w:rFonts w:ascii="Times New Roman" w:hAnsi="Times New Roman"/>
                <w:spacing w:val="0"/>
                <w:sz w:val="20"/>
              </w:rPr>
              <w:t>COVID-19</w:t>
            </w:r>
          </w:p>
          <w:p>
            <w:pPr>
              <w:pStyle w:val="TableContents"/>
              <w:spacing w:before="0" w:after="0"/>
              <w:jc w:val="left"/>
              <w:rPr>
                <w:rFonts w:ascii="Times New Roman" w:hAnsi="Times New Roman"/>
                <w:sz w:val="20"/>
              </w:rPr>
            </w:pPr>
            <w:r>
              <w:rPr>
                <w:rFonts w:ascii="Times New Roman" w:hAnsi="Times New Roman"/>
                <w:sz w:val="20"/>
              </w:rPr>
              <w:t xml:space="preserve">pandemic or any future worsening thereof; </w:t>
            </w:r>
          </w:p>
        </w:tc>
      </w:tr>
    </w:tbl>
    <w:p>
      <w:pPr>
        <w:pStyle w:val="TextBody"/>
        <w:spacing w:before="0" w:after="0"/>
        <w:jc w:val="left"/>
        <w:rPr>
          <w:highlight w:val="white"/>
        </w:rPr>
      </w:pPr>
      <w:r>
        <w:rPr>
          <w:highlight w:val="white"/>
        </w:rPr>
        <w:t> </w:t>
      </w:r>
    </w:p>
    <w:tbl>
      <w:tblPr>
        <w:tblW w:w="9490" w:type="dxa"/>
        <w:jc w:val="left"/>
        <w:tblInd w:w="0" w:type="dxa"/>
        <w:tblCellMar>
          <w:top w:w="0" w:type="dxa"/>
          <w:left w:w="0" w:type="dxa"/>
          <w:bottom w:w="0" w:type="dxa"/>
          <w:right w:w="0" w:type="dxa"/>
        </w:tblCellMar>
      </w:tblPr>
      <w:tblGrid>
        <w:gridCol w:w="75"/>
        <w:gridCol w:w="110"/>
        <w:gridCol w:w="60"/>
        <w:gridCol w:w="92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spacing w:before="0" w:after="0"/>
        <w:jc w:val="left"/>
        <w:rPr>
          <w:highlight w:val="white"/>
        </w:rPr>
      </w:pPr>
      <w:r>
        <w:rPr>
          <w:highlight w:val="white"/>
        </w:rPr>
        <w:t> </w:t>
      </w:r>
    </w:p>
    <w:tbl>
      <w:tblPr>
        <w:tblW w:w="7075" w:type="dxa"/>
        <w:jc w:val="left"/>
        <w:tblInd w:w="0" w:type="dxa"/>
        <w:tblCellMar>
          <w:top w:w="0" w:type="dxa"/>
          <w:left w:w="0" w:type="dxa"/>
          <w:bottom w:w="0" w:type="dxa"/>
          <w:right w:w="0" w:type="dxa"/>
        </w:tblCellMar>
      </w:tblPr>
      <w:tblGrid>
        <w:gridCol w:w="75"/>
        <w:gridCol w:w="110"/>
        <w:gridCol w:w="60"/>
        <w:gridCol w:w="68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a protracted decline in the liquidity of credit markets on our business; </w:t>
            </w:r>
          </w:p>
        </w:tc>
      </w:tr>
    </w:tbl>
    <w:p>
      <w:pPr>
        <w:pStyle w:val="TextBody"/>
        <w:spacing w:before="0" w:after="0"/>
        <w:jc w:val="left"/>
        <w:rPr>
          <w:highlight w:val="white"/>
        </w:rPr>
      </w:pPr>
      <w:r>
        <w:rPr>
          <w:highlight w:val="white"/>
        </w:rPr>
        <w:t> </w:t>
      </w:r>
    </w:p>
    <w:tbl>
      <w:tblPr>
        <w:tblW w:w="4375" w:type="dxa"/>
        <w:jc w:val="left"/>
        <w:tblInd w:w="0" w:type="dxa"/>
        <w:tblCellMar>
          <w:top w:w="0" w:type="dxa"/>
          <w:left w:w="0" w:type="dxa"/>
          <w:bottom w:w="0" w:type="dxa"/>
          <w:right w:w="0" w:type="dxa"/>
        </w:tblCellMar>
      </w:tblPr>
      <w:tblGrid>
        <w:gridCol w:w="75"/>
        <w:gridCol w:w="110"/>
        <w:gridCol w:w="60"/>
        <w:gridCol w:w="41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investments that we expect to make; </w:t>
            </w:r>
          </w:p>
        </w:tc>
      </w:tr>
    </w:tbl>
    <w:p>
      <w:pPr>
        <w:pStyle w:val="TextBody"/>
        <w:spacing w:before="0" w:after="0"/>
        <w:jc w:val="left"/>
        <w:rPr>
          <w:highlight w:val="white"/>
        </w:rPr>
      </w:pPr>
      <w:r>
        <w:rPr>
          <w:highlight w:val="white"/>
        </w:rPr>
        <w:t> </w:t>
      </w:r>
    </w:p>
    <w:tbl>
      <w:tblPr>
        <w:tblW w:w="9610" w:type="dxa"/>
        <w:jc w:val="left"/>
        <w:tblInd w:w="0" w:type="dxa"/>
        <w:tblCellMar>
          <w:top w:w="0" w:type="dxa"/>
          <w:left w:w="0" w:type="dxa"/>
          <w:bottom w:w="0" w:type="dxa"/>
          <w:right w:w="0" w:type="dxa"/>
        </w:tblCellMar>
      </w:tblPr>
      <w:tblGrid>
        <w:gridCol w:w="75"/>
        <w:gridCol w:w="110"/>
        <w:gridCol w:w="60"/>
        <w:gridCol w:w="9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fluctuations in interest rates and foreign exchange rates on our business and our portfolio companies; </w:t>
            </w:r>
          </w:p>
        </w:tc>
      </w:tr>
    </w:tbl>
    <w:p>
      <w:pPr>
        <w:pStyle w:val="TextBody"/>
        <w:spacing w:before="0" w:after="0"/>
        <w:jc w:val="left"/>
        <w:rPr>
          <w:highlight w:val="white"/>
        </w:rPr>
      </w:pPr>
      <w:r>
        <w:rPr>
          <w:highlight w:val="white"/>
        </w:rPr>
        <w:t> </w:t>
      </w:r>
    </w:p>
    <w:tbl>
      <w:tblPr>
        <w:tblW w:w="5605" w:type="dxa"/>
        <w:jc w:val="left"/>
        <w:tblInd w:w="0" w:type="dxa"/>
        <w:tblCellMar>
          <w:top w:w="0" w:type="dxa"/>
          <w:left w:w="0" w:type="dxa"/>
          <w:bottom w:w="0" w:type="dxa"/>
          <w:right w:w="0" w:type="dxa"/>
        </w:tblCellMar>
      </w:tblPr>
      <w:tblGrid>
        <w:gridCol w:w="75"/>
        <w:gridCol w:w="110"/>
        <w:gridCol w:w="60"/>
        <w:gridCol w:w="5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contractual arrangements and relationships with third parties; </w:t>
            </w:r>
          </w:p>
        </w:tc>
      </w:tr>
    </w:tbl>
    <w:p>
      <w:pPr>
        <w:pStyle w:val="TextBody"/>
        <w:spacing w:before="0" w:after="0"/>
        <w:jc w:val="left"/>
        <w:rPr>
          <w:highlight w:val="white"/>
        </w:rPr>
      </w:pPr>
      <w:r>
        <w:rPr>
          <w:highlight w:val="white"/>
        </w:rPr>
        <w:t> </w:t>
      </w:r>
    </w:p>
    <w:tbl>
      <w:tblPr>
        <w:tblW w:w="9055" w:type="dxa"/>
        <w:jc w:val="left"/>
        <w:tblInd w:w="0" w:type="dxa"/>
        <w:tblCellMar>
          <w:top w:w="0" w:type="dxa"/>
          <w:left w:w="0" w:type="dxa"/>
          <w:bottom w:w="0" w:type="dxa"/>
          <w:right w:w="0" w:type="dxa"/>
        </w:tblCellMar>
      </w:tblPr>
      <w:tblGrid>
        <w:gridCol w:w="75"/>
        <w:gridCol w:w="110"/>
        <w:gridCol w:w="60"/>
        <w:gridCol w:w="8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valuation of our investments in portfolio companies, particularly those having no liquid trading market; </w:t>
            </w:r>
          </w:p>
        </w:tc>
      </w:tr>
    </w:tbl>
    <w:p>
      <w:pPr>
        <w:pStyle w:val="TextBody"/>
        <w:spacing w:before="0" w:after="0"/>
        <w:jc w:val="left"/>
        <w:rPr>
          <w:highlight w:val="white"/>
        </w:rPr>
      </w:pPr>
      <w:r>
        <w:rPr>
          <w:highlight w:val="white"/>
        </w:rPr>
        <w:t> </w:t>
      </w:r>
    </w:p>
    <w:tbl>
      <w:tblPr>
        <w:tblW w:w="6610" w:type="dxa"/>
        <w:jc w:val="left"/>
        <w:tblInd w:w="0" w:type="dxa"/>
        <w:tblCellMar>
          <w:top w:w="0" w:type="dxa"/>
          <w:left w:w="0" w:type="dxa"/>
          <w:bottom w:w="0" w:type="dxa"/>
          <w:right w:w="0" w:type="dxa"/>
        </w:tblCellMar>
      </w:tblPr>
      <w:tblGrid>
        <w:gridCol w:w="75"/>
        <w:gridCol w:w="110"/>
        <w:gridCol w:w="60"/>
        <w:gridCol w:w="6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ability of our prospective portfolio companies to achieve their objectives; </w:t>
            </w:r>
          </w:p>
        </w:tc>
      </w:tr>
    </w:tbl>
    <w:p>
      <w:pPr>
        <w:pStyle w:val="TextBody"/>
        <w:spacing w:before="0" w:after="0"/>
        <w:jc w:val="left"/>
        <w:rPr>
          <w:highlight w:val="white"/>
        </w:rPr>
      </w:pPr>
      <w:r>
        <w:rPr>
          <w:highlight w:val="white"/>
        </w:rPr>
        <w:t> </w:t>
      </w:r>
    </w:p>
    <w:tbl>
      <w:tblPr>
        <w:tblW w:w="7690" w:type="dxa"/>
        <w:jc w:val="left"/>
        <w:tblInd w:w="0" w:type="dxa"/>
        <w:tblCellMar>
          <w:top w:w="0" w:type="dxa"/>
          <w:left w:w="0" w:type="dxa"/>
          <w:bottom w:w="0" w:type="dxa"/>
          <w:right w:w="0" w:type="dxa"/>
        </w:tblCellMar>
      </w:tblPr>
      <w:tblGrid>
        <w:gridCol w:w="75"/>
        <w:gridCol w:w="110"/>
        <w:gridCol w:w="60"/>
        <w:gridCol w:w="74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expected financings and investments and ability to fund capital commitments to PSSL; </w:t>
            </w:r>
          </w:p>
        </w:tc>
      </w:tr>
    </w:tbl>
    <w:p>
      <w:pPr>
        <w:pStyle w:val="TextBody"/>
        <w:spacing w:before="0" w:after="0"/>
        <w:jc w:val="left"/>
        <w:rPr>
          <w:highlight w:val="white"/>
        </w:rPr>
      </w:pPr>
      <w:r>
        <w:rPr>
          <w:highlight w:val="white"/>
        </w:rPr>
        <w:t> </w:t>
      </w:r>
    </w:p>
    <w:tbl>
      <w:tblPr>
        <w:tblW w:w="4855" w:type="dxa"/>
        <w:jc w:val="left"/>
        <w:tblInd w:w="0" w:type="dxa"/>
        <w:tblCellMar>
          <w:top w:w="0" w:type="dxa"/>
          <w:left w:w="0" w:type="dxa"/>
          <w:bottom w:w="0" w:type="dxa"/>
          <w:right w:w="0" w:type="dxa"/>
        </w:tblCellMar>
      </w:tblPr>
      <w:tblGrid>
        <w:gridCol w:w="75"/>
        <w:gridCol w:w="110"/>
        <w:gridCol w:w="60"/>
        <w:gridCol w:w="4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adequacy of our cash resources and working capital;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S-10 </w:t>
      </w:r>
    </w:p>
    <w:p>
      <w:pPr>
        <w:pStyle w:val="HorizontalLine"/>
        <w:rPr/>
      </w:pPr>
      <w:r>
        <w:rPr/>
      </w:r>
    </w:p>
    <w:tbl>
      <w:tblPr>
        <w:tblW w:w="7735" w:type="dxa"/>
        <w:jc w:val="left"/>
        <w:tblInd w:w="0" w:type="dxa"/>
        <w:tblCellMar>
          <w:top w:w="0" w:type="dxa"/>
          <w:left w:w="0" w:type="dxa"/>
          <w:bottom w:w="0" w:type="dxa"/>
          <w:right w:w="0" w:type="dxa"/>
        </w:tblCellMar>
      </w:tblPr>
      <w:tblGrid>
        <w:gridCol w:w="75"/>
        <w:gridCol w:w="110"/>
        <w:gridCol w:w="60"/>
        <w:gridCol w:w="74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timing of cash flows, if any, from the operations of our prospective portfolio companies; </w:t>
            </w:r>
          </w:p>
        </w:tc>
      </w:tr>
    </w:tbl>
    <w:p>
      <w:pPr>
        <w:pStyle w:val="TextBody"/>
        <w:spacing w:before="0" w:after="0"/>
        <w:jc w:val="left"/>
        <w:rPr>
          <w:highlight w:val="white"/>
        </w:rPr>
      </w:pPr>
      <w:r>
        <w:rPr>
          <w:highlight w:val="white"/>
        </w:rPr>
        <w:t> </w:t>
      </w:r>
    </w:p>
    <w:tbl>
      <w:tblPr>
        <w:tblW w:w="5515" w:type="dxa"/>
        <w:jc w:val="left"/>
        <w:tblInd w:w="0" w:type="dxa"/>
        <w:tblCellMar>
          <w:top w:w="0" w:type="dxa"/>
          <w:left w:w="0" w:type="dxa"/>
          <w:bottom w:w="0" w:type="dxa"/>
          <w:right w:w="0" w:type="dxa"/>
        </w:tblCellMar>
      </w:tblPr>
      <w:tblGrid>
        <w:gridCol w:w="75"/>
        <w:gridCol w:w="110"/>
        <w:gridCol w:w="60"/>
        <w:gridCol w:w="52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price and volume fluctuations in the stock market; </w:t>
            </w:r>
          </w:p>
        </w:tc>
      </w:tr>
    </w:tbl>
    <w:p>
      <w:pPr>
        <w:pStyle w:val="TextBody"/>
        <w:spacing w:before="0" w:after="0"/>
        <w:jc w:val="left"/>
        <w:rPr>
          <w:highlight w:val="white"/>
        </w:rPr>
      </w:pPr>
      <w:r>
        <w:rPr>
          <w:highlight w:val="white"/>
        </w:rPr>
        <w:t> </w:t>
      </w:r>
    </w:p>
    <w:tbl>
      <w:tblPr>
        <w:tblW w:w="6760" w:type="dxa"/>
        <w:jc w:val="left"/>
        <w:tblInd w:w="0" w:type="dxa"/>
        <w:tblCellMar>
          <w:top w:w="0" w:type="dxa"/>
          <w:left w:w="0" w:type="dxa"/>
          <w:bottom w:w="0" w:type="dxa"/>
          <w:right w:w="0" w:type="dxa"/>
        </w:tblCellMar>
      </w:tblPr>
      <w:tblGrid>
        <w:gridCol w:w="75"/>
        <w:gridCol w:w="110"/>
        <w:gridCol w:w="60"/>
        <w:gridCol w:w="65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increasing levels of inflation, and its impact on us and our portfolio companies; </w:t>
            </w:r>
          </w:p>
        </w:tc>
      </w:tr>
    </w:tbl>
    <w:p>
      <w:pPr>
        <w:pStyle w:val="TextBody"/>
        <w:spacing w:before="0" w:after="0"/>
        <w:jc w:val="left"/>
        <w:rPr>
          <w:highlight w:val="white"/>
        </w:rPr>
      </w:pPr>
      <w:r>
        <w:rPr>
          <w:highlight w:val="white"/>
        </w:rPr>
        <w:t> </w:t>
      </w:r>
    </w:p>
    <w:tbl>
      <w:tblPr>
        <w:tblW w:w="10150" w:type="dxa"/>
        <w:jc w:val="left"/>
        <w:tblInd w:w="0" w:type="dxa"/>
        <w:tblCellMar>
          <w:top w:w="0" w:type="dxa"/>
          <w:left w:w="0" w:type="dxa"/>
          <w:bottom w:w="0" w:type="dxa"/>
          <w:right w:w="0" w:type="dxa"/>
        </w:tblCellMar>
      </w:tblPr>
      <w:tblGrid>
        <w:gridCol w:w="75"/>
        <w:gridCol w:w="110"/>
        <w:gridCol w:w="60"/>
        <w:gridCol w:w="99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ability of our Investment Adviser to locate suitable investments for us and to monitor and administer our investments; </w:t>
            </w:r>
          </w:p>
        </w:tc>
      </w:tr>
    </w:tbl>
    <w:p>
      <w:pPr>
        <w:pStyle w:val="TextBody"/>
        <w:spacing w:before="0" w:after="0"/>
        <w:jc w:val="left"/>
        <w:rPr>
          <w:highlight w:val="white"/>
        </w:rPr>
      </w:pPr>
      <w:r>
        <w:rPr>
          <w:highlight w:val="white"/>
        </w:rPr>
        <w:t> </w:t>
      </w:r>
    </w:p>
    <w:tbl>
      <w:tblPr>
        <w:tblW w:w="8110" w:type="dxa"/>
        <w:jc w:val="left"/>
        <w:tblInd w:w="0" w:type="dxa"/>
        <w:tblCellMar>
          <w:top w:w="0" w:type="dxa"/>
          <w:left w:w="0" w:type="dxa"/>
          <w:bottom w:w="0" w:type="dxa"/>
          <w:right w:w="0" w:type="dxa"/>
        </w:tblCellMar>
      </w:tblPr>
      <w:tblGrid>
        <w:gridCol w:w="75"/>
        <w:gridCol w:w="110"/>
        <w:gridCol w:w="60"/>
        <w:gridCol w:w="78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future legislation and regulation on our business and our portfolio companies; and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the ongoing invasion of Ukraine by Russia, United Kingdom’s withdrawal from the European Union (commonly known as “Brexit”) and other world economic and political issues.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our most recent Annual Report on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our most recent Quarterly Report on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10-Q,</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the documents incorporated by reference herein, and elsewhere in this prospectus supplement and the accompanying prospectus.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SEC including Annual Reports on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Quarterly Reports on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10-Q</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and Current Reports on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8-K.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You should understand that, under Sections 27A(b)(2)(B) of the Securities Act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S-11 </w:t>
      </w:r>
    </w:p>
    <w:p>
      <w:pPr>
        <w:pStyle w:val="HorizontalLine"/>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USE OF PROCEEDS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Sales of our common stock, if any, under this prospectus supplement and the accompanying prospectus may be made in negotiated transactions or transactions that are deemed to be “at the market” as defined in Rule 415 under the Securities Act, including sales made directly on the NYSE or sales made to or through a market maker other than on an exchange. There is no guarantee that there will be any sales of our common stock pursuant to this prospectus supplement and the accompanying prospectus. Actual sales, if any, of our common stock under this prospectus supplement and the accompanying prospectus may be less than the proceeds set forth in this paragraph depending on the market price of our common stock at the time of any such sale. As a result, the actual net proceeds we receive may be more or less than the amount of net proceeds estimated in this prospectus supplement. The sales price per share of our common stock offered by this prospectus supplement and the accompanying prospectus, less commissions payable under the equity distribution agreements and discounts, if any, along with any additional supplemental payments made by the Investment Adviser, will not be less than the NAV per share of our common stock at the time of such sale. If we sell shares of our common stock with an aggregate offering amount of $100 million, we anticipate that our net proceeds, after deducting an assumed maximum sales agents’ commissions and estimated expenses payable by us, will be approximately $97,550,000.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expect to use the net proceeds from this offering to invest in new or existing portfolio companies or for other general corporate or strategic purposes, including repaying amounts outstanding under our existing indebtedness which may include our Credit Facility, our 2023 Notes, our 2026 Notes or the 2031 Asset-Backed Debt.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of December 31, 2022, we had $199.2 million in borrowings outstanding under our Credit Facility. Borrowings under the Credit Facility bear interest at an annual rate at a spread above the Secured Overnight Financing Rate (or an alternative risk-free floating interest rate index) of 225 basis points. The Credit Facility has a maturity date of August 2026 and a revolving period that ends in August 2024. At December 31, 2022, the weighted average interest rate of the Credit Facility was 6.5%, exclusive of the fee on undrawn commitments. The Credit Facility is secured by all of the assets of Funding I and we own 100% of the equity interest in Funding I and treat the indebtedness of Funding I as our leverage. We may use proceeds of this offering, if any, to repay outstanding obligations under our existing financing arrangements or other indebtedness. After completing this offering, we may continue to borrow under our existing financing arrangements to finance our investment objectives. Affiliates of Raymond James &amp; Associates, Inc. and Truist Securities, Inc. are lenders under the Credit Facility. Accordingly, an affiliate of Raymond James &amp; Associates, Inc. or Truist Securities, Inc. may receive more than 5% of the proceeds of this offering to the extent such proceeds are used to repay outstanding indebtedness under the Credit Facility.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non-temporary</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investments. As a result, any distributions we make during this investment period may be lower than the distributions that we would expect to pay when such proceeds are fully invested in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non-temporary</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investments. See “Business—Regulation—Temporary Investments” in in our most recently filed Annual Report on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10-</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K for more information.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S-12 </w:t>
      </w:r>
    </w:p>
    <w:p>
      <w:pPr>
        <w:pStyle w:val="HorizontalLine"/>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PLAN OF DISTRIBUTION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left"/>
        <w:rPr>
          <w:rFonts w:ascii="Times New Roman" w:hAnsi="Times New Roman"/>
          <w:sz w:val="20"/>
          <w:highlight w:val="white"/>
        </w:rPr>
      </w:pPr>
      <w:r>
        <w:rPr>
          <w:rFonts w:ascii="Times New Roman" w:hAnsi="Times New Roman"/>
          <w:sz w:val="20"/>
          <w:highlight w:val="white"/>
        </w:rPr>
        <w:t>We have entered into separate equity distribution agreements, each dated </w:t>
      </w:r>
    </w:p>
    <w:p>
      <w:pPr>
        <w:pStyle w:val="TextBody"/>
        <w:widowControl/>
        <w:spacing w:before="240" w:after="0"/>
        <w:ind w:left="0" w:right="0" w:hanging="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March 31, 2023</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 with JMP Securities LLC, Raymond James &amp; Associates, Inc. and Truist Securities, Inc. under which JMP Securities LLC, Raymond James &amp; Associates, Inc. and Truist Securities, Inc. will act as the sales agents in connection with the offer and sale of up to $100 million of shares of our common stock pursuant to this prospectus supplement and the accompanying prospectus. </w:t>
      </w:r>
    </w:p>
    <w:p>
      <w:pPr>
        <w:pStyle w:val="TextBody"/>
        <w:spacing w:before="240" w:after="0"/>
        <w:ind w:left="0" w:right="0" w:hanging="0"/>
        <w:jc w:val="left"/>
        <w:rPr>
          <w:rFonts w:ascii="Times New Roman" w:hAnsi="Times New Roman"/>
          <w:sz w:val="20"/>
          <w:highlight w:val="white"/>
        </w:rPr>
      </w:pPr>
      <w:r>
        <w:rPr>
          <w:rFonts w:ascii="Times New Roman" w:hAnsi="Times New Roman"/>
          <w:sz w:val="20"/>
          <w:highlight w:val="white"/>
        </w:rPr>
        <w:t xml:space="preserve">Upon instructions from us, the sales agents will use their commercially reasonable efforts consistent with their respective normal sales and trading practices to sell, as the sales agents, our common stock under the terms and subject to the conditions set forth in the equity distribution agreements. We will instruct the sales agents as to the minimum amount of common stock to be sold through the offering, the time period during which sales are requested to be made, any limitation on the number of shares of common stock that may be sold in any one trading day and any minimum price below which sale may not be made. We may instruct the sales agents not to sell common stock if the sales cannot be effected at or above the price designated by us in any instruction. The sales price per share of our common stock offered by this prospectus supplement and the accompanying prospectus, less commissions payable under the applicable equity distribution agreement and discounts, if any, will not be less than the NAV per share of our common stock at the time of such sale.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 We or the sales agents may suspend the offering of shares of common stock upon proper notice and subject to other conditions. </w:t>
      </w:r>
    </w:p>
    <w:p>
      <w:pPr>
        <w:pStyle w:val="TextBody"/>
        <w:spacing w:before="240" w:after="0"/>
        <w:ind w:left="0" w:right="0" w:hanging="0"/>
        <w:jc w:val="left"/>
        <w:rPr>
          <w:rFonts w:ascii="Times New Roman" w:hAnsi="Times New Roman"/>
          <w:sz w:val="20"/>
          <w:highlight w:val="white"/>
        </w:rPr>
      </w:pPr>
      <w:r>
        <w:rPr>
          <w:rFonts w:ascii="Times New Roman" w:hAnsi="Times New Roman"/>
          <w:sz w:val="20"/>
          <w:highlight w:val="white"/>
        </w:rPr>
        <w:t xml:space="preserve">Sales of the shares of our common stock, if any, by us under this prospectus supplement and the accompanying prospectus may be made in negotiated transactions or transactions that are deemed to be “at the market,” as defined in Rule 415 under the Securities Act, including sales made directly on the NYSE or similar securities exchanges or sales made to or through a market maker other than on a securities exchange at prices related to the prevailing market prices or at negotiated prices. </w:t>
      </w:r>
    </w:p>
    <w:p>
      <w:pPr>
        <w:pStyle w:val="TextBody"/>
        <w:spacing w:before="240" w:after="0"/>
        <w:ind w:left="0" w:right="0" w:hanging="0"/>
        <w:jc w:val="left"/>
        <w:rPr>
          <w:rFonts w:ascii="Times New Roman" w:hAnsi="Times New Roman"/>
          <w:sz w:val="20"/>
          <w:highlight w:val="white"/>
        </w:rPr>
      </w:pPr>
      <w:r>
        <w:rPr>
          <w:rFonts w:ascii="Times New Roman" w:hAnsi="Times New Roman"/>
          <w:sz w:val="20"/>
          <w:highlight w:val="white"/>
        </w:rPr>
        <w:t xml:space="preserve">A sales agent will provide written confirmation of a sale to us as soon as practicable following the close of trading on the NYSE each day in which shares of our common stock are sold under the applicable equity distribution agreement. Each confirmation will include the number of shares of common stock sold on such day, the net proceeds payable to us and the aggregate compensation payable by us to such sales agent in connection with such sales. </w:t>
      </w:r>
    </w:p>
    <w:p>
      <w:pPr>
        <w:pStyle w:val="TextBody"/>
        <w:spacing w:before="240" w:after="0"/>
        <w:ind w:left="0" w:right="0" w:hanging="0"/>
        <w:jc w:val="left"/>
        <w:rPr>
          <w:rFonts w:ascii="Times New Roman" w:hAnsi="Times New Roman"/>
          <w:sz w:val="20"/>
          <w:highlight w:val="white"/>
        </w:rPr>
      </w:pPr>
      <w:r>
        <w:rPr>
          <w:rFonts w:ascii="Times New Roman" w:hAnsi="Times New Roman"/>
          <w:sz w:val="20"/>
          <w:highlight w:val="white"/>
        </w:rPr>
        <w:t xml:space="preserve">We will pay each sales agent a commission of up to 2.0% of the gross sales price of shares of our common stock sold through such sales agent pursuant to this prospectus supplement. The estimated offering expenses payable by us, in addition to such commission and reimbursement of expenses, are approximately $450,000, which includes legal, accounting and printing costs and various other fees associated with registering the shares of common stock as well as an aggregate of $40,000 in reimbursement of reasonable fees and expenses of counsel to the sales agents incurred in connection with the initial launch of this offering and up to $7,500 per calendar quarter during the term of the equity distribution agreements for fees and expenses of counsel to the sales agents incurred in connection with quarterly updates for this offering. The remaining sales proceeds, after deducting any other transaction fees, will equal net proceeds from the sale of such shares payable to us. </w:t>
      </w:r>
    </w:p>
    <w:p>
      <w:pPr>
        <w:pStyle w:val="TextBody"/>
        <w:spacing w:before="240" w:after="0"/>
        <w:ind w:left="0" w:right="0" w:hanging="0"/>
        <w:jc w:val="left"/>
        <w:rPr>
          <w:rFonts w:ascii="Times New Roman" w:hAnsi="Times New Roman"/>
          <w:sz w:val="20"/>
          <w:highlight w:val="white"/>
        </w:rPr>
      </w:pPr>
      <w:r>
        <w:rPr>
          <w:rFonts w:ascii="Times New Roman" w:hAnsi="Times New Roman"/>
          <w:sz w:val="20"/>
          <w:highlight w:val="white"/>
        </w:rPr>
        <w:t xml:space="preserve">Settlement for sales of shares of common stock will occur on the second trading day following the date on which such sales are made, or on some other date that is agreed upon by us and the applicable sales agent in connection with a particular transaction, in return for payment of the net proceeds to us. There is no arrangement for funds to be received in an escrow, trust or similar arrangement. </w:t>
      </w:r>
    </w:p>
    <w:p>
      <w:pPr>
        <w:pStyle w:val="TextBody"/>
        <w:spacing w:before="0" w:after="0"/>
        <w:ind w:left="0" w:right="0" w:hanging="0"/>
        <w:jc w:val="left"/>
        <w:rPr>
          <w:highlight w:val="white"/>
        </w:rPr>
      </w:pPr>
      <w:r>
        <w:rPr>
          <w:highlight w:val="white"/>
        </w:rPr>
        <w:t> </w:t>
      </w:r>
    </w:p>
    <w:p>
      <w:pPr>
        <w:pStyle w:val="TextBody"/>
        <w:spacing w:before="0" w:after="0"/>
        <w:ind w:left="0" w:right="0" w:hanging="0"/>
        <w:jc w:val="center"/>
        <w:rPr>
          <w:rFonts w:ascii="Times New Roman" w:hAnsi="Times New Roman"/>
          <w:sz w:val="20"/>
          <w:highlight w:val="white"/>
        </w:rPr>
      </w:pPr>
      <w:r>
        <w:rPr>
          <w:rFonts w:ascii="Times New Roman" w:hAnsi="Times New Roman"/>
          <w:sz w:val="20"/>
          <w:highlight w:val="white"/>
        </w:rPr>
        <w:t xml:space="preserve">S-13 </w:t>
      </w:r>
    </w:p>
    <w:p>
      <w:pPr>
        <w:pStyle w:val="HorizontalLine"/>
        <w:rPr/>
      </w:pPr>
      <w:r>
        <w:rPr/>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Under the terms of the equity distribution agreements, we may also sell shares of our common stock to a sales agent as principal for its own accounts at a price agreed upon at the time of sale. The sales agents may offer our common stock sold to them as principals from time to time through public or private transactions at market prices prevailing at the time of sale, at fixed prices, at negotiated prices, at various prices determined at the time of sale or at prices related to prevailing market prices. If we sell shares to a sales agent as principal, we will enter into a separate agreement with such sales agent, setting forth the terms of such transaction, and we will describe such agreement in a separate prospectus supplement.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will report at least quarterly the number of shares of common stock sold by us through the sales agents under the equity distribution agreements and the net proceeds to us.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In connection with the sale of our common stock on our behalf, the sales agents may be deemed to be “underwriters” within the meaning of the Securities Act, and the compensation of the sales agents may be deemed to be underwriting commissions or discounts. We have agreed to provide indemnification and contribution to the sales agents with respect to certain civil liabilities, including liabilities under the Securities Act.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offering of shares of common stock by us pursuant to the equity distribution agreements will terminate upon the earlier of (i) the sale of all common stock subject to the equity distribution agreements or (ii) the termination of the equity distribution agreements as permitted therein.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principal business address of the sales agents are: JMP Securities LLC, 600 Montgomery Street, 11th Floor, San Francisco, CA 94111; Raymond James &amp; Associates, Inc., 880 Carillon Parkway, Tower 3, St. Petersburg, FL 33716; and Truist Securities, Inc., 3333 Peachtree Road, NE, Atlanta, GA 30326.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S-14 </w:t>
      </w:r>
    </w:p>
    <w:p>
      <w:pPr>
        <w:pStyle w:val="HorizontalLine"/>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LEGAL MATTERS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Certain legal matters regarding the securities offered by this prospectus supplement will be passed upon for PennantPark Floating Rate Capital Ltd. by Dechert LLP and Venable LLP. Certain legal matters in connection with the offering will be passed upon for the sales agents by Kirkland &amp; Ellis LLP.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480" w:after="0"/>
        <w:jc w:val="center"/>
        <w:rPr>
          <w:rFonts w:ascii="Times New Roman" w:hAnsi="Times New Roman"/>
          <w:b/>
          <w:sz w:val="20"/>
        </w:rPr>
      </w:pPr>
      <w:r>
        <w:rPr>
          <w:rFonts w:ascii="Times New Roman" w:hAnsi="Times New Roman"/>
          <w:b/>
          <w:sz w:val="20"/>
        </w:rPr>
        <w:t xml:space="preserve">INDEPENDENT REGISTERED PUBLIC ACCOUNTING FIRM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consolidated financial statements and the related consolidated senior securities table of PennantPark Floating Rate Capital Ltd. and subsidiaries as of September 30, 2022 and 2021 and for each of the years in the three-year period ended September 30, 2022 incorporated in this prospectus supplement by reference from our Annual Report on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the year ended September 30, 2022 have been audited by RSM US LLP, an independent registered public accounting firm, as stated in their reports thereon, incorporated herein by reference, and have been incorporated in this prospectus supplement in reliance upon such reports.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480" w:after="0"/>
        <w:jc w:val="center"/>
        <w:rPr>
          <w:rFonts w:ascii="Times New Roman" w:hAnsi="Times New Roman"/>
          <w:b/>
          <w:sz w:val="20"/>
        </w:rPr>
      </w:pPr>
      <w:r>
        <w:rPr>
          <w:rFonts w:ascii="Times New Roman" w:hAnsi="Times New Roman"/>
          <w:b/>
          <w:sz w:val="20"/>
        </w:rPr>
        <w:t xml:space="preserve">INDEPENDENT AUDITOR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The consolidated financial statements of PSSL as of and for the fiscal years ended September 30, 2022 and September 30, 2021 included as Exhibits 99.3 and 99.4, respectively, in our Annual Report on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10-K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for the fiscal year ended September 30, 2022 have been so included in reliance on the report of RSM US LLP.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480" w:after="0"/>
        <w:jc w:val="center"/>
        <w:rPr>
          <w:rFonts w:ascii="Times New Roman" w:hAnsi="Times New Roman"/>
          <w:b/>
          <w:sz w:val="20"/>
        </w:rPr>
      </w:pPr>
      <w:r>
        <w:rPr>
          <w:rFonts w:ascii="Times New Roman" w:hAnsi="Times New Roman"/>
          <w:b/>
          <w:sz w:val="20"/>
        </w:rPr>
        <w:t xml:space="preserve">INCORPORATION BY REFERENCE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8-K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or other information “furnished” to the SEC which is not deemed filed is not incorporated by reference in this prospectus supplement.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This prospectus supplement incorporates by reference the documents set forth below that have previously been filed with the SEC: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 xml:space="preserve">Form </w:t>
              </w:r>
            </w:hyperlink>
            <w:hyperlink r:id="rId4">
              <w:r>
                <w:rPr>
                  <w:rStyle w:val="InternetLink"/>
                  <w:rFonts w:ascii="Times New Roman" w:hAnsi="Times New Roman"/>
                  <w:spacing w:val="0"/>
                  <w:sz w:val="20"/>
                </w:rPr>
                <w:t>10-K</w:t>
              </w:r>
            </w:hyperlink>
            <w:r>
              <w:rPr>
                <w:rFonts w:ascii="Times New Roman" w:hAnsi="Times New Roman"/>
                <w:sz w:val="20"/>
              </w:rPr>
              <w:t xml:space="preserve"> for the fiscal year ended September 30, 2022, filed with the SEC on November 17, 2022, including the information specifically incorporated by reference to the Form </w:t>
            </w:r>
          </w:p>
          <w:p>
            <w:pPr>
              <w:pStyle w:val="TableContents"/>
              <w:spacing w:before="0" w:after="0"/>
              <w:jc w:val="left"/>
              <w:rPr>
                <w:rFonts w:ascii="Times New Roman" w:hAnsi="Times New Roman"/>
                <w:spacing w:val="0"/>
                <w:sz w:val="20"/>
              </w:rPr>
            </w:pPr>
            <w:r>
              <w:rPr>
                <w:rFonts w:ascii="Times New Roman" w:hAnsi="Times New Roman"/>
                <w:spacing w:val="0"/>
                <w:sz w:val="20"/>
              </w:rPr>
              <w:t>10-K</w:t>
            </w:r>
          </w:p>
          <w:p>
            <w:pPr>
              <w:pStyle w:val="TableContents"/>
              <w:spacing w:before="0" w:after="0"/>
              <w:jc w:val="left"/>
              <w:rPr/>
            </w:pPr>
            <w:r>
              <w:rPr>
                <w:rFonts w:ascii="Times New Roman" w:hAnsi="Times New Roman"/>
                <w:sz w:val="20"/>
              </w:rPr>
              <w:t xml:space="preserve">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filed with the SEC on December 8, 2022;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rFonts w:ascii="Times New Roman" w:hAnsi="Times New Roman"/>
                <w:sz w:val="20"/>
              </w:rPr>
              <w:t xml:space="preserve">Our Quarterly Report on </w:t>
            </w:r>
            <w:hyperlink r:id="rId6">
              <w:r>
                <w:rPr>
                  <w:rStyle w:val="InternetLink"/>
                  <w:rFonts w:ascii="Times New Roman" w:hAnsi="Times New Roman"/>
                  <w:sz w:val="20"/>
                </w:rPr>
                <w:t xml:space="preserve">Form </w:t>
              </w:r>
            </w:hyperlink>
            <w:hyperlink r:id="rId7">
              <w:r>
                <w:rPr>
                  <w:rStyle w:val="InternetLink"/>
                  <w:rFonts w:ascii="Times New Roman" w:hAnsi="Times New Roman"/>
                  <w:spacing w:val="0"/>
                  <w:sz w:val="20"/>
                </w:rPr>
                <w:t>10-Q</w:t>
              </w:r>
            </w:hyperlink>
            <w:r>
              <w:rPr>
                <w:rFonts w:ascii="Times New Roman" w:hAnsi="Times New Roman"/>
                <w:sz w:val="20"/>
              </w:rPr>
              <w:t xml:space="preserve"> for the fiscal quarter ended December 31, 2022, filed with the SEC on February 8, 2023; </w:t>
            </w:r>
          </w:p>
        </w:tc>
      </w:tr>
    </w:tbl>
    <w:p>
      <w:pPr>
        <w:pStyle w:val="TextBody"/>
        <w:spacing w:before="0" w:after="0"/>
        <w:jc w:val="left"/>
        <w:rPr>
          <w:highlight w:val="white"/>
        </w:rPr>
      </w:pPr>
      <w:r>
        <w:rPr>
          <w:highlight w:val="white"/>
        </w:rPr>
        <w:t> </w:t>
      </w:r>
    </w:p>
    <w:tbl>
      <w:tblPr>
        <w:tblW w:w="5785" w:type="dxa"/>
        <w:jc w:val="left"/>
        <w:tblInd w:w="0" w:type="dxa"/>
        <w:tblCellMar>
          <w:top w:w="0" w:type="dxa"/>
          <w:left w:w="0" w:type="dxa"/>
          <w:bottom w:w="0" w:type="dxa"/>
          <w:right w:w="0" w:type="dxa"/>
        </w:tblCellMar>
      </w:tblPr>
      <w:tblGrid>
        <w:gridCol w:w="75"/>
        <w:gridCol w:w="110"/>
        <w:gridCol w:w="60"/>
        <w:gridCol w:w="5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Current Reports on Form </w:t>
            </w:r>
          </w:p>
          <w:p>
            <w:pPr>
              <w:pStyle w:val="TableContents"/>
              <w:spacing w:before="0" w:after="0"/>
              <w:jc w:val="left"/>
              <w:rPr>
                <w:rFonts w:ascii="Times New Roman" w:hAnsi="Times New Roman"/>
                <w:spacing w:val="0"/>
                <w:sz w:val="20"/>
              </w:rPr>
            </w:pPr>
            <w:r>
              <w:rPr>
                <w:rFonts w:ascii="Times New Roman" w:hAnsi="Times New Roman"/>
                <w:spacing w:val="0"/>
                <w:sz w:val="20"/>
              </w:rPr>
              <w:t>8-K</w:t>
            </w:r>
          </w:p>
          <w:p>
            <w:pPr>
              <w:pStyle w:val="TableContents"/>
              <w:spacing w:before="0" w:after="0"/>
              <w:jc w:val="left"/>
              <w:rPr/>
            </w:pPr>
            <w:r>
              <w:rPr>
                <w:rFonts w:ascii="Times New Roman" w:hAnsi="Times New Roman"/>
                <w:sz w:val="20"/>
              </w:rPr>
              <w:t xml:space="preserve">filed with the SEC on </w:t>
            </w:r>
            <w:hyperlink r:id="rId8">
              <w:r>
                <w:rPr>
                  <w:rStyle w:val="InternetLink"/>
                  <w:rFonts w:ascii="Times New Roman" w:hAnsi="Times New Roman"/>
                  <w:sz w:val="20"/>
                </w:rPr>
                <w:t>January 26, 2023</w:t>
              </w:r>
            </w:hyperlink>
            <w:r>
              <w:rPr>
                <w:rFonts w:ascii="Times New Roman" w:hAnsi="Times New Roman"/>
                <w:sz w:val="20"/>
              </w:rPr>
              <w:t xml:space="preserve"> and </w:t>
            </w:r>
            <w:hyperlink r:id="rId9">
              <w:r>
                <w:rPr>
                  <w:rStyle w:val="InternetLink"/>
                  <w:rFonts w:ascii="Times New Roman" w:hAnsi="Times New Roman"/>
                  <w:sz w:val="20"/>
                </w:rPr>
                <w:t>February 10, 2023</w:t>
              </w:r>
            </w:hyperlink>
            <w:r>
              <w:rPr>
                <w:rFonts w:ascii="Times New Roman" w:hAnsi="Times New Roman"/>
                <w:sz w:val="20"/>
              </w:rPr>
              <w:t xml:space="preserve">; and </w:t>
            </w:r>
          </w:p>
        </w:tc>
      </w:tr>
    </w:tbl>
    <w:p>
      <w:pPr>
        <w:pStyle w:val="TextBody"/>
        <w:spacing w:before="0" w:after="0"/>
        <w:jc w:val="left"/>
        <w:rPr>
          <w:highlight w:val="white"/>
        </w:rPr>
      </w:pPr>
      <w:r>
        <w:rPr>
          <w:highlight w:val="white"/>
        </w:rPr>
        <w:t> </w:t>
      </w:r>
    </w:p>
    <w:tbl>
      <w:tblPr>
        <w:tblW w:w="7870" w:type="dxa"/>
        <w:jc w:val="left"/>
        <w:tblInd w:w="0" w:type="dxa"/>
        <w:tblCellMar>
          <w:top w:w="0" w:type="dxa"/>
          <w:left w:w="0" w:type="dxa"/>
          <w:bottom w:w="0" w:type="dxa"/>
          <w:right w:w="0" w:type="dxa"/>
        </w:tblCellMar>
      </w:tblPr>
      <w:tblGrid>
        <w:gridCol w:w="75"/>
        <w:gridCol w:w="110"/>
        <w:gridCol w:w="60"/>
        <w:gridCol w:w="76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0"/>
              <w:jc w:val="left"/>
              <w:rPr/>
            </w:pPr>
            <w:r>
              <w:rPr>
                <w:rFonts w:ascii="Times New Roman" w:hAnsi="Times New Roman"/>
                <w:sz w:val="20"/>
              </w:rPr>
              <w:t xml:space="preserve">The description of our common stock contained in </w:t>
            </w:r>
            <w:hyperlink r:id="rId10">
              <w:r>
                <w:rPr>
                  <w:rStyle w:val="InternetLink"/>
                  <w:rFonts w:ascii="Times New Roman" w:hAnsi="Times New Roman"/>
                  <w:sz w:val="20"/>
                </w:rPr>
                <w:t>Exhibit 4.4</w:t>
              </w:r>
            </w:hyperlink>
            <w:r>
              <w:rPr>
                <w:rFonts w:ascii="Times New Roman" w:hAnsi="Times New Roman"/>
                <w:sz w:val="20"/>
              </w:rPr>
              <w:t xml:space="preserve"> of our Annual Report on Form </w:t>
            </w:r>
          </w:p>
          <w:p>
            <w:pPr>
              <w:pStyle w:val="TableContents"/>
              <w:spacing w:before="0" w:after="0"/>
              <w:jc w:val="left"/>
              <w:rPr>
                <w:rFonts w:ascii="Times New Roman" w:hAnsi="Times New Roman"/>
                <w:spacing w:val="0"/>
                <w:sz w:val="20"/>
              </w:rPr>
            </w:pPr>
            <w:r>
              <w:rPr>
                <w:rFonts w:ascii="Times New Roman" w:hAnsi="Times New Roman"/>
                <w:spacing w:val="0"/>
                <w:sz w:val="20"/>
              </w:rPr>
              <w:t>10-K</w:t>
            </w:r>
          </w:p>
          <w:p>
            <w:pPr>
              <w:pStyle w:val="TableContents"/>
              <w:spacing w:before="0" w:after="0"/>
              <w:jc w:val="left"/>
              <w:rPr>
                <w:rFonts w:ascii="Times New Roman" w:hAnsi="Times New Roman"/>
                <w:sz w:val="20"/>
              </w:rPr>
            </w:pPr>
            <w:r>
              <w:rPr>
                <w:rFonts w:ascii="Times New Roman" w:hAnsi="Times New Roman"/>
                <w:sz w:val="20"/>
              </w:rPr>
              <w:t xml:space="preserve">for the fiscal year ended September 30, 2019 (File </w:t>
            </w:r>
          </w:p>
          <w:p>
            <w:pPr>
              <w:pStyle w:val="TableContents"/>
              <w:spacing w:before="0" w:after="0"/>
              <w:jc w:val="left"/>
              <w:rPr>
                <w:rFonts w:ascii="Times New Roman" w:hAnsi="Times New Roman"/>
                <w:spacing w:val="0"/>
                <w:sz w:val="20"/>
              </w:rPr>
            </w:pPr>
            <w:r>
              <w:rPr>
                <w:rFonts w:ascii="Times New Roman" w:hAnsi="Times New Roman"/>
                <w:spacing w:val="0"/>
                <w:sz w:val="20"/>
              </w:rPr>
              <w:t>No. 814-00891),</w:t>
            </w:r>
          </w:p>
          <w:p>
            <w:pPr>
              <w:pStyle w:val="TableContents"/>
              <w:spacing w:before="0" w:after="0"/>
              <w:jc w:val="left"/>
              <w:rPr>
                <w:rFonts w:ascii="Times New Roman" w:hAnsi="Times New Roman"/>
                <w:sz w:val="20"/>
              </w:rPr>
            </w:pPr>
            <w:r>
              <w:rPr>
                <w:rFonts w:ascii="Times New Roman" w:hAnsi="Times New Roman"/>
                <w:sz w:val="20"/>
              </w:rPr>
              <w:t xml:space="preserve">as filed with the SEC on November 20, 2019. </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To obtain copies of these filings, see “Available Information.”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S-15 </w:t>
      </w:r>
    </w:p>
    <w:p>
      <w:pPr>
        <w:pStyle w:val="HorizontalLine"/>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AVAILABLE INFORMATION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file with or submit to the SEC annual, quarterly and current periodic reports, proxy statements and other information meeting the informational requirements of the Exchange Act. This information is available free of charge by calling us collect at (786)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297-9500</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or on our website at </w:t>
      </w:r>
    </w:p>
    <w:p>
      <w:pPr>
        <w:pStyle w:val="TextBody"/>
        <w:spacing w:before="240" w:after="0"/>
        <w:jc w:val="left"/>
        <w:rPr>
          <w:rFonts w:ascii="Times New Roman" w:hAnsi="Times New Roman"/>
          <w:i/>
          <w:caps w:val="false"/>
          <w:smallCaps w:val="false"/>
          <w:spacing w:val="0"/>
          <w:sz w:val="20"/>
          <w:highlight w:val="white"/>
          <w:u w:val="single"/>
        </w:rPr>
      </w:pPr>
      <w:r>
        <w:rPr>
          <w:rFonts w:ascii="Times New Roman" w:hAnsi="Times New Roman"/>
          <w:i/>
          <w:caps w:val="false"/>
          <w:smallCaps w:val="false"/>
          <w:spacing w:val="0"/>
          <w:sz w:val="20"/>
          <w:highlight w:val="white"/>
          <w:u w:val="single"/>
        </w:rPr>
        <w:t>www.pennantpark.com</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 Except for the documents incorporated by reference into this prospectus supplement and the accompanying prospectus, the 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p>
    <w:p>
      <w:pPr>
        <w:pStyle w:val="TextBody"/>
        <w:spacing w:before="240" w:after="0"/>
        <w:jc w:val="left"/>
        <w:rPr>
          <w:rFonts w:ascii="Times New Roman" w:hAnsi="Times New Roman"/>
          <w:spacing w:val="0"/>
          <w:sz w:val="20"/>
          <w:highlight w:val="white"/>
          <w:u w:val="single"/>
        </w:rPr>
      </w:pPr>
      <w:r>
        <w:rPr>
          <w:rFonts w:ascii="Times New Roman" w:hAnsi="Times New Roman"/>
          <w:spacing w:val="0"/>
          <w:sz w:val="20"/>
          <w:highlight w:val="white"/>
          <w:u w:val="single"/>
        </w:rPr>
        <w:t>www.sec.gov</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 </w:t>
      </w:r>
    </w:p>
    <w:p>
      <w:pPr>
        <w:pStyle w:val="TextBody"/>
        <w:spacing w:before="0" w:after="0"/>
        <w:jc w:val="left"/>
        <w:rPr>
          <w:highlight w:val="white"/>
        </w:rPr>
      </w:pPr>
      <w:r>
        <w:rPr>
          <w:highlight w:val="white"/>
        </w:rPr>
        <w:t> </w:t>
      </w:r>
    </w:p>
    <w:p>
      <w:pPr>
        <w:pStyle w:val="TextBody"/>
        <w:jc w:val="center"/>
        <w:rPr>
          <w:rFonts w:ascii="Times New Roman" w:hAnsi="Times New Roman"/>
          <w:sz w:val="20"/>
          <w:highlight w:val="white"/>
        </w:rPr>
      </w:pPr>
      <w:r>
        <w:rPr>
          <w:rFonts w:ascii="Times New Roman" w:hAnsi="Times New Roman"/>
          <w:sz w:val="20"/>
          <w:highlight w:val="white"/>
        </w:rPr>
        <w:t xml:space="preserve">S-16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PROSPECTUS </w:t>
      </w:r>
    </w:p>
    <w:p>
      <w:pPr>
        <w:pStyle w:val="TextBody"/>
        <w:spacing w:before="480" w:after="0"/>
        <w:jc w:val="center"/>
        <w:rPr>
          <w:rFonts w:ascii="Times New Roman" w:hAnsi="Times New Roman"/>
          <w:b/>
          <w:sz w:val="20"/>
        </w:rPr>
      </w:pPr>
      <w:r>
        <w:rPr>
          <w:rFonts w:ascii="Times New Roman" w:hAnsi="Times New Roman"/>
          <w:b/>
          <w:sz w:val="20"/>
        </w:rPr>
        <w:t xml:space="preserve">$500,000,000 </w:t>
      </w:r>
    </w:p>
    <w:p>
      <w:pPr>
        <w:pStyle w:val="TextBody"/>
        <w:spacing w:before="0" w:after="0"/>
        <w:jc w:val="left"/>
        <w:rPr/>
      </w:pPr>
      <w:r>
        <w:rPr/>
        <w:t> </w:t>
      </w:r>
    </w:p>
    <w:p>
      <w:pPr>
        <w:pStyle w:val="TextBody"/>
        <w:spacing w:before="0" w:after="0"/>
        <w:jc w:val="center"/>
        <w:rPr/>
      </w:pPr>
      <w:r>
        <w:rPr/>
        <w:drawing>
          <wp:inline distT="0" distB="0" distL="0" distR="0">
            <wp:extent cx="226695" cy="546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226695" cy="54610"/>
                    </a:xfrm>
                    <a:prstGeom prst="rect">
                      <a:avLst/>
                    </a:prstGeom>
                  </pic:spPr>
                </pic:pic>
              </a:graphicData>
            </a:graphic>
          </wp:inline>
        </w:drawing>
      </w:r>
      <w:r>
        <w:rPr/>
        <w:t xml:space="preserve"> </w:t>
      </w:r>
    </w:p>
    <w:p>
      <w:pPr>
        <w:pStyle w:val="TextBody"/>
        <w:spacing w:before="120" w:after="0"/>
        <w:jc w:val="center"/>
        <w:rPr>
          <w:rFonts w:ascii="Times New Roman" w:hAnsi="Times New Roman"/>
          <w:b/>
          <w:sz w:val="20"/>
        </w:rPr>
      </w:pPr>
      <w:r>
        <w:rPr>
          <w:rFonts w:ascii="Times New Roman" w:hAnsi="Times New Roman"/>
          <w:b/>
          <w:sz w:val="20"/>
        </w:rPr>
        <w:t xml:space="preserve">Common Stock </w:t>
      </w:r>
    </w:p>
    <w:p>
      <w:pPr>
        <w:pStyle w:val="TextBody"/>
        <w:spacing w:before="120" w:after="0"/>
        <w:jc w:val="center"/>
        <w:rPr>
          <w:rFonts w:ascii="Times New Roman" w:hAnsi="Times New Roman"/>
          <w:b/>
          <w:sz w:val="20"/>
        </w:rPr>
      </w:pPr>
      <w:r>
        <w:rPr>
          <w:rFonts w:ascii="Times New Roman" w:hAnsi="Times New Roman"/>
          <w:b/>
          <w:sz w:val="20"/>
        </w:rPr>
        <w:t xml:space="preserve">Preferred Stock </w:t>
      </w:r>
    </w:p>
    <w:p>
      <w:pPr>
        <w:pStyle w:val="TextBody"/>
        <w:spacing w:before="120" w:after="0"/>
        <w:jc w:val="center"/>
        <w:rPr>
          <w:rFonts w:ascii="Times New Roman" w:hAnsi="Times New Roman"/>
          <w:b/>
          <w:sz w:val="20"/>
        </w:rPr>
      </w:pPr>
      <w:r>
        <w:rPr>
          <w:rFonts w:ascii="Times New Roman" w:hAnsi="Times New Roman"/>
          <w:b/>
          <w:sz w:val="20"/>
        </w:rPr>
        <w:t xml:space="preserve">Warrants </w:t>
      </w:r>
    </w:p>
    <w:p>
      <w:pPr>
        <w:pStyle w:val="TextBody"/>
        <w:spacing w:before="120" w:after="0"/>
        <w:jc w:val="center"/>
        <w:rPr>
          <w:rFonts w:ascii="Times New Roman" w:hAnsi="Times New Roman"/>
          <w:b/>
          <w:sz w:val="20"/>
        </w:rPr>
      </w:pPr>
      <w:r>
        <w:rPr>
          <w:rFonts w:ascii="Times New Roman" w:hAnsi="Times New Roman"/>
          <w:b/>
          <w:sz w:val="20"/>
        </w:rPr>
        <w:t xml:space="preserve">Subscription Rights </w:t>
      </w:r>
    </w:p>
    <w:p>
      <w:pPr>
        <w:pStyle w:val="TextBody"/>
        <w:spacing w:before="120" w:after="0"/>
        <w:jc w:val="center"/>
        <w:rPr>
          <w:rFonts w:ascii="Times New Roman" w:hAnsi="Times New Roman"/>
          <w:b/>
          <w:sz w:val="20"/>
        </w:rPr>
      </w:pPr>
      <w:r>
        <w:rPr>
          <w:rFonts w:ascii="Times New Roman" w:hAnsi="Times New Roman"/>
          <w:b/>
          <w:sz w:val="20"/>
        </w:rPr>
        <w:t xml:space="preserve">Debt Securities </w:t>
      </w:r>
    </w:p>
    <w:p>
      <w:pPr>
        <w:pStyle w:val="TextBody"/>
        <w:spacing w:before="120" w:after="0"/>
        <w:jc w:val="left"/>
        <w:rPr>
          <w:rFonts w:ascii="Times New Roman" w:hAnsi="Times New Roman"/>
          <w:sz w:val="20"/>
        </w:rPr>
      </w:pPr>
      <w:r>
        <w:rPr>
          <w:rFonts w:ascii="Times New Roman" w:hAnsi="Times New Roman"/>
          <w:sz w:val="20"/>
        </w:rPr>
        <w:t xml:space="preserve">PennantPark Floating Rate Capital Ltd. is a closed-end, externally managed, non-diversified investment company that has elected to be treated as a business development company under the Investment Company Act of 1940, as amended. </w:t>
      </w:r>
    </w:p>
    <w:p>
      <w:pPr>
        <w:pStyle w:val="TextBody"/>
        <w:spacing w:before="120" w:after="0"/>
        <w:jc w:val="left"/>
        <w:rPr>
          <w:rFonts w:ascii="Times New Roman" w:hAnsi="Times New Roman"/>
          <w:sz w:val="20"/>
        </w:rPr>
      </w:pPr>
      <w:r>
        <w:rPr>
          <w:rFonts w:ascii="Times New Roman" w:hAnsi="Times New Roman"/>
          <w:sz w:val="20"/>
        </w:rPr>
        <w:t xml:space="preserve">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or the Secured Overnight Financing Rate, or SOFR, with or without a floor, plus a fixed spread. We can offer no assurances that we will achieve our investment objectives. </w:t>
      </w:r>
    </w:p>
    <w:p>
      <w:pPr>
        <w:pStyle w:val="TextBody"/>
        <w:spacing w:before="120" w:after="0"/>
        <w:jc w:val="left"/>
        <w:rPr>
          <w:rFonts w:ascii="Times New Roman" w:hAnsi="Times New Roman"/>
          <w:sz w:val="20"/>
        </w:rPr>
      </w:pPr>
      <w:r>
        <w:rPr>
          <w:rFonts w:ascii="Times New Roman" w:hAnsi="Times New Roman"/>
          <w:sz w:val="20"/>
        </w:rPr>
        <w:t xml:space="preserve">We are managed by PennantPark Investment Advisers, LLC. PennantPark Investment Administration, LLC provides the administrative services necessary for us to operate. </w:t>
      </w:r>
    </w:p>
    <w:p>
      <w:pPr>
        <w:pStyle w:val="TextBody"/>
        <w:spacing w:before="120" w:after="0"/>
        <w:jc w:val="left"/>
        <w:rPr/>
      </w:pPr>
      <w:r>
        <w:rPr>
          <w:rFonts w:ascii="Times New Roman" w:hAnsi="Times New Roman"/>
          <w:sz w:val="20"/>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toc478714_4">
        <w:r>
          <w:rPr>
            <w:rStyle w:val="InternetLink"/>
            <w:rFonts w:ascii="Times New Roman" w:hAnsi="Times New Roman"/>
            <w:sz w:val="20"/>
            <w:u w:val="single"/>
          </w:rPr>
          <w:t>Risk Factors</w:t>
        </w:r>
      </w:hyperlink>
      <w:r>
        <w:rPr>
          <w:rFonts w:ascii="Times New Roman" w:hAnsi="Times New Roman"/>
          <w:sz w:val="20"/>
        </w:rPr>
        <w:t>” on page 10 and “</w:t>
      </w:r>
      <w:hyperlink w:anchor="toc478714_9">
        <w:r>
          <w:rPr>
            <w:rStyle w:val="InternetLink"/>
            <w:rFonts w:ascii="Times New Roman" w:hAnsi="Times New Roman"/>
            <w:sz w:val="20"/>
            <w:u w:val="single"/>
          </w:rPr>
          <w:t>Sales of Common Stock Below Net Asset Value</w:t>
        </w:r>
      </w:hyperlink>
      <w:r>
        <w:rPr>
          <w:rFonts w:ascii="Times New Roman" w:hAnsi="Times New Roman"/>
          <w:sz w:val="20"/>
        </w:rPr>
        <w:t xml:space="preserve">” on page 12 of this prospectus for more information. </w:t>
      </w:r>
    </w:p>
    <w:p>
      <w:pPr>
        <w:pStyle w:val="TextBody"/>
        <w:spacing w:before="120" w:after="0"/>
        <w:jc w:val="left"/>
        <w:rPr>
          <w:rFonts w:ascii="Times New Roman" w:hAnsi="Times New Roman"/>
          <w:sz w:val="20"/>
        </w:rPr>
      </w:pPr>
      <w:r>
        <w:rPr>
          <w:rFonts w:ascii="Times New Roman" w:hAnsi="Times New Roman"/>
          <w:sz w:val="20"/>
        </w:rPr>
        <w:t xml:space="preserve">Our common stock is traded on The New York Stock Exchange and the Tel Aviv Stock Exchange, or TASE, under the symbol “PFLT.” Prior to April 14, 2022, our common stock was traded on The Nasdaq Global Select Market under the same symbol. The last reported closing price for our common stock on September 30, 2022 was $9.60 per share, and our NAV on September 30, 2022 was $11.62 per share. </w:t>
      </w:r>
    </w:p>
    <w:p>
      <w:pPr>
        <w:pStyle w:val="TextBody"/>
        <w:spacing w:before="120" w:after="0"/>
        <w:jc w:val="left"/>
        <w:rPr>
          <w:rFonts w:ascii="Times New Roman" w:hAnsi="Times New Roman"/>
          <w:sz w:val="20"/>
        </w:rPr>
      </w:pPr>
      <w:r>
        <w:rPr>
          <w:rFonts w:ascii="Times New Roman" w:hAnsi="Times New Roman"/>
          <w:sz w:val="20"/>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Florida 33139, by calling us collect at (212) 905-1000 or by visiting our website at </w:t>
      </w:r>
      <w:r>
        <w:rPr>
          <w:rFonts w:ascii="Times New Roman" w:hAnsi="Times New Roman"/>
          <w:i/>
          <w:sz w:val="20"/>
          <w:u w:val="single"/>
        </w:rPr>
        <w:t>www.pennantpark.com</w:t>
      </w:r>
      <w:r>
        <w:rPr>
          <w:rFonts w:ascii="Times New Roman" w:hAnsi="Times New Roman"/>
          <w:i/>
          <w:sz w:val="20"/>
        </w:rPr>
        <w:t>.</w:t>
      </w:r>
      <w:r>
        <w:rPr>
          <w:rFonts w:ascii="Times New Roman" w:hAnsi="Times New Roman"/>
          <w:sz w:val="20"/>
        </w:rPr>
        <w:t xml:space="preserve"> The information on our website is not incorporated by reference into this prospectus. The SEC also maintains a website at </w:t>
      </w:r>
      <w:r>
        <w:rPr>
          <w:rFonts w:ascii="Times New Roman" w:hAnsi="Times New Roman"/>
          <w:i/>
          <w:sz w:val="20"/>
          <w:u w:val="single"/>
        </w:rPr>
        <w:t>www.sec.gov</w:t>
      </w:r>
      <w:r>
        <w:rPr>
          <w:rFonts w:ascii="Times New Roman" w:hAnsi="Times New Roman"/>
          <w:sz w:val="20"/>
        </w:rPr>
        <w:t xml:space="preserve"> that contains such information free of charge. </w:t>
      </w:r>
    </w:p>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120" w:after="0"/>
        <w:jc w:val="left"/>
        <w:rPr/>
      </w:pPr>
      <w:r>
        <w:rPr>
          <w:rFonts w:ascii="Times New Roman" w:hAnsi="Times New Roman"/>
          <w:b/>
          <w:sz w:val="20"/>
        </w:rPr>
        <w:t>Investing in our securities involves a high degree of risk, including the risk of the use of leverage. Before buying any of our securities, you should read the discussion of the material risks of investing in us in “</w:t>
      </w:r>
      <w:hyperlink w:anchor="toc478714_4">
        <w:r>
          <w:rPr>
            <w:rStyle w:val="InternetLink"/>
            <w:rFonts w:ascii="Times New Roman" w:hAnsi="Times New Roman"/>
            <w:b/>
            <w:sz w:val="20"/>
            <w:u w:val="single"/>
          </w:rPr>
          <w:t>Risk Factors</w:t>
        </w:r>
      </w:hyperlink>
      <w:r>
        <w:rPr>
          <w:rFonts w:ascii="Times New Roman" w:hAnsi="Times New Roman"/>
          <w:b/>
          <w:sz w:val="20"/>
        </w:rPr>
        <w:t xml:space="preserve">” beginning on page 10 of this prospectus. </w:t>
      </w:r>
    </w:p>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12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is truthful or complete.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120" w:after="0"/>
        <w:jc w:val="left"/>
        <w:rPr>
          <w:rFonts w:ascii="Times New Roman" w:hAnsi="Times New Roman"/>
          <w:b/>
          <w:sz w:val="20"/>
        </w:rPr>
      </w:pPr>
      <w:r>
        <w:rPr>
          <w:rFonts w:ascii="Times New Roman" w:hAnsi="Times New Roman"/>
          <w:b/>
          <w:sz w:val="20"/>
        </w:rPr>
        <w:t xml:space="preserve">This prospectus may not be used to consummate sales of securities unless accompanied by a prospectus supplement. </w:t>
      </w:r>
    </w:p>
    <w:p>
      <w:pPr>
        <w:pStyle w:val="TextBody"/>
        <w:spacing w:before="120" w:after="0"/>
        <w:jc w:val="center"/>
        <w:rPr>
          <w:rFonts w:ascii="Times New Roman" w:hAnsi="Times New Roman"/>
          <w:b/>
          <w:sz w:val="20"/>
        </w:rPr>
      </w:pPr>
      <w:r>
        <w:rPr>
          <w:rFonts w:ascii="Times New Roman" w:hAnsi="Times New Roman"/>
          <w:b/>
          <w:sz w:val="20"/>
        </w:rPr>
        <w:t xml:space="preserve">Prospectus dated January 9, 2023 </w:t>
      </w:r>
    </w:p>
    <w:p>
      <w:pPr>
        <w:pStyle w:val="TextBody"/>
        <w:spacing w:before="0" w:after="0"/>
        <w:jc w:val="left"/>
        <w:rPr/>
      </w:pPr>
      <w:r>
        <w:rPr/>
        <w:t>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 </w:t>
      </w:r>
    </w:p>
    <w:p>
      <w:pPr>
        <w:pStyle w:val="TextBody"/>
        <w:spacing w:before="480" w:after="0"/>
        <w:jc w:val="center"/>
        <w:rPr>
          <w:rFonts w:ascii="Times New Roman" w:hAnsi="Times New Roman"/>
          <w:b/>
          <w:sz w:val="20"/>
        </w:rPr>
      </w:pPr>
      <w:bookmarkStart w:id="2" w:name="index"/>
      <w:bookmarkEnd w:id="2"/>
      <w:r>
        <w:rPr>
          <w:rFonts w:ascii="Times New Roman" w:hAnsi="Times New Roman"/>
          <w:b/>
          <w:sz w:val="20"/>
        </w:rPr>
        <w:t xml:space="preserve">TABLE OF CONTENTS </w:t>
      </w:r>
    </w:p>
    <w:p>
      <w:pPr>
        <w:pStyle w:val="TextBody"/>
        <w:spacing w:before="0" w:after="0"/>
        <w:jc w:val="left"/>
        <w:rPr/>
      </w:pPr>
      <w:r>
        <w:rPr/>
        <w:t> </w:t>
      </w:r>
    </w:p>
    <w:tbl>
      <w:tblPr>
        <w:tblW w:w="7075" w:type="dxa"/>
        <w:jc w:val="left"/>
        <w:tblInd w:w="0" w:type="dxa"/>
        <w:tblCellMar>
          <w:top w:w="0" w:type="dxa"/>
          <w:left w:w="0" w:type="dxa"/>
          <w:bottom w:w="0" w:type="dxa"/>
          <w:right w:w="0" w:type="dxa"/>
        </w:tblCellMar>
      </w:tblPr>
      <w:tblGrid>
        <w:gridCol w:w="6365"/>
        <w:gridCol w:w="120"/>
        <w:gridCol w:w="96"/>
        <w:gridCol w:w="419"/>
        <w:gridCol w:w="75"/>
      </w:tblGrid>
      <w:tr>
        <w:trPr/>
        <w:tc>
          <w:tcPr>
            <w:tcW w:w="63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3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Page</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
              <w:r>
                <w:rPr>
                  <w:rStyle w:val="InternetLink"/>
                  <w:rFonts w:ascii="Times New Roman" w:hAnsi="Times New Roman"/>
                  <w:sz w:val="20"/>
                </w:rPr>
                <w:t>PROSPECTUS SUMMARY</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
              <w:r>
                <w:rPr>
                  <w:rStyle w:val="InternetLink"/>
                  <w:rFonts w:ascii="Times New Roman" w:hAnsi="Times New Roman"/>
                  <w:sz w:val="20"/>
                </w:rPr>
                <w:t>FEES AND EXPENSES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3">
              <w:r>
                <w:rPr>
                  <w:rStyle w:val="InternetLink"/>
                  <w:rFonts w:ascii="Times New Roman" w:hAnsi="Times New Roman"/>
                  <w:sz w:val="20"/>
                </w:rPr>
                <w:t>FINANCIAL HIGHLIGHTS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4">
              <w:r>
                <w:rPr>
                  <w:rStyle w:val="InternetLink"/>
                  <w:rFonts w:ascii="Times New Roman" w:hAnsi="Times New Roman"/>
                  <w:sz w:val="20"/>
                </w:rPr>
                <w:t>RISK FACTORS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5">
              <w:r>
                <w:rPr>
                  <w:rStyle w:val="InternetLink"/>
                  <w:rFonts w:ascii="Times New Roman" w:hAnsi="Times New Roman"/>
                  <w:sz w:val="20"/>
                </w:rPr>
                <w:t>FORWARD-LOOKING STATEMENTS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6">
              <w:r>
                <w:rPr>
                  <w:rStyle w:val="InternetLink"/>
                  <w:rFonts w:ascii="Times New Roman" w:hAnsi="Times New Roman"/>
                  <w:sz w:val="20"/>
                </w:rPr>
                <w:t>USE OF PROCEEDS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7">
              <w:r>
                <w:rPr>
                  <w:rStyle w:val="InternetLink"/>
                  <w:rFonts w:ascii="Times New Roman" w:hAnsi="Times New Roman"/>
                  <w:sz w:val="20"/>
                </w:rPr>
                <w:t>SENIOR SECURITIES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8">
              <w:r>
                <w:rPr>
                  <w:rStyle w:val="InternetLink"/>
                  <w:rFonts w:ascii="Times New Roman" w:hAnsi="Times New Roman"/>
                  <w:sz w:val="20"/>
                </w:rPr>
                <w:t>PRICE RANGE OF COMMON STOCK</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9">
              <w:r>
                <w:rPr>
                  <w:rStyle w:val="InternetLink"/>
                  <w:rFonts w:ascii="Times New Roman" w:hAnsi="Times New Roman"/>
                  <w:sz w:val="20"/>
                </w:rPr>
                <w:t>SALES OF COMMON STOCK BELOW NET ASSET VALUE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0">
              <w:r>
                <w:rPr>
                  <w:rStyle w:val="InternetLink"/>
                  <w:rFonts w:ascii="Times New Roman" w:hAnsi="Times New Roman"/>
                  <w:sz w:val="20"/>
                </w:rPr>
                <w:t>DISTRIBUTIONS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1">
              <w:r>
                <w:rPr>
                  <w:rStyle w:val="InternetLink"/>
                  <w:rFonts w:ascii="Times New Roman" w:hAnsi="Times New Roman"/>
                  <w:sz w:val="20"/>
                </w:rPr>
                <w:t>PORTFOLIO COMPANIES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19</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2">
              <w:r>
                <w:rPr>
                  <w:rStyle w:val="InternetLink"/>
                  <w:rFonts w:ascii="Times New Roman" w:hAnsi="Times New Roman"/>
                  <w:sz w:val="20"/>
                </w:rPr>
                <w:t>PORTFOLIO MANAGEMENT</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31</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3">
              <w:r>
                <w:rPr>
                  <w:rStyle w:val="InternetLink"/>
                  <w:rFonts w:ascii="Times New Roman" w:hAnsi="Times New Roman"/>
                  <w:sz w:val="20"/>
                </w:rPr>
                <w:t>DETERMINATION OF NET ASSET VALUE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34</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5">
              <w:r>
                <w:rPr>
                  <w:rStyle w:val="InternetLink"/>
                  <w:rFonts w:ascii="Times New Roman" w:hAnsi="Times New Roman"/>
                  <w:sz w:val="20"/>
                </w:rPr>
                <w:t>DESCRIPTION OF OUR CAPITAL STOCK</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37</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6">
              <w:r>
                <w:rPr>
                  <w:rStyle w:val="InternetLink"/>
                  <w:rFonts w:ascii="Times New Roman" w:hAnsi="Times New Roman"/>
                  <w:sz w:val="20"/>
                </w:rPr>
                <w:t>DESCRIPTION OF OUR PREFERRED STOCK</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43</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7">
              <w:r>
                <w:rPr>
                  <w:rStyle w:val="InternetLink"/>
                  <w:rFonts w:ascii="Times New Roman" w:hAnsi="Times New Roman"/>
                  <w:sz w:val="20"/>
                </w:rPr>
                <w:t>DESCRIPTION OF OUR WARRANTS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44</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8">
              <w:r>
                <w:rPr>
                  <w:rStyle w:val="InternetLink"/>
                  <w:rFonts w:ascii="Times New Roman" w:hAnsi="Times New Roman"/>
                  <w:sz w:val="20"/>
                </w:rPr>
                <w:t>DESCRIPTION OF OUR SUBSCRIPTION RIGHTS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19">
              <w:r>
                <w:rPr>
                  <w:rStyle w:val="InternetLink"/>
                  <w:rFonts w:ascii="Times New Roman" w:hAnsi="Times New Roman"/>
                  <w:sz w:val="20"/>
                </w:rPr>
                <w:t>DESCRIPTION OF OUR DEBT SECURITIES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47</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0">
              <w:r>
                <w:rPr>
                  <w:rStyle w:val="InternetLink"/>
                  <w:rFonts w:ascii="Times New Roman" w:hAnsi="Times New Roman"/>
                  <w:sz w:val="20"/>
                </w:rPr>
                <w:t>BROKERAGE ALLOCATIONS AND OTHER PRACTICES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60</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1">
              <w:r>
                <w:rPr>
                  <w:rStyle w:val="InternetLink"/>
                  <w:rFonts w:ascii="Times New Roman" w:hAnsi="Times New Roman"/>
                  <w:sz w:val="20"/>
                </w:rPr>
                <w:t>MATERIAL U.S. FEDERAL INCOME TAX CONSIDERATIONS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2">
              <w:r>
                <w:rPr>
                  <w:rStyle w:val="InternetLink"/>
                  <w:rFonts w:ascii="Times New Roman" w:hAnsi="Times New Roman"/>
                  <w:sz w:val="20"/>
                </w:rPr>
                <w:t>PLAN OF DISTRIBUTION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72</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3">
              <w:r>
                <w:rPr>
                  <w:rStyle w:val="InternetLink"/>
                  <w:rFonts w:ascii="Times New Roman" w:hAnsi="Times New Roman"/>
                  <w:sz w:val="20"/>
                </w:rPr>
                <w:t>SUB-ADMINISTRATOR, CUSTODIAN, TRANSFER AGENT AND TRUSTEE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4">
              <w:r>
                <w:rPr>
                  <w:rStyle w:val="InternetLink"/>
                  <w:rFonts w:ascii="Times New Roman" w:hAnsi="Times New Roman"/>
                  <w:sz w:val="20"/>
                </w:rPr>
                <w:t>LEGAL MATTERS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5">
              <w:r>
                <w:rPr>
                  <w:rStyle w:val="InternetLink"/>
                  <w:rFonts w:ascii="Times New Roman" w:hAnsi="Times New Roman"/>
                  <w:sz w:val="20"/>
                </w:rPr>
                <w:t>INDEPENDENT REGISTERED PUBLIC ACCOUNTING FIRM</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6">
              <w:r>
                <w:rPr>
                  <w:rStyle w:val="InternetLink"/>
                  <w:rFonts w:ascii="Times New Roman" w:hAnsi="Times New Roman"/>
                  <w:sz w:val="20"/>
                </w:rPr>
                <w:t>INDEPENDENT AUDITORS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7">
              <w:r>
                <w:rPr>
                  <w:rStyle w:val="InternetLink"/>
                  <w:rFonts w:ascii="Times New Roman" w:hAnsi="Times New Roman"/>
                  <w:sz w:val="20"/>
                </w:rPr>
                <w:t>INCORPORATION BY REFERENCE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75</w:t>
            </w:r>
          </w:p>
        </w:tc>
        <w:tc>
          <w:tcPr>
            <w:tcW w:w="75" w:type="dxa"/>
            <w:tcBorders/>
            <w:shd w:fill="auto" w:val="clear"/>
            <w:vAlign w:val="center"/>
          </w:tcPr>
          <w:p>
            <w:pPr>
              <w:pStyle w:val="TableContents"/>
              <w:spacing w:before="0" w:after="283"/>
              <w:rPr/>
            </w:pPr>
            <w:r>
              <w:rPr/>
              <w:t> </w:t>
            </w:r>
          </w:p>
        </w:tc>
      </w:tr>
      <w:tr>
        <w:trPr/>
        <w:tc>
          <w:tcPr>
            <w:tcW w:w="6365" w:type="dxa"/>
            <w:tcBorders/>
            <w:shd w:fill="auto" w:val="clear"/>
            <w:vAlign w:val="center"/>
          </w:tcPr>
          <w:p>
            <w:pPr>
              <w:pStyle w:val="TableContents"/>
              <w:spacing w:before="0" w:after="0"/>
              <w:rPr/>
            </w:pPr>
            <w:hyperlink w:anchor="toc478714_28">
              <w:r>
                <w:rPr>
                  <w:rStyle w:val="InternetLink"/>
                  <w:rFonts w:ascii="Times New Roman" w:hAnsi="Times New Roman"/>
                  <w:sz w:val="20"/>
                </w:rPr>
                <w:t>AVAILABLE INFORMATION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76</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rPr/>
      </w:pPr>
      <w:r>
        <w:rPr/>
      </w:r>
    </w:p>
    <w:p>
      <w:pPr>
        <w:pStyle w:val="TextBody"/>
        <w:spacing w:before="0" w:after="0"/>
        <w:ind w:left="0" w:right="0" w:hanging="0"/>
        <w:jc w:val="center"/>
        <w:rPr>
          <w:rFonts w:ascii="Times New Roman" w:hAnsi="Times New Roman"/>
          <w:b/>
          <w:sz w:val="20"/>
          <w:bdr w:val="single" w:sz="8" w:space="1" w:color="000000"/>
        </w:rPr>
      </w:pPr>
      <w:bookmarkStart w:id="3" w:name="toc478714_1"/>
      <w:bookmarkEnd w:id="3"/>
      <w:r>
        <w:rPr>
          <w:rFonts w:ascii="Times New Roman" w:hAnsi="Times New Roman"/>
          <w:b/>
          <w:sz w:val="20"/>
          <w:bdr w:val="single" w:sz="8" w:space="1" w:color="000000"/>
        </w:rPr>
        <w:t xml:space="preserve">PROSPECTUS SUMMARY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4.3% Series A notes due 2023; “2026 Notes” refers to our 4.25% Notes due 2026; “Code” refers to the Internal Revenue Code of 1986, as amended; “RIC” refers to a regulated investment company under the Code; “1940 Act” refers to the Investment Company Act of 1940, as amended; “BDC” refers to a business development company under the 1940 Act; “Prior Credit Facility” refers to our multi-currency senior secured revolving credit facility, as amended and restated with Truist Bank (formerly SunTrust Bank) and other lenders, originally entered into on June 23, 2011 and terminated on August 12, 2021;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General Business of PennantPark Floating Rate Capital Ltd.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PennantPark Floating Rate Capital Ltd. is a BDC whose objectives are to generate both current income and capital appreciation while seeking to preserve capital by investing primarily in Floating Rate Loans, and other investments made to U.S. middle-market companies.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investments may generally range in maturity from three to ten years and are made to U.S. and, to a limited extent, non-U.S. corporations, partnerships and other business entities which operate in various industries and geographical regions.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Organization and Structure of PennantPark Floating Rate Capital Ltd.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Funding I, our wholly owned subsidiary and a special purpose entity, was organized in Delaware as a limited liability company in May 2011. We formed Funding I in order to establish the Prior Credit Facility. On August 12, 2021, we terminated the Prior Credit Facility, and Funding I, as borrower, entered into the Credit Facility, which provides the ability for Funding I to borrow up to $366 million (increased from $300 million in September 2022). The Credit Facility is secured by all of the assets of Funding I.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April 2019, our wholly owned subsidiary, the Securitization Issuer, was incorporated in the Cayman Islands as an exempted company with limited liability. We formed the Securitization Issuer in order to complete the Debt Securitization.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Investment Adviser and Administrator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rPr/>
      </w:pPr>
      <w:r>
        <w:rPr/>
      </w:r>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$17.1 billion in 628 companies with more than 200 different financial sponsors through its managed funds, which includes investments by the Company totaling $5.0 billion in 451 companies.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Market Opportunity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the limited amount of capital available to middle-market companies, coupled with the desire of these companies for flexible sources of capital, creates an attractive investment environment for us. </w:t>
      </w:r>
    </w:p>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We believe middle-market companies have faced difficulty raising debt in private markets.</w:t>
            </w:r>
            <w:r>
              <w:rPr>
                <w:rFonts w:ascii="Times New Roman" w:hAnsi="Times New Roman"/>
                <w:sz w:val="20"/>
              </w:rPr>
              <w:t xml:space="preserve"> From time to time, banks, finance companies, hedge funds and collateralized loan obligation, or CLO, funds have withdrawn, and may again withdraw, capital from the middle-market, resulting in opportunities for alternative funding sources.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We believe middle-market companies have faced difficulty in raising debt through the capital markets.</w:t>
            </w:r>
            <w:r>
              <w:rPr>
                <w:rFonts w:ascii="Times New Roman" w:hAnsi="Times New Roman"/>
                <w:sz w:val="20"/>
              </w:rPr>
              <w:t xml:space="preserve"> Many middle-market 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We believe that credit market dislocation for middle-market companies improves the risk-reward on our investments.</w:t>
            </w:r>
            <w:r>
              <w:rPr>
                <w:rFonts w:ascii="Times New Roman" w:hAnsi="Times New Roman"/>
                <w:sz w:val="20"/>
              </w:rPr>
              <w:t xml:space="preserve"> From time to time, market participants have reduced lending to middle-market and non-investment grade borrowers. As a result, we believe there is less competition in our market, more conservative capital structures, higher yields and stronger covenants.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We believe there is a large pool of uninvested private equity capital likely to seek to combine their capital with sources of debt capital to complete private investments.</w:t>
            </w:r>
            <w:r>
              <w:rPr>
                <w:rFonts w:ascii="Times New Roman" w:hAnsi="Times New Roman"/>
                <w:sz w:val="20"/>
              </w:rPr>
              <w:t xml:space="preserve"> 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 </w:t>
            </w:r>
          </w:p>
        </w:tc>
      </w:tr>
    </w:tbl>
    <w:p>
      <w:pPr>
        <w:pStyle w:val="TextBody"/>
        <w:spacing w:before="0" w:after="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We believe there is substantial supply of opportunities resulting from maturing loans that seek refinancing.</w:t>
            </w:r>
            <w:r>
              <w:rPr>
                <w:rFonts w:ascii="Times New Roman" w:hAnsi="Times New Roman"/>
                <w:sz w:val="20"/>
              </w:rPr>
              <w:t xml:space="preserve"> A high volume of 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rPr/>
      </w:pPr>
      <w:r>
        <w:rPr/>
      </w:r>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Use of Proceeds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Distributions on Common Stock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continue our monthly distributions to our stockholders. Our monthly distributions, if any, are determined by our board of directors. Distributions may include a return of capital. See “Distributions” for more information.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Dividends on Preferred Stock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Plan of Distribution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from time to time, up to $500,000,000 of our securities, on terms to be determined at the time of each such offering and set forth in a supplement to this prospectus.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not sell securities pursuant to this prospectus without delivering a prospectus supplement describing the terms of the particular securities to be offered and the method of the offering of such securities. See “Plan of Distribution” for more information.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rPr/>
      </w:pPr>
      <w:r>
        <w:rPr/>
      </w:r>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administrative and principal executive offices are located at 1691 Michigan Avenue, Miami, Florida 33139. Our phone number is (212) 905-1000, and our internet website address is </w:t>
      </w:r>
      <w:r>
        <w:rPr>
          <w:rFonts w:ascii="Times New Roman" w:hAnsi="Times New Roman"/>
          <w:i/>
          <w:sz w:val="20"/>
          <w:u w:val="single"/>
          <w:bdr w:val="single" w:sz="8" w:space="1" w:color="000000"/>
        </w:rPr>
        <w:t>www.pennantpark.com</w:t>
      </w:r>
      <w:r>
        <w:rPr>
          <w:rFonts w:ascii="Times New Roman" w:hAnsi="Times New Roman"/>
          <w:sz w:val="20"/>
          <w:bdr w:val="single" w:sz="8" w:space="1" w:color="000000"/>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rPr/>
      </w:pPr>
      <w:r>
        <w:rPr/>
      </w:r>
    </w:p>
    <w:p>
      <w:pPr>
        <w:pStyle w:val="TextBody"/>
        <w:spacing w:before="0" w:after="0"/>
        <w:jc w:val="center"/>
        <w:rPr>
          <w:rFonts w:ascii="Times New Roman" w:hAnsi="Times New Roman"/>
          <w:b/>
          <w:sz w:val="20"/>
        </w:rPr>
      </w:pPr>
      <w:bookmarkStart w:id="4" w:name="toc478714_2"/>
      <w:bookmarkEnd w:id="4"/>
      <w:r>
        <w:rPr>
          <w:rFonts w:ascii="Times New Roman" w:hAnsi="Times New Roman"/>
          <w:b/>
          <w:sz w:val="20"/>
        </w:rPr>
        <w:t xml:space="preserve">FEES AND EXPENSES </w:t>
      </w:r>
    </w:p>
    <w:p>
      <w:pPr>
        <w:pStyle w:val="TextBody"/>
        <w:spacing w:before="240" w:after="0"/>
        <w:jc w:val="left"/>
        <w:rPr>
          <w:rFonts w:ascii="Times New Roman" w:hAnsi="Times New Roman"/>
          <w:sz w:val="20"/>
        </w:rPr>
      </w:pPr>
      <w:r>
        <w:rPr>
          <w:rFonts w:ascii="Times New Roman" w:hAnsi="Times New Roman"/>
          <w:sz w:val="20"/>
        </w:rPr>
        <w:t xml:space="preserve">Information about the various costs and expenses that an investor in shares of our common stock will bear directly or indirectly is located in “Part II, Item 5 – Market for Registrant’s Common Equity, Related Stockholder Matters and Issuer Purchases of Equity Securities – Fees and Expenses” in our most recent Annual Report on Form 10-K and is incorporated by reference into the registration statement of which this prospectus is a part.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rPr/>
      </w:pPr>
      <w:r>
        <w:rPr/>
      </w:r>
    </w:p>
    <w:p>
      <w:pPr>
        <w:pStyle w:val="TextBody"/>
        <w:spacing w:before="0" w:after="0"/>
        <w:jc w:val="center"/>
        <w:rPr>
          <w:rFonts w:ascii="Times New Roman" w:hAnsi="Times New Roman"/>
          <w:b/>
          <w:sz w:val="20"/>
        </w:rPr>
      </w:pPr>
      <w:bookmarkStart w:id="5" w:name="toc478714_3"/>
      <w:bookmarkEnd w:id="5"/>
      <w:r>
        <w:rPr>
          <w:rFonts w:ascii="Times New Roman" w:hAnsi="Times New Roman"/>
          <w:b/>
          <w:sz w:val="20"/>
        </w:rPr>
        <w:t xml:space="preserve">FINANCIAL HIGHLIGHTS </w:t>
      </w:r>
    </w:p>
    <w:p>
      <w:pPr>
        <w:pStyle w:val="TextBody"/>
        <w:spacing w:before="240" w:after="0"/>
        <w:jc w:val="left"/>
        <w:rPr>
          <w:rFonts w:ascii="Times New Roman" w:hAnsi="Times New Roman"/>
          <w:sz w:val="20"/>
        </w:rPr>
      </w:pPr>
      <w:r>
        <w:rPr>
          <w:rFonts w:ascii="Times New Roman" w:hAnsi="Times New Roman"/>
          <w:sz w:val="20"/>
        </w:rPr>
        <w:t xml:space="preserve">The financial data set forth in the following table as of and for the years ended September 30, 2022, 2021, 2020, 2019, 2018, 2017, 2016, 2015, 2014 and 2013 are derived from our consolidated financial statements, which have been audited by an independent registered public accounting firm for those periods. This financial data should be read in conjunction with our Consolidated Financial Statements and related notes thereto and “Management’s Discussion and Analysis of Financial Condition and Results of Operations” included in our most recent Annual Report on Form 10-K. </w:t>
      </w:r>
    </w:p>
    <w:p>
      <w:pPr>
        <w:pStyle w:val="TextBody"/>
        <w:spacing w:before="0" w:after="0"/>
        <w:jc w:val="left"/>
        <w:rPr/>
      </w:pPr>
      <w:r>
        <w:rPr/>
        <w:t> </w:t>
      </w:r>
    </w:p>
    <w:tbl>
      <w:tblPr>
        <w:tblW w:w="16685" w:type="dxa"/>
        <w:jc w:val="left"/>
        <w:tblInd w:w="0" w:type="dxa"/>
        <w:tblCellMar>
          <w:top w:w="0" w:type="dxa"/>
          <w:left w:w="0" w:type="dxa"/>
          <w:bottom w:w="0" w:type="dxa"/>
          <w:right w:w="0" w:type="dxa"/>
        </w:tblCellMar>
      </w:tblPr>
      <w:tblGrid>
        <w:gridCol w:w="920"/>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90"/>
      </w:tblGrid>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9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2013 (7)</w:t>
            </w:r>
          </w:p>
        </w:tc>
        <w:tc>
          <w:tcPr>
            <w:tcW w:w="290" w:type="dxa"/>
            <w:tcBorders/>
            <w:shd w:fill="auto" w:val="clear"/>
            <w:vAlign w:val="center"/>
          </w:tcPr>
          <w:p>
            <w:pPr>
              <w:pStyle w:val="TableContents"/>
              <w:spacing w:before="0" w:after="283"/>
              <w:rPr/>
            </w:pPr>
            <w:r>
              <w:rPr/>
              <w:t> </w:t>
            </w:r>
          </w:p>
        </w:tc>
      </w:tr>
      <w:tr>
        <w:trPr/>
        <w:tc>
          <w:tcPr>
            <w:tcW w:w="920" w:type="dxa"/>
            <w:tcBorders/>
            <w:shd w:fill="CCEEFF" w:val="clear"/>
            <w:vAlign w:val="center"/>
          </w:tcPr>
          <w:p>
            <w:pPr>
              <w:pStyle w:val="TableContents"/>
              <w:spacing w:before="0" w:after="0"/>
              <w:rPr>
                <w:rFonts w:ascii="Times New Roman" w:hAnsi="Times New Roman"/>
                <w:b/>
                <w:sz w:val="17"/>
              </w:rPr>
            </w:pPr>
            <w:r>
              <w:rPr>
                <w:rFonts w:ascii="Times New Roman" w:hAnsi="Times New Roman"/>
                <w:b/>
                <w:sz w:val="17"/>
              </w:rPr>
              <w:t>Per Share Data:</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920" w:type="dxa"/>
            <w:tcBorders/>
            <w:shd w:fill="auto" w:val="clear"/>
            <w:vAlign w:val="center"/>
          </w:tcPr>
          <w:p>
            <w:pPr>
              <w:pStyle w:val="TableContents"/>
              <w:spacing w:before="0" w:after="0"/>
              <w:rPr>
                <w:rFonts w:ascii="Times New Roman" w:hAnsi="Times New Roman"/>
                <w:sz w:val="17"/>
              </w:rPr>
            </w:pPr>
            <w:r>
              <w:rPr>
                <w:rFonts w:ascii="Times New Roman" w:hAnsi="Times New Roman"/>
                <w:sz w:val="17"/>
              </w:rPr>
              <w:t>Net asset value, beginning of period</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12.62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12.31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12.97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13.82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14.10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14.06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13.95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14.40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14.10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13.98</w:t>
            </w:r>
          </w:p>
        </w:tc>
        <w:tc>
          <w:tcPr>
            <w:tcW w:w="290" w:type="dxa"/>
            <w:tcBorders/>
            <w:shd w:fill="auto" w:val="clear"/>
            <w:vAlign w:val="center"/>
          </w:tcPr>
          <w:p>
            <w:pPr>
              <w:pStyle w:val="TableContents"/>
              <w:spacing w:before="0" w:after="283"/>
              <w:rPr/>
            </w:pPr>
            <w:r>
              <w:rPr/>
              <w:t> </w:t>
            </w:r>
          </w:p>
        </w:tc>
      </w:tr>
      <w:tr>
        <w:trPr/>
        <w:tc>
          <w:tcPr>
            <w:tcW w:w="920" w:type="dxa"/>
            <w:tcBorders/>
            <w:shd w:fill="CCEEFF" w:val="clear"/>
            <w:vAlign w:val="center"/>
          </w:tcPr>
          <w:p>
            <w:pPr>
              <w:pStyle w:val="TableContents"/>
              <w:spacing w:before="0" w:after="0"/>
              <w:rPr>
                <w:rFonts w:ascii="Times New Roman" w:hAnsi="Times New Roman"/>
                <w:sz w:val="17"/>
              </w:rPr>
            </w:pPr>
            <w:r>
              <w:rPr>
                <w:rFonts w:ascii="Times New Roman" w:hAnsi="Times New Roman"/>
                <w:sz w:val="17"/>
              </w:rPr>
              <w:t>Net investment income (1)</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0.81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1.10</w:t>
            </w:r>
          </w:p>
        </w:tc>
        <w:tc>
          <w:tcPr>
            <w:tcW w:w="290" w:type="dxa"/>
            <w:tcBorders/>
            <w:shd w:fill="CCEEFF"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Times New Roman" w:hAnsi="Times New Roman"/>
                <w:sz w:val="17"/>
              </w:rPr>
            </w:pPr>
            <w:r>
              <w:rPr>
                <w:rFonts w:ascii="Times New Roman" w:hAnsi="Times New Roman"/>
                <w:sz w:val="17"/>
              </w:rPr>
              <w:t>Net realized and unrealized (loss) gain (1)</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0.44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(0.65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(0.88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0.06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0.10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0.23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(0.31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0.26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0.15</w:t>
            </w:r>
          </w:p>
        </w:tc>
        <w:tc>
          <w:tcPr>
            <w:tcW w:w="290"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r>
        <w:trPr/>
        <w:tc>
          <w:tcPr>
            <w:tcW w:w="920" w:type="dxa"/>
            <w:tcBorders/>
            <w:shd w:fill="CCEEFF" w:val="clear"/>
            <w:vAlign w:val="center"/>
          </w:tcPr>
          <w:p>
            <w:pPr>
              <w:pStyle w:val="TableContents"/>
              <w:spacing w:before="0" w:after="0"/>
              <w:rPr>
                <w:rFonts w:ascii="Times New Roman" w:hAnsi="Times New Roman"/>
                <w:sz w:val="17"/>
              </w:rPr>
            </w:pPr>
            <w:r>
              <w:rPr>
                <w:rFonts w:ascii="Times New Roman" w:hAnsi="Times New Roman"/>
                <w:sz w:val="17"/>
              </w:rPr>
              <w:t>Net increase in net assets resulting from operations (1)</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0.08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1.46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0.47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0.29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0.87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0.77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1.25</w:t>
            </w:r>
          </w:p>
        </w:tc>
        <w:tc>
          <w:tcPr>
            <w:tcW w:w="290" w:type="dxa"/>
            <w:tcBorders/>
            <w:shd w:fill="CCEEFF"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Times New Roman" w:hAnsi="Times New Roman"/>
                <w:sz w:val="17"/>
              </w:rPr>
            </w:pPr>
            <w:r>
              <w:rPr>
                <w:rFonts w:ascii="Times New Roman" w:hAnsi="Times New Roman"/>
                <w:sz w:val="17"/>
              </w:rPr>
              <w:t>Distributions to stockholders (1),(2)</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920" w:type="dxa"/>
            <w:tcBorders/>
            <w:shd w:fill="CCEEFF" w:val="clear"/>
            <w:vAlign w:val="center"/>
          </w:tcPr>
          <w:p>
            <w:pPr>
              <w:pStyle w:val="TableContents"/>
              <w:spacing w:before="0" w:after="0"/>
              <w:rPr>
                <w:rFonts w:ascii="Times New Roman" w:hAnsi="Times New Roman"/>
                <w:sz w:val="17"/>
              </w:rPr>
            </w:pPr>
            <w:r>
              <w:rPr>
                <w:rFonts w:ascii="Times New Roman" w:hAnsi="Times New Roman"/>
                <w:sz w:val="17"/>
              </w:rPr>
              <w:t>Distribution of net investment income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(0.98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(0.84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(0.95</w:t>
            </w:r>
          </w:p>
        </w:tc>
        <w:tc>
          <w:tcPr>
            <w:tcW w:w="290" w:type="dxa"/>
            <w:tcBorders/>
            <w:shd w:fill="CCEEFF"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Times New Roman" w:hAnsi="Times New Roman"/>
                <w:sz w:val="17"/>
              </w:rPr>
            </w:pPr>
            <w:r>
              <w:rPr>
                <w:rFonts w:ascii="Times New Roman" w:hAnsi="Times New Roman"/>
                <w:sz w:val="17"/>
              </w:rPr>
              <w:t>Distribution of realized gains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(0.11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(0.01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(0.18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(0.24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(0.10</w:t>
            </w:r>
          </w:p>
        </w:tc>
        <w:tc>
          <w:tcPr>
            <w:tcW w:w="290"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r>
        <w:trPr/>
        <w:tc>
          <w:tcPr>
            <w:tcW w:w="920" w:type="dxa"/>
            <w:tcBorders/>
            <w:shd w:fill="CCEEFF" w:val="clear"/>
            <w:vAlign w:val="center"/>
          </w:tcPr>
          <w:p>
            <w:pPr>
              <w:pStyle w:val="TableContents"/>
              <w:spacing w:before="0" w:after="0"/>
              <w:rPr>
                <w:rFonts w:ascii="Times New Roman" w:hAnsi="Times New Roman"/>
                <w:sz w:val="17"/>
              </w:rPr>
            </w:pPr>
            <w:r>
              <w:rPr>
                <w:rFonts w:ascii="Times New Roman" w:hAnsi="Times New Roman"/>
                <w:sz w:val="17"/>
              </w:rPr>
              <w:t>Total distributions to stockholders (1),(2)</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(1.05</w:t>
            </w:r>
          </w:p>
        </w:tc>
        <w:tc>
          <w:tcPr>
            <w:tcW w:w="290" w:type="dxa"/>
            <w:tcBorders/>
            <w:shd w:fill="CCEEFF"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Times New Roman" w:hAnsi="Times New Roman"/>
                <w:sz w:val="17"/>
              </w:rPr>
            </w:pPr>
            <w:r>
              <w:rPr>
                <w:rFonts w:ascii="Times New Roman" w:hAnsi="Times New Roman"/>
                <w:sz w:val="17"/>
              </w:rPr>
              <w:t>Accretive (dilutive) effect of common stock issuance and acquisition of MCG (1)</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0.06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(0.01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(0.01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(0.06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(0.08</w:t>
            </w:r>
          </w:p>
        </w:tc>
        <w:tc>
          <w:tcPr>
            <w:tcW w:w="290"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r>
        <w:trPr/>
        <w:tc>
          <w:tcPr>
            <w:tcW w:w="920" w:type="dxa"/>
            <w:tcBorders/>
            <w:shd w:fill="CCEEFF" w:val="clear"/>
            <w:vAlign w:val="center"/>
          </w:tcPr>
          <w:p>
            <w:pPr>
              <w:pStyle w:val="TableContents"/>
              <w:spacing w:before="0" w:after="0"/>
              <w:rPr>
                <w:rFonts w:ascii="Times New Roman" w:hAnsi="Times New Roman"/>
                <w:sz w:val="17"/>
              </w:rPr>
            </w:pPr>
            <w:r>
              <w:rPr>
                <w:rFonts w:ascii="Times New Roman" w:hAnsi="Times New Roman"/>
                <w:sz w:val="17"/>
              </w:rPr>
              <w:t>Net asset value, end of period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11.62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12.62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12.31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12.97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13.82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14.10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14.06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13.95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14.40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14.10</w:t>
            </w:r>
          </w:p>
        </w:tc>
        <w:tc>
          <w:tcPr>
            <w:tcW w:w="290" w:type="dxa"/>
            <w:tcBorders/>
            <w:shd w:fill="CCEEFF"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Times New Roman" w:hAnsi="Times New Roman"/>
                <w:sz w:val="17"/>
              </w:rPr>
            </w:pPr>
            <w:r>
              <w:rPr>
                <w:rFonts w:ascii="Times New Roman" w:hAnsi="Times New Roman"/>
                <w:sz w:val="17"/>
              </w:rPr>
              <w:t>Per share market value, end of period</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9.60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12.79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8.44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11.60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13.15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14.48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13.23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11.94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13.78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13.78</w:t>
            </w:r>
          </w:p>
        </w:tc>
        <w:tc>
          <w:tcPr>
            <w:tcW w:w="290"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r>
        <w:trPr/>
        <w:tc>
          <w:tcPr>
            <w:tcW w:w="920" w:type="dxa"/>
            <w:tcBorders/>
            <w:shd w:fill="CCEEFF" w:val="clear"/>
            <w:vAlign w:val="center"/>
          </w:tcPr>
          <w:p>
            <w:pPr>
              <w:pStyle w:val="TableContents"/>
              <w:spacing w:before="0" w:after="0"/>
              <w:rPr>
                <w:rFonts w:ascii="Times New Roman" w:hAnsi="Times New Roman"/>
                <w:sz w:val="17"/>
              </w:rPr>
            </w:pPr>
            <w:r>
              <w:rPr>
                <w:rFonts w:ascii="Times New Roman" w:hAnsi="Times New Roman"/>
                <w:sz w:val="17"/>
              </w:rPr>
              <w:t>Total return(3)</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(17.76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66.47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(17.15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(3.20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18.71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21.77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(6.01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8.05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17.17</w:t>
            </w:r>
          </w:p>
        </w:tc>
        <w:tc>
          <w:tcPr>
            <w:tcW w:w="290" w:type="dxa"/>
            <w:tcBorders/>
            <w:shd w:fill="CCEEFF"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Times New Roman" w:hAnsi="Times New Roman"/>
                <w:sz w:val="17"/>
              </w:rPr>
            </w:pPr>
            <w:r>
              <w:rPr>
                <w:rFonts w:ascii="Times New Roman" w:hAnsi="Times New Roman"/>
                <w:sz w:val="17"/>
              </w:rPr>
              <w:t>Shares outstanding at end of period</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45,345,638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38,880,728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38,772,074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38,772,074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38,772,074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32,480,074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26,730,074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26,730,074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14,898,056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14,898,056</w:t>
            </w:r>
          </w:p>
        </w:tc>
        <w:tc>
          <w:tcPr>
            <w:tcW w:w="290"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r>
        <w:trPr/>
        <w:tc>
          <w:tcPr>
            <w:tcW w:w="920" w:type="dxa"/>
            <w:tcBorders/>
            <w:shd w:fill="CCEEFF" w:val="clear"/>
            <w:vAlign w:val="center"/>
          </w:tcPr>
          <w:p>
            <w:pPr>
              <w:pStyle w:val="TableContents"/>
              <w:spacing w:before="0" w:after="0"/>
              <w:rPr>
                <w:rFonts w:ascii="Times New Roman" w:hAnsi="Times New Roman"/>
                <w:b/>
                <w:sz w:val="17"/>
              </w:rPr>
            </w:pPr>
            <w:r>
              <w:rPr>
                <w:rFonts w:ascii="Times New Roman" w:hAnsi="Times New Roman"/>
                <w:b/>
                <w:sz w:val="17"/>
              </w:rPr>
              <w:t>Ratios/ Supplemental Data:</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920" w:type="dxa"/>
            <w:tcBorders/>
            <w:shd w:fill="auto" w:val="clear"/>
            <w:vAlign w:val="center"/>
          </w:tcPr>
          <w:p>
            <w:pPr>
              <w:pStyle w:val="TableContents"/>
              <w:spacing w:before="0" w:after="0"/>
              <w:rPr>
                <w:rFonts w:ascii="Times New Roman" w:hAnsi="Times New Roman"/>
                <w:sz w:val="17"/>
              </w:rPr>
            </w:pPr>
            <w:r>
              <w:rPr>
                <w:rFonts w:ascii="Times New Roman" w:hAnsi="Times New Roman"/>
                <w:sz w:val="17"/>
              </w:rPr>
              <w:t>Ratio of operating expenses to average net assets (4)</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5.34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3.77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5.19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3.94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3.01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4.13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3.56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3.01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4.45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4.43</w:t>
            </w:r>
          </w:p>
        </w:tc>
        <w:tc>
          <w:tcPr>
            <w:tcW w:w="290" w:type="dxa"/>
            <w:tcBorders/>
            <w:shd w:fill="auto" w:val="clear"/>
            <w:vAlign w:val="center"/>
          </w:tcPr>
          <w:p>
            <w:pPr>
              <w:pStyle w:val="TableContents"/>
              <w:spacing w:before="0" w:after="283"/>
              <w:rPr/>
            </w:pPr>
            <w:r>
              <w:rPr/>
              <w:t>% </w:t>
            </w:r>
          </w:p>
        </w:tc>
      </w:tr>
      <w:tr>
        <w:trPr/>
        <w:tc>
          <w:tcPr>
            <w:tcW w:w="920" w:type="dxa"/>
            <w:tcBorders/>
            <w:shd w:fill="CCEEFF" w:val="clear"/>
            <w:vAlign w:val="center"/>
          </w:tcPr>
          <w:p>
            <w:pPr>
              <w:pStyle w:val="TableContents"/>
              <w:spacing w:before="0" w:after="0"/>
              <w:rPr>
                <w:rFonts w:ascii="Times New Roman" w:hAnsi="Times New Roman"/>
                <w:sz w:val="17"/>
              </w:rPr>
            </w:pPr>
            <w:r>
              <w:rPr>
                <w:rFonts w:ascii="Times New Roman" w:hAnsi="Times New Roman"/>
                <w:sz w:val="17"/>
              </w:rPr>
              <w:t>Ratio of debt related expenses to average net assets (5)</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5.85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5.63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5.21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4.73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1.98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1.58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2.34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1.95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1.66</w:t>
            </w:r>
          </w:p>
        </w:tc>
        <w:tc>
          <w:tcPr>
            <w:tcW w:w="290" w:type="dxa"/>
            <w:tcBorders/>
            <w:shd w:fill="CCEEFF"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Times New Roman" w:hAnsi="Times New Roman"/>
                <w:sz w:val="17"/>
              </w:rPr>
            </w:pPr>
            <w:r>
              <w:rPr>
                <w:rFonts w:ascii="Times New Roman" w:hAnsi="Times New Roman"/>
                <w:sz w:val="17"/>
              </w:rPr>
              <w:t>Ratio of total expenses to average net assets (5)</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11.19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8.77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10.82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9.15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7.74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6.11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5.14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5.35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6.40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6.09</w:t>
            </w:r>
          </w:p>
        </w:tc>
        <w:tc>
          <w:tcPr>
            <w:tcW w:w="290" w:type="dxa"/>
            <w:tcBorders/>
            <w:shd w:fill="auto" w:val="clear"/>
            <w:vAlign w:val="center"/>
          </w:tcPr>
          <w:p>
            <w:pPr>
              <w:pStyle w:val="TableContents"/>
              <w:spacing w:before="0" w:after="283"/>
              <w:rPr/>
            </w:pPr>
            <w:r>
              <w:rPr/>
              <w:t>% </w:t>
            </w:r>
          </w:p>
        </w:tc>
      </w:tr>
      <w:tr>
        <w:trPr/>
        <w:tc>
          <w:tcPr>
            <w:tcW w:w="920" w:type="dxa"/>
            <w:tcBorders/>
            <w:shd w:fill="CCEEFF" w:val="clear"/>
            <w:vAlign w:val="center"/>
          </w:tcPr>
          <w:p>
            <w:pPr>
              <w:pStyle w:val="TableContents"/>
              <w:spacing w:before="0" w:after="0"/>
              <w:rPr>
                <w:rFonts w:ascii="Times New Roman" w:hAnsi="Times New Roman"/>
                <w:sz w:val="17"/>
              </w:rPr>
            </w:pPr>
            <w:r>
              <w:rPr>
                <w:rFonts w:ascii="Times New Roman" w:hAnsi="Times New Roman"/>
                <w:sz w:val="17"/>
              </w:rPr>
              <w:t>Ratio of net investment income to average net assets (5)</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9.55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8.07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9.00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8.76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5.81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7.85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7.42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7.43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7.77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7.68</w:t>
            </w:r>
          </w:p>
        </w:tc>
        <w:tc>
          <w:tcPr>
            <w:tcW w:w="290" w:type="dxa"/>
            <w:tcBorders/>
            <w:shd w:fill="CCEEFF"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Times New Roman" w:hAnsi="Times New Roman"/>
                <w:sz w:val="17"/>
              </w:rPr>
            </w:pPr>
            <w:r>
              <w:rPr>
                <w:rFonts w:ascii="Times New Roman" w:hAnsi="Times New Roman"/>
                <w:sz w:val="17"/>
              </w:rPr>
              <w:t>Net assets at end of period (in thousands)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527,092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490,611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477,270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503,057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535,842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457,906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375,907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372,890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214,528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210,066</w:t>
            </w:r>
          </w:p>
        </w:tc>
        <w:tc>
          <w:tcPr>
            <w:tcW w:w="290"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r>
        <w:trPr/>
        <w:tc>
          <w:tcPr>
            <w:tcW w:w="920" w:type="dxa"/>
            <w:tcBorders/>
            <w:shd w:fill="CCEEFF" w:val="clear"/>
            <w:vAlign w:val="center"/>
          </w:tcPr>
          <w:p>
            <w:pPr>
              <w:pStyle w:val="TableContents"/>
              <w:spacing w:before="0" w:after="0"/>
              <w:rPr>
                <w:rFonts w:ascii="Times New Roman" w:hAnsi="Times New Roman"/>
                <w:sz w:val="17"/>
              </w:rPr>
            </w:pPr>
            <w:r>
              <w:rPr>
                <w:rFonts w:ascii="Times New Roman" w:hAnsi="Times New Roman"/>
                <w:sz w:val="17"/>
              </w:rPr>
              <w:t>Weighted average debt outstanding (in thousands)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698,765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622,739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737,209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512,135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354,322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269,320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140,218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123,924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147,599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71,679</w:t>
            </w:r>
          </w:p>
        </w:tc>
        <w:tc>
          <w:tcPr>
            <w:tcW w:w="290" w:type="dxa"/>
            <w:tcBorders/>
            <w:shd w:fill="CCEEFF"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Times New Roman" w:hAnsi="Times New Roman"/>
                <w:sz w:val="17"/>
              </w:rPr>
            </w:pPr>
            <w:r>
              <w:rPr>
                <w:rFonts w:ascii="Times New Roman" w:hAnsi="Times New Roman"/>
                <w:sz w:val="17"/>
              </w:rPr>
              <w:t>Weighted average debt per share (1)</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17.06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16.06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19.01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13.21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9.25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8.90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5.25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7.61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9.91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7.48</w:t>
            </w:r>
          </w:p>
        </w:tc>
        <w:tc>
          <w:tcPr>
            <w:tcW w:w="290" w:type="dxa"/>
            <w:tcBorders/>
            <w:shd w:fill="auto" w:val="clear"/>
            <w:vAlign w:val="center"/>
          </w:tcPr>
          <w:p>
            <w:pPr>
              <w:pStyle w:val="TableContents"/>
              <w:spacing w:before="0" w:after="283"/>
              <w:rPr/>
            </w:pPr>
            <w:r>
              <w:rPr/>
              <w:t> </w:t>
            </w:r>
          </w:p>
        </w:tc>
      </w:tr>
      <w:tr>
        <w:trPr/>
        <w:tc>
          <w:tcPr>
            <w:tcW w:w="920" w:type="dxa"/>
            <w:tcBorders/>
            <w:shd w:fill="CCEEFF" w:val="clear"/>
            <w:vAlign w:val="center"/>
          </w:tcPr>
          <w:p>
            <w:pPr>
              <w:pStyle w:val="TableContents"/>
              <w:spacing w:before="0" w:after="0"/>
              <w:rPr>
                <w:rFonts w:ascii="Times New Roman" w:hAnsi="Times New Roman"/>
                <w:sz w:val="17"/>
              </w:rPr>
            </w:pPr>
            <w:r>
              <w:rPr>
                <w:rFonts w:ascii="Times New Roman" w:hAnsi="Times New Roman"/>
                <w:sz w:val="17"/>
              </w:rPr>
              <w:t>Asset coverage per unit (6)</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1,776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1,746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1,677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1,786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2,122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2,780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2,601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13,598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2,469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3,109</w:t>
            </w:r>
          </w:p>
        </w:tc>
        <w:tc>
          <w:tcPr>
            <w:tcW w:w="290" w:type="dxa"/>
            <w:tcBorders/>
            <w:shd w:fill="CCEEFF"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rPr>
                <w:rFonts w:ascii="Times New Roman" w:hAnsi="Times New Roman"/>
                <w:sz w:val="17"/>
              </w:rPr>
            </w:pPr>
            <w:r>
              <w:rPr>
                <w:rFonts w:ascii="Times New Roman" w:hAnsi="Times New Roman"/>
                <w:sz w:val="17"/>
              </w:rPr>
              <w:t>Portfolio turnover ratio</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45.03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62.58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35.08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52.64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47.15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59.70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32.16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51.02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62.74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81.89</w:t>
            </w:r>
          </w:p>
        </w:tc>
        <w:tc>
          <w:tcPr>
            <w:tcW w:w="29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rPr/>
      </w:pPr>
      <w:r>
        <w:rPr/>
      </w:r>
    </w:p>
    <w:p>
      <w:pPr>
        <w:pStyle w:val="TextBody"/>
        <w:pBdr>
          <w:bottom w:val="single" w:sz="2" w:space="1" w:color="000000"/>
        </w:pBdr>
        <w:spacing w:lineRule="atLeast" w:line="160" w:before="0" w:after="40"/>
        <w:jc w:val="left"/>
        <w:rPr/>
      </w:pPr>
      <w:r>
        <w:rPr/>
        <w:t> </w:t>
      </w:r>
    </w:p>
    <w:tbl>
      <w:tblPr>
        <w:tblW w:w="6595" w:type="dxa"/>
        <w:jc w:val="left"/>
        <w:tblInd w:w="0" w:type="dxa"/>
        <w:tblCellMar>
          <w:top w:w="0" w:type="dxa"/>
          <w:left w:w="0" w:type="dxa"/>
          <w:bottom w:w="0" w:type="dxa"/>
          <w:right w:w="0" w:type="dxa"/>
        </w:tblCellMar>
      </w:tblPr>
      <w:tblGrid>
        <w:gridCol w:w="305"/>
        <w:gridCol w:w="6290"/>
      </w:tblGrid>
      <w:tr>
        <w:trPr/>
        <w:tc>
          <w:tcPr>
            <w:tcW w:w="305" w:type="dxa"/>
            <w:tcBorders/>
            <w:shd w:fill="auto" w:val="clear"/>
            <w:vAlign w:val="center"/>
          </w:tcPr>
          <w:p>
            <w:pPr>
              <w:pStyle w:val="TableContents"/>
              <w:spacing w:before="0" w:after="283"/>
              <w:jc w:val="left"/>
              <w:rPr/>
            </w:pPr>
            <w:r>
              <w:rPr/>
              <w:t>(1)</w:t>
            </w:r>
          </w:p>
        </w:tc>
        <w:tc>
          <w:tcPr>
            <w:tcW w:w="62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Based on the weighted average shares outstanding for the respective periods. </w:t>
            </w:r>
          </w:p>
        </w:tc>
      </w:tr>
    </w:tbl>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(2)</w:t>
            </w:r>
          </w:p>
        </w:tc>
        <w:tc>
          <w:tcPr>
            <w:tcW w:w="993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tax status of distributions is calculated in accordance with income tax regulations, which may differ from amounts determined under GAAP, and reported on Form 1099-DIV each calendar year. </w:t>
            </w:r>
          </w:p>
        </w:tc>
      </w:tr>
    </w:tbl>
    <w:tbl>
      <w:tblPr>
        <w:tblW w:w="9490" w:type="dxa"/>
        <w:jc w:val="left"/>
        <w:tblInd w:w="0" w:type="dxa"/>
        <w:tblCellMar>
          <w:top w:w="0" w:type="dxa"/>
          <w:left w:w="0" w:type="dxa"/>
          <w:bottom w:w="0" w:type="dxa"/>
          <w:right w:w="0" w:type="dxa"/>
        </w:tblCellMar>
      </w:tblPr>
      <w:tblGrid>
        <w:gridCol w:w="305"/>
        <w:gridCol w:w="9185"/>
      </w:tblGrid>
      <w:tr>
        <w:trPr/>
        <w:tc>
          <w:tcPr>
            <w:tcW w:w="305" w:type="dxa"/>
            <w:tcBorders/>
            <w:shd w:fill="auto" w:val="clear"/>
            <w:vAlign w:val="center"/>
          </w:tcPr>
          <w:p>
            <w:pPr>
              <w:pStyle w:val="TableContents"/>
              <w:spacing w:before="0" w:after="283"/>
              <w:jc w:val="left"/>
              <w:rPr/>
            </w:pPr>
            <w:r>
              <w:rPr/>
              <w:t>(3)</w:t>
            </w:r>
          </w:p>
        </w:tc>
        <w:tc>
          <w:tcPr>
            <w:tcW w:w="91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Based on the change in market price per share during the period and assumes distributions, if any, are reinvested. </w:t>
            </w:r>
          </w:p>
        </w:tc>
      </w:tr>
    </w:tbl>
    <w:tbl>
      <w:tblPr>
        <w:tblW w:w="2635" w:type="dxa"/>
        <w:jc w:val="left"/>
        <w:tblInd w:w="0" w:type="dxa"/>
        <w:tblCellMar>
          <w:top w:w="0" w:type="dxa"/>
          <w:left w:w="0" w:type="dxa"/>
          <w:bottom w:w="0" w:type="dxa"/>
          <w:right w:w="0" w:type="dxa"/>
        </w:tblCellMar>
      </w:tblPr>
      <w:tblGrid>
        <w:gridCol w:w="305"/>
        <w:gridCol w:w="2330"/>
      </w:tblGrid>
      <w:tr>
        <w:trPr/>
        <w:tc>
          <w:tcPr>
            <w:tcW w:w="305" w:type="dxa"/>
            <w:tcBorders/>
            <w:shd w:fill="auto" w:val="clear"/>
            <w:vAlign w:val="center"/>
          </w:tcPr>
          <w:p>
            <w:pPr>
              <w:pStyle w:val="TableContents"/>
              <w:spacing w:before="0" w:after="283"/>
              <w:jc w:val="left"/>
              <w:rPr/>
            </w:pPr>
            <w:r>
              <w:rPr/>
              <w:t>(4)</w:t>
            </w:r>
          </w:p>
        </w:tc>
        <w:tc>
          <w:tcPr>
            <w:tcW w:w="23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Excludes debt related costs. </w:t>
            </w:r>
          </w:p>
        </w:tc>
      </w:tr>
    </w:tbl>
    <w:tbl>
      <w:tblPr>
        <w:tblW w:w="9070" w:type="dxa"/>
        <w:jc w:val="left"/>
        <w:tblInd w:w="0" w:type="dxa"/>
        <w:tblCellMar>
          <w:top w:w="0" w:type="dxa"/>
          <w:left w:w="0" w:type="dxa"/>
          <w:bottom w:w="0" w:type="dxa"/>
          <w:right w:w="0" w:type="dxa"/>
        </w:tblCellMar>
      </w:tblPr>
      <w:tblGrid>
        <w:gridCol w:w="305"/>
        <w:gridCol w:w="8765"/>
      </w:tblGrid>
      <w:tr>
        <w:trPr/>
        <w:tc>
          <w:tcPr>
            <w:tcW w:w="305" w:type="dxa"/>
            <w:tcBorders/>
            <w:shd w:fill="auto" w:val="clear"/>
            <w:vAlign w:val="center"/>
          </w:tcPr>
          <w:p>
            <w:pPr>
              <w:pStyle w:val="TableContents"/>
              <w:spacing w:before="0" w:after="283"/>
              <w:jc w:val="left"/>
              <w:rPr/>
            </w:pPr>
            <w:r>
              <w:rPr/>
              <w:t>(5)</w:t>
            </w:r>
          </w:p>
        </w:tc>
        <w:tc>
          <w:tcPr>
            <w:tcW w:w="87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interest and expenses on debt as well as Credit Facility amendment and debt issuance costs, if any. </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(6)</w:t>
            </w:r>
          </w:p>
        </w:tc>
        <w:tc>
          <w:tcPr>
            <w:tcW w:w="995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ratio coverage is multiplied by $1,000 to determine the asset coverage per unit. </w:t>
            </w:r>
          </w:p>
        </w:tc>
      </w:tr>
    </w:tbl>
    <w:tbl>
      <w:tblPr>
        <w:tblW w:w="3040" w:type="dxa"/>
        <w:jc w:val="left"/>
        <w:tblInd w:w="0" w:type="dxa"/>
        <w:tblCellMar>
          <w:top w:w="0" w:type="dxa"/>
          <w:left w:w="0" w:type="dxa"/>
          <w:bottom w:w="0" w:type="dxa"/>
          <w:right w:w="0" w:type="dxa"/>
        </w:tblCellMar>
      </w:tblPr>
      <w:tblGrid>
        <w:gridCol w:w="305"/>
        <w:gridCol w:w="2735"/>
      </w:tblGrid>
      <w:tr>
        <w:trPr/>
        <w:tc>
          <w:tcPr>
            <w:tcW w:w="305" w:type="dxa"/>
            <w:tcBorders/>
            <w:shd w:fill="auto" w:val="clear"/>
            <w:vAlign w:val="center"/>
          </w:tcPr>
          <w:p>
            <w:pPr>
              <w:pStyle w:val="TableContents"/>
              <w:spacing w:before="0" w:after="283"/>
              <w:jc w:val="left"/>
              <w:rPr/>
            </w:pPr>
            <w:r>
              <w:rPr/>
              <w:t>(7)</w:t>
            </w:r>
          </w:p>
        </w:tc>
        <w:tc>
          <w:tcPr>
            <w:tcW w:w="27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Audited by predecessor auditors.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rPr/>
      </w:pPr>
      <w:r>
        <w:rPr/>
      </w:r>
    </w:p>
    <w:p>
      <w:pPr>
        <w:pStyle w:val="TextBody"/>
        <w:spacing w:before="0" w:after="0"/>
        <w:jc w:val="center"/>
        <w:rPr>
          <w:rFonts w:ascii="Times New Roman" w:hAnsi="Times New Roman"/>
          <w:b/>
          <w:sz w:val="20"/>
        </w:rPr>
      </w:pPr>
      <w:bookmarkStart w:id="6" w:name="cov478714_100"/>
      <w:bookmarkStart w:id="7" w:name="toc478714_4"/>
      <w:bookmarkEnd w:id="6"/>
      <w:bookmarkEnd w:id="7"/>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 xml:space="preserve">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Form 10-K for the fiscal year ended September 30, 2022, filed on November 17, 2022,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 </w:t>
      </w:r>
    </w:p>
    <w:p>
      <w:pPr>
        <w:pStyle w:val="TextBody"/>
        <w:spacing w:before="480" w:after="0"/>
        <w:jc w:val="center"/>
        <w:rPr>
          <w:rFonts w:ascii="Times New Roman" w:hAnsi="Times New Roman"/>
          <w:b/>
          <w:sz w:val="20"/>
        </w:rPr>
      </w:pPr>
      <w:bookmarkStart w:id="8" w:name="toc478714_5"/>
      <w:bookmarkEnd w:id="8"/>
      <w:r>
        <w:rPr>
          <w:rFonts w:ascii="Times New Roman" w:hAnsi="Times New Roman"/>
          <w:b/>
          <w:sz w:val="20"/>
        </w:rPr>
        <w:t xml:space="preserve">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 </w:t>
      </w:r>
    </w:p>
    <w:p>
      <w:pPr>
        <w:pStyle w:val="TextBody"/>
        <w:spacing w:before="0" w:after="0"/>
        <w:jc w:val="left"/>
        <w:rPr/>
      </w:pPr>
      <w:r>
        <w:rPr/>
        <w:t> </w:t>
      </w:r>
    </w:p>
    <w:tbl>
      <w:tblPr>
        <w:tblW w:w="2575" w:type="dxa"/>
        <w:jc w:val="left"/>
        <w:tblInd w:w="0" w:type="dxa"/>
        <w:tblCellMar>
          <w:top w:w="0" w:type="dxa"/>
          <w:left w:w="0" w:type="dxa"/>
          <w:bottom w:w="0" w:type="dxa"/>
          <w:right w:w="0" w:type="dxa"/>
        </w:tblCellMar>
      </w:tblPr>
      <w:tblGrid>
        <w:gridCol w:w="75"/>
        <w:gridCol w:w="110"/>
        <w:gridCol w:w="60"/>
        <w:gridCol w:w="2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business prospects and the prospects of our prospective portfolio companies, including as a result of the current pandemic caused by COVID-19 or any future worsening thereof;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political, economic or industry conditions, the interest rate environment or conditions affecting the financial and capital markets that could result in changes to the value of our assets, including changes from the impact of the current COVID-19 pandemic or any future worsening thereof; </w:t>
            </w:r>
          </w:p>
        </w:tc>
      </w:tr>
    </w:tbl>
    <w:p>
      <w:pPr>
        <w:pStyle w:val="TextBody"/>
        <w:spacing w:before="0" w:after="0"/>
        <w:jc w:val="left"/>
        <w:rPr/>
      </w:pPr>
      <w:r>
        <w:rPr/>
        <w:t> </w:t>
      </w:r>
    </w:p>
    <w:tbl>
      <w:tblPr>
        <w:tblW w:w="9490" w:type="dxa"/>
        <w:jc w:val="left"/>
        <w:tblInd w:w="0" w:type="dxa"/>
        <w:tblCellMar>
          <w:top w:w="0" w:type="dxa"/>
          <w:left w:w="0" w:type="dxa"/>
          <w:bottom w:w="0" w:type="dxa"/>
          <w:right w:w="0" w:type="dxa"/>
        </w:tblCellMar>
      </w:tblPr>
      <w:tblGrid>
        <w:gridCol w:w="75"/>
        <w:gridCol w:w="110"/>
        <w:gridCol w:w="60"/>
        <w:gridCol w:w="92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spacing w:before="0" w:after="0"/>
        <w:jc w:val="left"/>
        <w:rPr/>
      </w:pPr>
      <w:r>
        <w:rPr/>
        <w:t> </w:t>
      </w:r>
    </w:p>
    <w:tbl>
      <w:tblPr>
        <w:tblW w:w="7075" w:type="dxa"/>
        <w:jc w:val="left"/>
        <w:tblInd w:w="0" w:type="dxa"/>
        <w:tblCellMar>
          <w:top w:w="0" w:type="dxa"/>
          <w:left w:w="0" w:type="dxa"/>
          <w:bottom w:w="0" w:type="dxa"/>
          <w:right w:w="0" w:type="dxa"/>
        </w:tblCellMar>
      </w:tblPr>
      <w:tblGrid>
        <w:gridCol w:w="75"/>
        <w:gridCol w:w="110"/>
        <w:gridCol w:w="60"/>
        <w:gridCol w:w="68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a protracted decline in the liquidity of credit markets on our business; </w:t>
            </w:r>
          </w:p>
        </w:tc>
      </w:tr>
    </w:tbl>
    <w:p>
      <w:pPr>
        <w:pStyle w:val="TextBody"/>
        <w:spacing w:before="0" w:after="0"/>
        <w:jc w:val="left"/>
        <w:rPr/>
      </w:pPr>
      <w:r>
        <w:rPr/>
        <w:t> </w:t>
      </w:r>
    </w:p>
    <w:tbl>
      <w:tblPr>
        <w:tblW w:w="4375" w:type="dxa"/>
        <w:jc w:val="left"/>
        <w:tblInd w:w="0" w:type="dxa"/>
        <w:tblCellMar>
          <w:top w:w="0" w:type="dxa"/>
          <w:left w:w="0" w:type="dxa"/>
          <w:bottom w:w="0" w:type="dxa"/>
          <w:right w:w="0" w:type="dxa"/>
        </w:tblCellMar>
      </w:tblPr>
      <w:tblGrid>
        <w:gridCol w:w="75"/>
        <w:gridCol w:w="110"/>
        <w:gridCol w:w="60"/>
        <w:gridCol w:w="41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investments that we expect to make; </w:t>
            </w:r>
          </w:p>
        </w:tc>
      </w:tr>
    </w:tbl>
    <w:p>
      <w:pPr>
        <w:pStyle w:val="TextBody"/>
        <w:spacing w:before="0" w:after="0"/>
        <w:jc w:val="left"/>
        <w:rPr/>
      </w:pPr>
      <w:r>
        <w:rPr/>
        <w:t> </w:t>
      </w:r>
    </w:p>
    <w:tbl>
      <w:tblPr>
        <w:tblW w:w="9610" w:type="dxa"/>
        <w:jc w:val="left"/>
        <w:tblInd w:w="0" w:type="dxa"/>
        <w:tblCellMar>
          <w:top w:w="0" w:type="dxa"/>
          <w:left w:w="0" w:type="dxa"/>
          <w:bottom w:w="0" w:type="dxa"/>
          <w:right w:w="0" w:type="dxa"/>
        </w:tblCellMar>
      </w:tblPr>
      <w:tblGrid>
        <w:gridCol w:w="75"/>
        <w:gridCol w:w="110"/>
        <w:gridCol w:w="60"/>
        <w:gridCol w:w="9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fluctuations in interest rates and foreign exchange rates on our business and our portfolio companies; </w:t>
            </w:r>
          </w:p>
        </w:tc>
      </w:tr>
    </w:tbl>
    <w:p>
      <w:pPr>
        <w:pStyle w:val="TextBody"/>
        <w:spacing w:before="0" w:after="0"/>
        <w:jc w:val="left"/>
        <w:rPr/>
      </w:pPr>
      <w:r>
        <w:rPr/>
        <w:t> </w:t>
      </w:r>
    </w:p>
    <w:tbl>
      <w:tblPr>
        <w:tblW w:w="5605" w:type="dxa"/>
        <w:jc w:val="left"/>
        <w:tblInd w:w="0" w:type="dxa"/>
        <w:tblCellMar>
          <w:top w:w="0" w:type="dxa"/>
          <w:left w:w="0" w:type="dxa"/>
          <w:bottom w:w="0" w:type="dxa"/>
          <w:right w:w="0" w:type="dxa"/>
        </w:tblCellMar>
      </w:tblPr>
      <w:tblGrid>
        <w:gridCol w:w="75"/>
        <w:gridCol w:w="110"/>
        <w:gridCol w:w="60"/>
        <w:gridCol w:w="5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contractual arrangements and relationships with third parties; </w:t>
            </w:r>
          </w:p>
        </w:tc>
      </w:tr>
    </w:tbl>
    <w:p>
      <w:pPr>
        <w:pStyle w:val="TextBody"/>
        <w:spacing w:before="0" w:after="0"/>
        <w:jc w:val="left"/>
        <w:rPr/>
      </w:pPr>
      <w:r>
        <w:rPr/>
        <w:t> </w:t>
      </w:r>
    </w:p>
    <w:tbl>
      <w:tblPr>
        <w:tblW w:w="9055" w:type="dxa"/>
        <w:jc w:val="left"/>
        <w:tblInd w:w="0" w:type="dxa"/>
        <w:tblCellMar>
          <w:top w:w="0" w:type="dxa"/>
          <w:left w:w="0" w:type="dxa"/>
          <w:bottom w:w="0" w:type="dxa"/>
          <w:right w:w="0" w:type="dxa"/>
        </w:tblCellMar>
      </w:tblPr>
      <w:tblGrid>
        <w:gridCol w:w="75"/>
        <w:gridCol w:w="110"/>
        <w:gridCol w:w="60"/>
        <w:gridCol w:w="8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valuation of our investments in portfolio companies, particularly those having no liquid trading market; </w:t>
            </w:r>
          </w:p>
        </w:tc>
      </w:tr>
    </w:tbl>
    <w:p>
      <w:pPr>
        <w:pStyle w:val="TextBody"/>
        <w:spacing w:before="0" w:after="0"/>
        <w:jc w:val="left"/>
        <w:rPr/>
      </w:pPr>
      <w:r>
        <w:rPr/>
        <w:t> </w:t>
      </w:r>
    </w:p>
    <w:tbl>
      <w:tblPr>
        <w:tblW w:w="6610" w:type="dxa"/>
        <w:jc w:val="left"/>
        <w:tblInd w:w="0" w:type="dxa"/>
        <w:tblCellMar>
          <w:top w:w="0" w:type="dxa"/>
          <w:left w:w="0" w:type="dxa"/>
          <w:bottom w:w="0" w:type="dxa"/>
          <w:right w:w="0" w:type="dxa"/>
        </w:tblCellMar>
      </w:tblPr>
      <w:tblGrid>
        <w:gridCol w:w="75"/>
        <w:gridCol w:w="110"/>
        <w:gridCol w:w="60"/>
        <w:gridCol w:w="6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ability of our prospective portfolio companies to achieve their objectives; </w:t>
            </w:r>
          </w:p>
        </w:tc>
      </w:tr>
    </w:tbl>
    <w:p>
      <w:pPr>
        <w:pStyle w:val="TextBody"/>
        <w:spacing w:before="0" w:after="0"/>
        <w:jc w:val="left"/>
        <w:rPr/>
      </w:pPr>
      <w:r>
        <w:rPr/>
        <w:t> </w:t>
      </w:r>
    </w:p>
    <w:tbl>
      <w:tblPr>
        <w:tblW w:w="7690" w:type="dxa"/>
        <w:jc w:val="left"/>
        <w:tblInd w:w="0" w:type="dxa"/>
        <w:tblCellMar>
          <w:top w:w="0" w:type="dxa"/>
          <w:left w:w="0" w:type="dxa"/>
          <w:bottom w:w="0" w:type="dxa"/>
          <w:right w:w="0" w:type="dxa"/>
        </w:tblCellMar>
      </w:tblPr>
      <w:tblGrid>
        <w:gridCol w:w="75"/>
        <w:gridCol w:w="110"/>
        <w:gridCol w:w="60"/>
        <w:gridCol w:w="74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expected financings and investments and ability to fund capital commitments to PSSL; </w:t>
            </w:r>
          </w:p>
        </w:tc>
      </w:tr>
    </w:tbl>
    <w:p>
      <w:pPr>
        <w:pStyle w:val="TextBody"/>
        <w:spacing w:before="0" w:after="0"/>
        <w:jc w:val="left"/>
        <w:rPr/>
      </w:pPr>
      <w:r>
        <w:rPr/>
        <w:t> </w:t>
      </w:r>
    </w:p>
    <w:tbl>
      <w:tblPr>
        <w:tblW w:w="4855" w:type="dxa"/>
        <w:jc w:val="left"/>
        <w:tblInd w:w="0" w:type="dxa"/>
        <w:tblCellMar>
          <w:top w:w="0" w:type="dxa"/>
          <w:left w:w="0" w:type="dxa"/>
          <w:bottom w:w="0" w:type="dxa"/>
          <w:right w:w="0" w:type="dxa"/>
        </w:tblCellMar>
      </w:tblPr>
      <w:tblGrid>
        <w:gridCol w:w="75"/>
        <w:gridCol w:w="110"/>
        <w:gridCol w:w="60"/>
        <w:gridCol w:w="4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adequacy of our cash resources and working capital; </w:t>
            </w:r>
          </w:p>
        </w:tc>
      </w:tr>
    </w:tbl>
    <w:p>
      <w:pPr>
        <w:pStyle w:val="TextBody"/>
        <w:spacing w:before="0" w:after="0"/>
        <w:jc w:val="left"/>
        <w:rPr/>
      </w:pPr>
      <w:r>
        <w:rPr/>
        <w:t> </w:t>
      </w:r>
    </w:p>
    <w:tbl>
      <w:tblPr>
        <w:tblW w:w="7735" w:type="dxa"/>
        <w:jc w:val="left"/>
        <w:tblInd w:w="0" w:type="dxa"/>
        <w:tblCellMar>
          <w:top w:w="0" w:type="dxa"/>
          <w:left w:w="0" w:type="dxa"/>
          <w:bottom w:w="0" w:type="dxa"/>
          <w:right w:w="0" w:type="dxa"/>
        </w:tblCellMar>
      </w:tblPr>
      <w:tblGrid>
        <w:gridCol w:w="75"/>
        <w:gridCol w:w="110"/>
        <w:gridCol w:w="60"/>
        <w:gridCol w:w="74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timing of cash flows, if any, from the operations of our prospective portfolio companies;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rPr/>
      </w:pPr>
      <w:r>
        <w:rPr/>
      </w:r>
    </w:p>
    <w:tbl>
      <w:tblPr>
        <w:tblW w:w="5515" w:type="dxa"/>
        <w:jc w:val="left"/>
        <w:tblInd w:w="0" w:type="dxa"/>
        <w:tblCellMar>
          <w:top w:w="0" w:type="dxa"/>
          <w:left w:w="0" w:type="dxa"/>
          <w:bottom w:w="0" w:type="dxa"/>
          <w:right w:w="0" w:type="dxa"/>
        </w:tblCellMar>
      </w:tblPr>
      <w:tblGrid>
        <w:gridCol w:w="75"/>
        <w:gridCol w:w="110"/>
        <w:gridCol w:w="60"/>
        <w:gridCol w:w="52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price and volume fluctuations in the stock market; </w:t>
            </w:r>
          </w:p>
        </w:tc>
      </w:tr>
    </w:tbl>
    <w:p>
      <w:pPr>
        <w:pStyle w:val="TextBody"/>
        <w:spacing w:before="0" w:after="0"/>
        <w:jc w:val="left"/>
        <w:rPr/>
      </w:pPr>
      <w:r>
        <w:rPr/>
        <w:t> </w:t>
      </w:r>
    </w:p>
    <w:tbl>
      <w:tblPr>
        <w:tblW w:w="6760" w:type="dxa"/>
        <w:jc w:val="left"/>
        <w:tblInd w:w="0" w:type="dxa"/>
        <w:tblCellMar>
          <w:top w:w="0" w:type="dxa"/>
          <w:left w:w="0" w:type="dxa"/>
          <w:bottom w:w="0" w:type="dxa"/>
          <w:right w:w="0" w:type="dxa"/>
        </w:tblCellMar>
      </w:tblPr>
      <w:tblGrid>
        <w:gridCol w:w="75"/>
        <w:gridCol w:w="110"/>
        <w:gridCol w:w="60"/>
        <w:gridCol w:w="65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increasing levels of inflation, and its impact on us and our portfolio companies; </w:t>
            </w:r>
          </w:p>
        </w:tc>
      </w:tr>
    </w:tbl>
    <w:p>
      <w:pPr>
        <w:pStyle w:val="TextBody"/>
        <w:spacing w:before="0" w:after="0"/>
        <w:jc w:val="left"/>
        <w:rPr/>
      </w:pPr>
      <w:r>
        <w:rPr/>
        <w:t> </w:t>
      </w:r>
    </w:p>
    <w:tbl>
      <w:tblPr>
        <w:tblW w:w="10150" w:type="dxa"/>
        <w:jc w:val="left"/>
        <w:tblInd w:w="0" w:type="dxa"/>
        <w:tblCellMar>
          <w:top w:w="0" w:type="dxa"/>
          <w:left w:w="0" w:type="dxa"/>
          <w:bottom w:w="0" w:type="dxa"/>
          <w:right w:w="0" w:type="dxa"/>
        </w:tblCellMar>
      </w:tblPr>
      <w:tblGrid>
        <w:gridCol w:w="75"/>
        <w:gridCol w:w="110"/>
        <w:gridCol w:w="60"/>
        <w:gridCol w:w="99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ability of our Investment Adviser to locate suitable investments for us and to monitor and administer our investments; </w:t>
            </w:r>
          </w:p>
        </w:tc>
      </w:tr>
    </w:tbl>
    <w:p>
      <w:pPr>
        <w:pStyle w:val="TextBody"/>
        <w:spacing w:before="0" w:after="0"/>
        <w:jc w:val="left"/>
        <w:rPr/>
      </w:pPr>
      <w:r>
        <w:rPr/>
        <w:t> </w:t>
      </w:r>
    </w:p>
    <w:tbl>
      <w:tblPr>
        <w:tblW w:w="8110" w:type="dxa"/>
        <w:jc w:val="left"/>
        <w:tblInd w:w="0" w:type="dxa"/>
        <w:tblCellMar>
          <w:top w:w="0" w:type="dxa"/>
          <w:left w:w="0" w:type="dxa"/>
          <w:bottom w:w="0" w:type="dxa"/>
          <w:right w:w="0" w:type="dxa"/>
        </w:tblCellMar>
      </w:tblPr>
      <w:tblGrid>
        <w:gridCol w:w="75"/>
        <w:gridCol w:w="110"/>
        <w:gridCol w:w="60"/>
        <w:gridCol w:w="78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future legislation and regulation on our business and our portfolio companies;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the ongoing invasion of Ukraine by Russia, United Kingdom’s withdrawal from the European Union (commonly known as “Brexit”) and other world economic and political issues. </w:t>
            </w:r>
          </w:p>
        </w:tc>
      </w:tr>
    </w:tbl>
    <w:p>
      <w:pPr>
        <w:pStyle w:val="TextBody"/>
        <w:spacing w:before="240" w:after="0"/>
        <w:jc w:val="left"/>
        <w:rPr>
          <w:rFonts w:ascii="Times New Roman" w:hAnsi="Times New Roman"/>
          <w:sz w:val="20"/>
        </w:rPr>
      </w:pPr>
      <w:r>
        <w:rPr>
          <w:rFonts w:ascii="Times New Roman" w:hAnsi="Times New Roman"/>
          <w:sz w:val="20"/>
        </w:rPr>
        <w:t xml:space="preserve">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 </w:t>
      </w:r>
    </w:p>
    <w:p>
      <w:pPr>
        <w:pStyle w:val="TextBody"/>
        <w:spacing w:before="240" w:after="0"/>
        <w:jc w:val="left"/>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 </w:t>
      </w:r>
    </w:p>
    <w:p>
      <w:pPr>
        <w:pStyle w:val="TextBody"/>
        <w:spacing w:before="240" w:after="0"/>
        <w:jc w:val="left"/>
        <w:rPr>
          <w:rFonts w:ascii="Times New Roman" w:hAnsi="Times New Roman"/>
          <w:sz w:val="20"/>
        </w:rPr>
      </w:pPr>
      <w:r>
        <w:rPr>
          <w:rFonts w:ascii="Times New Roman" w:hAnsi="Times New Roman"/>
          <w:sz w:val="20"/>
        </w:rPr>
        <w:t xml:space="preserve">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 </w:t>
      </w:r>
    </w:p>
    <w:p>
      <w:pPr>
        <w:pStyle w:val="TextBody"/>
        <w:spacing w:before="240" w:after="0"/>
        <w:jc w:val="left"/>
        <w:rPr>
          <w:rFonts w:ascii="Times New Roman" w:hAnsi="Times New Roman"/>
          <w:sz w:val="20"/>
        </w:rPr>
      </w:pPr>
      <w:r>
        <w:rPr>
          <w:rFonts w:ascii="Times New Roman" w:hAnsi="Times New Roman"/>
          <w:sz w:val="20"/>
        </w:rPr>
        <w:t xml:space="preserve">You should understand that, under Section 27A(b)(2)(B) of the Securities Act of 1933, as amended, or the Securities Act, and Section 21E(b)(2) of the Exchange Act, the “safe harbor” provisions of the Private Securities Litigation Reform Act of 1995 do not apply to forward-looking statements made in connection with any offering of securities pursuant to this prospectus or in periodic reports we file under the Exchange Act. </w:t>
      </w:r>
    </w:p>
    <w:p>
      <w:pPr>
        <w:pStyle w:val="TextBody"/>
        <w:spacing w:before="480" w:after="0"/>
        <w:jc w:val="center"/>
        <w:rPr>
          <w:rFonts w:ascii="Times New Roman" w:hAnsi="Times New Roman"/>
          <w:b/>
          <w:sz w:val="20"/>
        </w:rPr>
      </w:pPr>
      <w:bookmarkStart w:id="9" w:name="toc478714_6"/>
      <w:bookmarkEnd w:id="9"/>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 </w:t>
      </w:r>
    </w:p>
    <w:p>
      <w:pPr>
        <w:pStyle w:val="TextBody"/>
        <w:spacing w:before="240" w:after="0"/>
        <w:jc w:val="left"/>
        <w:rPr>
          <w:rFonts w:ascii="Times New Roman" w:hAnsi="Times New Roman"/>
          <w:sz w:val="20"/>
        </w:rPr>
      </w:pPr>
      <w:r>
        <w:rPr>
          <w:rFonts w:ascii="Times New Roman" w:hAnsi="Times New Roman"/>
          <w:sz w:val="20"/>
        </w:rPr>
        <w:t xml:space="preserve">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 </w:t>
      </w:r>
    </w:p>
    <w:p>
      <w:pPr>
        <w:pStyle w:val="TextBody"/>
        <w:spacing w:before="480" w:after="0"/>
        <w:jc w:val="center"/>
        <w:rPr>
          <w:rFonts w:ascii="Times New Roman" w:hAnsi="Times New Roman"/>
          <w:b/>
          <w:sz w:val="20"/>
        </w:rPr>
      </w:pPr>
      <w:bookmarkStart w:id="10" w:name="toc478714_7"/>
      <w:bookmarkEnd w:id="10"/>
      <w:r>
        <w:rPr>
          <w:rFonts w:ascii="Times New Roman" w:hAnsi="Times New Roman"/>
          <w:b/>
          <w:sz w:val="20"/>
        </w:rPr>
        <w:t xml:space="preserve">SENIOR SECURITIES </w:t>
      </w:r>
    </w:p>
    <w:p>
      <w:pPr>
        <w:pStyle w:val="TextBody"/>
        <w:spacing w:before="240" w:after="0"/>
        <w:jc w:val="left"/>
        <w:rPr>
          <w:rFonts w:ascii="Times New Roman" w:hAnsi="Times New Roman"/>
          <w:sz w:val="20"/>
        </w:rPr>
      </w:pPr>
      <w:r>
        <w:rPr>
          <w:rFonts w:ascii="Times New Roman" w:hAnsi="Times New Roman"/>
          <w:sz w:val="20"/>
        </w:rPr>
        <w:t xml:space="preserve">Information about our senior securities shown as of September 30, 2022, 2021, 2020, 2019, 2018, 2017, 2016 2015, 2014 and 2013 is located in “Part II, Item 7 – Management’s Discussion and Analysis of Financial Condition and Results of Operations – Liquidity and Capital Resources – Senior Securities” in our most recent Annual Report on Form 10-K, and is incorporated by reference into the registration statement of which this prospectus is a part, and the report of RSM US LLP, an independent registered public accounting firm, on our senior securities table as of September 30, 2022 is included in our most recent Annual Report on Form 10-K, filed on November 17, 2022, and is incorporated by reference into the registration statement of which this prospectus is a part. </w:t>
      </w:r>
    </w:p>
    <w:p>
      <w:pPr>
        <w:pStyle w:val="TextBody"/>
        <w:spacing w:before="480" w:after="0"/>
        <w:jc w:val="center"/>
        <w:rPr>
          <w:rFonts w:ascii="Times New Roman" w:hAnsi="Times New Roman"/>
          <w:b/>
          <w:sz w:val="20"/>
        </w:rPr>
      </w:pPr>
      <w:bookmarkStart w:id="11" w:name="toc478714_8"/>
      <w:bookmarkEnd w:id="11"/>
      <w:r>
        <w:rPr>
          <w:rFonts w:ascii="Times New Roman" w:hAnsi="Times New Roman"/>
          <w:b/>
          <w:sz w:val="20"/>
        </w:rPr>
        <w:t xml:space="preserve">PRICE RANGE OF COMMON STOCK </w:t>
      </w:r>
    </w:p>
    <w:p>
      <w:pPr>
        <w:pStyle w:val="TextBody"/>
        <w:spacing w:before="240" w:after="0"/>
        <w:jc w:val="left"/>
        <w:rPr>
          <w:rFonts w:ascii="Times New Roman" w:hAnsi="Times New Roman"/>
          <w:sz w:val="20"/>
        </w:rPr>
      </w:pPr>
      <w:r>
        <w:rPr>
          <w:rFonts w:ascii="Times New Roman" w:hAnsi="Times New Roman"/>
          <w:sz w:val="20"/>
        </w:rPr>
        <w:t xml:space="preserve">Information about the price range of our common stock is located in “Part II, Item 5 – Market for Registrant’s Common Equity, Related Stockholder Matters and Issuer Purchases of Equity Securities – Price Range of Common Stock” in our most recent Annual Report on Form 10-K and is incorporated by reference into the registration statement of which this prospectus is a part. </w:t>
      </w:r>
    </w:p>
    <w:p>
      <w:pPr>
        <w:pStyle w:val="TextBody"/>
        <w:spacing w:before="480" w:after="0"/>
        <w:jc w:val="center"/>
        <w:rPr>
          <w:rFonts w:ascii="Times New Roman" w:hAnsi="Times New Roman"/>
          <w:b/>
          <w:sz w:val="20"/>
        </w:rPr>
      </w:pPr>
      <w:bookmarkStart w:id="12" w:name="toc478714_105"/>
      <w:bookmarkStart w:id="13" w:name="toc478714_9"/>
      <w:bookmarkEnd w:id="12"/>
      <w:bookmarkEnd w:id="13"/>
      <w:r>
        <w:rPr>
          <w:rFonts w:ascii="Times New Roman" w:hAnsi="Times New Roman"/>
          <w:b/>
          <w:sz w:val="20"/>
        </w:rPr>
        <w:t xml:space="preserve">SALES OF COMMON STOCK BELOW NET ASSET VALUE </w:t>
      </w:r>
    </w:p>
    <w:p>
      <w:pPr>
        <w:pStyle w:val="TextBody"/>
        <w:spacing w:before="240" w:after="0"/>
        <w:jc w:val="left"/>
        <w:rPr>
          <w:rFonts w:ascii="Times New Roman" w:hAnsi="Times New Roman"/>
          <w:sz w:val="20"/>
        </w:rPr>
      </w:pPr>
      <w:r>
        <w:rPr>
          <w:rFonts w:ascii="Times New Roman" w:hAnsi="Times New Roman"/>
          <w:sz w:val="20"/>
        </w:rPr>
        <w:t xml:space="preserve">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effect that an offering below NAV per share would have on our stockholders, including the potential dilution they would experience as a result of the offering;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 per share by which the offering price per share and the net proceeds per share are less than the most recently determined NAV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relationship of recent market prices of our common stock to NAV per share and the potential impact of the offering on the market price per share of our common stock;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Whether the estimated offering price would closely approximate the market value of our shares, less distributing commissions or discounts, and would not be below current market price; </w:t>
            </w:r>
          </w:p>
        </w:tc>
      </w:tr>
    </w:tbl>
    <w:p>
      <w:pPr>
        <w:pStyle w:val="TextBody"/>
        <w:spacing w:before="0" w:after="0"/>
        <w:jc w:val="left"/>
        <w:rPr/>
      </w:pPr>
      <w:r>
        <w:rPr/>
        <w:t> </w:t>
      </w:r>
    </w:p>
    <w:tbl>
      <w:tblPr>
        <w:tblW w:w="7510" w:type="dxa"/>
        <w:jc w:val="left"/>
        <w:tblInd w:w="0" w:type="dxa"/>
        <w:tblCellMar>
          <w:top w:w="0" w:type="dxa"/>
          <w:left w:w="0" w:type="dxa"/>
          <w:bottom w:w="0" w:type="dxa"/>
          <w:right w:w="0" w:type="dxa"/>
        </w:tblCellMar>
      </w:tblPr>
      <w:tblGrid>
        <w:gridCol w:w="75"/>
        <w:gridCol w:w="110"/>
        <w:gridCol w:w="60"/>
        <w:gridCol w:w="7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potential market impact of being able to raise capital in the current financial market; </w:t>
            </w:r>
          </w:p>
        </w:tc>
      </w:tr>
    </w:tbl>
    <w:p>
      <w:pPr>
        <w:pStyle w:val="TextBody"/>
        <w:spacing w:before="0" w:after="0"/>
        <w:jc w:val="left"/>
        <w:rPr/>
      </w:pPr>
      <w:r>
        <w:rPr/>
        <w:t> </w:t>
      </w:r>
    </w:p>
    <w:tbl>
      <w:tblPr>
        <w:tblW w:w="6520" w:type="dxa"/>
        <w:jc w:val="left"/>
        <w:tblInd w:w="0" w:type="dxa"/>
        <w:tblCellMar>
          <w:top w:w="0" w:type="dxa"/>
          <w:left w:w="0" w:type="dxa"/>
          <w:bottom w:w="0" w:type="dxa"/>
          <w:right w:w="0" w:type="dxa"/>
        </w:tblCellMar>
      </w:tblPr>
      <w:tblGrid>
        <w:gridCol w:w="75"/>
        <w:gridCol w:w="110"/>
        <w:gridCol w:w="60"/>
        <w:gridCol w:w="62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nature of any new investors anticipated to acquire shares in the offering; </w:t>
            </w:r>
          </w:p>
        </w:tc>
      </w:tr>
    </w:tbl>
    <w:p>
      <w:pPr>
        <w:pStyle w:val="TextBody"/>
        <w:spacing w:before="0" w:after="0"/>
        <w:jc w:val="left"/>
        <w:rPr/>
      </w:pPr>
      <w:r>
        <w:rPr/>
        <w:t> </w:t>
      </w:r>
    </w:p>
    <w:tbl>
      <w:tblPr>
        <w:tblW w:w="6985" w:type="dxa"/>
        <w:jc w:val="left"/>
        <w:tblInd w:w="0" w:type="dxa"/>
        <w:tblCellMar>
          <w:top w:w="0" w:type="dxa"/>
          <w:left w:w="0" w:type="dxa"/>
          <w:bottom w:w="0" w:type="dxa"/>
          <w:right w:w="0" w:type="dxa"/>
        </w:tblCellMar>
      </w:tblPr>
      <w:tblGrid>
        <w:gridCol w:w="75"/>
        <w:gridCol w:w="110"/>
        <w:gridCol w:w="60"/>
        <w:gridCol w:w="67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anticipated rate of return on and quality, type and availability of investments; </w:t>
            </w:r>
          </w:p>
        </w:tc>
      </w:tr>
    </w:tbl>
    <w:p>
      <w:pPr>
        <w:pStyle w:val="TextBody"/>
        <w:spacing w:before="0" w:after="0"/>
        <w:jc w:val="left"/>
        <w:rPr/>
      </w:pPr>
      <w:r>
        <w:rPr/>
        <w:t> </w:t>
      </w:r>
    </w:p>
    <w:tbl>
      <w:tblPr>
        <w:tblW w:w="7945" w:type="dxa"/>
        <w:jc w:val="left"/>
        <w:tblInd w:w="0" w:type="dxa"/>
        <w:tblCellMar>
          <w:top w:w="0" w:type="dxa"/>
          <w:left w:w="0" w:type="dxa"/>
          <w:bottom w:w="0" w:type="dxa"/>
          <w:right w:w="0" w:type="dxa"/>
        </w:tblCellMar>
      </w:tblPr>
      <w:tblGrid>
        <w:gridCol w:w="75"/>
        <w:gridCol w:w="110"/>
        <w:gridCol w:w="60"/>
        <w:gridCol w:w="77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leverage available to us, both before and after the offering and other borrowing terms;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potential investment opportunities available relative to the potential dilutive effect of additional capital at the time of the offering.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 </w:t>
      </w:r>
    </w:p>
    <w:p>
      <w:pPr>
        <w:pStyle w:val="TextBody"/>
        <w:spacing w:before="240" w:after="0"/>
        <w:jc w:val="left"/>
        <w:rPr>
          <w:rFonts w:ascii="Times New Roman" w:hAnsi="Times New Roman"/>
          <w:sz w:val="20"/>
        </w:rPr>
      </w:pPr>
      <w:r>
        <w:rPr>
          <w:rFonts w:ascii="Times New Roman" w:hAnsi="Times New Roman"/>
          <w:sz w:val="20"/>
        </w:rPr>
        <w:t xml:space="preserve">Sales by us of our common stock at a discount from NAV pose potential risks for our existing stockholders whether or not they participate in the offering, as well as for new investors who participate in the offering. As of the date of this registration statement, stockholders have not approved sales of our common stock below our then current NAV per share. </w:t>
      </w:r>
    </w:p>
    <w:p>
      <w:pPr>
        <w:pStyle w:val="TextBody"/>
        <w:spacing w:before="240" w:after="0"/>
        <w:jc w:val="left"/>
        <w:rPr>
          <w:rFonts w:ascii="Times New Roman" w:hAnsi="Times New Roman"/>
          <w:sz w:val="20"/>
        </w:rPr>
      </w:pPr>
      <w:r>
        <w:rPr>
          <w:rFonts w:ascii="Times New Roman" w:hAnsi="Times New Roman"/>
          <w:sz w:val="20"/>
        </w:rPr>
        <w:t xml:space="preserve">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 </w:t>
      </w:r>
    </w:p>
    <w:p>
      <w:pPr>
        <w:pStyle w:val="TextBody"/>
        <w:spacing w:before="240" w:after="0"/>
        <w:jc w:val="left"/>
        <w:rPr>
          <w:rFonts w:ascii="Times New Roman" w:hAnsi="Times New Roman"/>
          <w:sz w:val="20"/>
        </w:rPr>
      </w:pPr>
      <w:r>
        <w:rPr>
          <w:rFonts w:ascii="Times New Roman" w:hAnsi="Times New Roman"/>
          <w:sz w:val="20"/>
        </w:rPr>
        <w:t xml:space="preserve">The following three headings and accompanying tables explain and provide hypothetical examples assuming proceeds are temporarily invested in cash equivalents on the impact of an offering at a price less than NAV per share on three different sets of investors: </w:t>
      </w:r>
    </w:p>
    <w:p>
      <w:pPr>
        <w:pStyle w:val="TextBody"/>
        <w:spacing w:before="0" w:after="0"/>
        <w:jc w:val="left"/>
        <w:rPr/>
      </w:pPr>
      <w:r>
        <w:rPr/>
        <w:t> </w:t>
      </w:r>
    </w:p>
    <w:tbl>
      <w:tblPr>
        <w:tblW w:w="5935" w:type="dxa"/>
        <w:jc w:val="left"/>
        <w:tblInd w:w="0" w:type="dxa"/>
        <w:tblCellMar>
          <w:top w:w="0" w:type="dxa"/>
          <w:left w:w="0" w:type="dxa"/>
          <w:bottom w:w="0" w:type="dxa"/>
          <w:right w:w="0" w:type="dxa"/>
        </w:tblCellMar>
      </w:tblPr>
      <w:tblGrid>
        <w:gridCol w:w="75"/>
        <w:gridCol w:w="110"/>
        <w:gridCol w:w="60"/>
        <w:gridCol w:w="56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existing stockholders who do not purchase any shares in the offering;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existing stockholders who purchase a relatively small amount of shares in the offering or a relatively large amount of shares in the offering; and </w:t>
            </w:r>
          </w:p>
        </w:tc>
      </w:tr>
    </w:tbl>
    <w:p>
      <w:pPr>
        <w:pStyle w:val="TextBody"/>
        <w:spacing w:before="0" w:after="0"/>
        <w:jc w:val="left"/>
        <w:rPr/>
      </w:pPr>
      <w:r>
        <w:rPr/>
        <w:t> </w:t>
      </w:r>
    </w:p>
    <w:tbl>
      <w:tblPr>
        <w:tblW w:w="6565" w:type="dxa"/>
        <w:jc w:val="left"/>
        <w:tblInd w:w="0" w:type="dxa"/>
        <w:tblCellMar>
          <w:top w:w="0" w:type="dxa"/>
          <w:left w:w="0" w:type="dxa"/>
          <w:bottom w:w="0" w:type="dxa"/>
          <w:right w:w="0" w:type="dxa"/>
        </w:tblCellMar>
      </w:tblPr>
      <w:tblGrid>
        <w:gridCol w:w="75"/>
        <w:gridCol w:w="110"/>
        <w:gridCol w:w="60"/>
        <w:gridCol w:w="6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new investors who become stockholders by purchasing shares in the offering. </w:t>
            </w:r>
          </w:p>
        </w:tc>
      </w:tr>
    </w:tbl>
    <w:p>
      <w:pPr>
        <w:pStyle w:val="TextBody"/>
        <w:spacing w:before="360" w:after="0"/>
        <w:jc w:val="left"/>
        <w:rPr>
          <w:rFonts w:ascii="Times New Roman" w:hAnsi="Times New Roman"/>
          <w:b/>
          <w:i/>
          <w:sz w:val="20"/>
        </w:rPr>
      </w:pPr>
      <w:r>
        <w:rPr>
          <w:rFonts w:ascii="Times New Roman" w:hAnsi="Times New Roman"/>
          <w:b/>
          <w:i/>
          <w:sz w:val="20"/>
        </w:rPr>
        <w:t xml:space="preserve">Impact on Existing Stockholders who do not Participate in the Offering </w:t>
      </w:r>
    </w:p>
    <w:p>
      <w:pPr>
        <w:pStyle w:val="TextBody"/>
        <w:spacing w:before="120" w:after="0"/>
        <w:jc w:val="left"/>
        <w:rPr>
          <w:rFonts w:ascii="Times New Roman" w:hAnsi="Times New Roman"/>
          <w:sz w:val="20"/>
        </w:rPr>
      </w:pPr>
      <w:r>
        <w:rPr>
          <w:rFonts w:ascii="Times New Roman" w:hAnsi="Times New Roman"/>
          <w:sz w:val="20"/>
        </w:rPr>
        <w:t xml:space="preserve">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 </w:t>
      </w:r>
    </w:p>
    <w:p>
      <w:pPr>
        <w:pStyle w:val="TextBody"/>
        <w:spacing w:before="240" w:after="0"/>
        <w:jc w:val="left"/>
        <w:rPr>
          <w:rFonts w:ascii="Times New Roman" w:hAnsi="Times New Roman"/>
          <w:sz w:val="20"/>
        </w:rPr>
      </w:pPr>
      <w:r>
        <w:rPr>
          <w:rFonts w:ascii="Times New Roman" w:hAnsi="Times New Roman"/>
          <w:sz w:val="20"/>
        </w:rPr>
        <w:t xml:space="preserve">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 </w:t>
      </w:r>
    </w:p>
    <w:p>
      <w:pPr>
        <w:pStyle w:val="TextBody"/>
        <w:spacing w:before="0" w:after="0"/>
        <w:jc w:val="left"/>
        <w:rPr/>
      </w:pPr>
      <w:r>
        <w:rPr/>
        <w:t> </w:t>
      </w:r>
    </w:p>
    <w:tbl>
      <w:tblPr>
        <w:tblW w:w="10635" w:type="dxa"/>
        <w:jc w:val="left"/>
        <w:tblInd w:w="0" w:type="dxa"/>
        <w:tblCellMar>
          <w:top w:w="0" w:type="dxa"/>
          <w:left w:w="0" w:type="dxa"/>
          <w:bottom w:w="0" w:type="dxa"/>
          <w:right w:w="0" w:type="dxa"/>
        </w:tblCellMar>
      </w:tblPr>
      <w:tblGrid>
        <w:gridCol w:w="1175"/>
        <w:gridCol w:w="60"/>
        <w:gridCol w:w="161"/>
        <w:gridCol w:w="1134"/>
        <w:gridCol w:w="275"/>
        <w:gridCol w:w="60"/>
        <w:gridCol w:w="140"/>
        <w:gridCol w:w="980"/>
        <w:gridCol w:w="275"/>
        <w:gridCol w:w="60"/>
        <w:gridCol w:w="85"/>
        <w:gridCol w:w="730"/>
        <w:gridCol w:w="275"/>
        <w:gridCol w:w="60"/>
        <w:gridCol w:w="140"/>
        <w:gridCol w:w="980"/>
        <w:gridCol w:w="275"/>
        <w:gridCol w:w="60"/>
        <w:gridCol w:w="78"/>
        <w:gridCol w:w="737"/>
        <w:gridCol w:w="275"/>
        <w:gridCol w:w="60"/>
        <w:gridCol w:w="140"/>
        <w:gridCol w:w="980"/>
        <w:gridCol w:w="275"/>
        <w:gridCol w:w="60"/>
        <w:gridCol w:w="70"/>
        <w:gridCol w:w="745"/>
        <w:gridCol w:w="290"/>
      </w:tblGrid>
      <w:tr>
        <w:trPr/>
        <w:tc>
          <w:tcPr>
            <w:tcW w:w="11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295"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Prior to Sale</w:t>
              <w:br/>
              <w:t>Below NAV</w:t>
            </w:r>
          </w:p>
        </w:tc>
        <w:tc>
          <w:tcPr>
            <w:tcW w:w="275"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7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Example 1</w:t>
              <w:br/>
              <w:t>5% Offering at</w:t>
              <w:br/>
              <w:t>5% Discount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7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Example 2</w:t>
              <w:br/>
              <w:t>10% Offering at</w:t>
              <w:br/>
              <w:t>10% Discount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7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Example 3</w:t>
              <w:br/>
              <w:t>25% Offering at</w:t>
              <w:br/>
              <w:t>25% Discount</w:t>
            </w:r>
          </w:p>
        </w:tc>
        <w:tc>
          <w:tcPr>
            <w:tcW w:w="290" w:type="dxa"/>
            <w:tcBorders/>
            <w:shd w:fill="auto"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1295" w:type="dxa"/>
            <w:gridSpan w:val="2"/>
            <w:vMerge w:val="continue"/>
            <w:tcBorders>
              <w:bottom w:val="single" w:sz="8" w:space="0" w:color="000000"/>
            </w:tcBorders>
            <w:shd w:fill="auto" w:val="clear"/>
            <w:tcMar>
              <w:bottom w:w="28" w:type="dxa"/>
            </w:tcMar>
            <w:vAlign w:val="center"/>
          </w:tcPr>
          <w:p>
            <w:pPr>
              <w:pStyle w:val="Normal"/>
              <w:rPr/>
            </w:pPr>
            <w:r>
              <w:rPr/>
            </w:r>
          </w:p>
        </w:tc>
        <w:tc>
          <w:tcPr>
            <w:tcW w:w="27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Following</w:t>
              <w:br/>
              <w:t>Sale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br/>
              <w:t>Change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Following</w:t>
              <w:br/>
              <w:t>Sale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br/>
              <w:t>Change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Following</w:t>
              <w:br/>
              <w:t>Sale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br/>
              <w:t>Change</w:t>
            </w:r>
          </w:p>
        </w:tc>
        <w:tc>
          <w:tcPr>
            <w:tcW w:w="29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b/>
                <w:i/>
                <w:sz w:val="20"/>
              </w:rPr>
            </w:pPr>
            <w:r>
              <w:rPr>
                <w:rFonts w:ascii="Times New Roman" w:hAnsi="Times New Roman"/>
                <w:b/>
                <w:i/>
                <w:sz w:val="20"/>
              </w:rPr>
              <w:t>Offering Price</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sz w:val="4"/>
                <w:szCs w:val="4"/>
              </w:rPr>
            </w:pPr>
            <w:r>
              <w:rPr>
                <w:sz w:val="4"/>
                <w:szCs w:val="4"/>
              </w:rPr>
            </w:r>
          </w:p>
        </w:tc>
        <w:tc>
          <w:tcPr>
            <w:tcW w:w="1134"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sz w:val="4"/>
                <w:szCs w:val="4"/>
              </w:rPr>
            </w:pPr>
            <w:r>
              <w:rPr>
                <w:sz w:val="4"/>
                <w:szCs w:val="4"/>
              </w:rPr>
            </w:r>
          </w:p>
        </w:tc>
        <w:tc>
          <w:tcPr>
            <w:tcW w:w="73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737"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745"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Price per share to public</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13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9.47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7.89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45"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offering proceeds per share to issuer</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13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9.50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7.50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b/>
                <w:i/>
                <w:sz w:val="20"/>
              </w:rPr>
            </w:pPr>
            <w:r>
              <w:rPr>
                <w:rFonts w:ascii="Times New Roman" w:hAnsi="Times New Roman"/>
                <w:b/>
                <w:i/>
                <w:sz w:val="20"/>
              </w:rPr>
              <w:t>Decrease to NAV</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shares outstanding</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134" w:type="dxa"/>
            <w:tcBorders/>
            <w:shd w:fill="CCEEFF" w:val="clear"/>
            <w:vAlign w:val="center"/>
          </w:tcPr>
          <w:p>
            <w:pPr>
              <w:pStyle w:val="TableContents"/>
              <w:spacing w:before="0" w:after="283"/>
              <w:jc w:val="right"/>
              <w:rPr/>
            </w:pPr>
            <w:r>
              <w:rPr/>
              <w:t>1,000,000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1,050,000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5.00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1,100,000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10.00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1,250,000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jc w:val="right"/>
              <w:rPr/>
            </w:pPr>
            <w:r>
              <w:rPr/>
              <w:t>25.00</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NAV per share</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w:t>
            </w:r>
          </w:p>
        </w:tc>
        <w:tc>
          <w:tcPr>
            <w:tcW w:w="1134" w:type="dxa"/>
            <w:tcBorders/>
            <w:shd w:fill="auto" w:val="clear"/>
            <w:vAlign w:val="center"/>
          </w:tcPr>
          <w:p>
            <w:pPr>
              <w:pStyle w:val="TableContents"/>
              <w:spacing w:before="0" w:after="283"/>
              <w:jc w:val="right"/>
              <w:rPr/>
            </w:pPr>
            <w:r>
              <w:rPr/>
              <w:t>10.00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9.98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(0.20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9.91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(0.90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9.50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45" w:type="dxa"/>
            <w:tcBorders/>
            <w:shd w:fill="auto" w:val="clear"/>
            <w:vAlign w:val="center"/>
          </w:tcPr>
          <w:p>
            <w:pPr>
              <w:pStyle w:val="TableContents"/>
              <w:spacing w:before="0" w:after="283"/>
              <w:jc w:val="right"/>
              <w:rPr/>
            </w:pPr>
            <w:r>
              <w:rPr/>
              <w:t>(5.00</w:t>
            </w:r>
          </w:p>
        </w:tc>
        <w:tc>
          <w:tcPr>
            <w:tcW w:w="29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b/>
                <w:i/>
                <w:sz w:val="20"/>
              </w:rPr>
            </w:pPr>
            <w:r>
              <w:rPr>
                <w:rFonts w:ascii="Times New Roman" w:hAnsi="Times New Roman"/>
                <w:b/>
                <w:i/>
                <w:sz w:val="20"/>
              </w:rPr>
              <w:t>Dilution to Stockholder A</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sz w:val="4"/>
                <w:szCs w:val="4"/>
              </w:rPr>
            </w:pPr>
            <w:r>
              <w:rPr>
                <w:sz w:val="4"/>
                <w:szCs w:val="4"/>
              </w:rPr>
            </w:r>
          </w:p>
        </w:tc>
        <w:tc>
          <w:tcPr>
            <w:tcW w:w="1134"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sz w:val="4"/>
                <w:szCs w:val="4"/>
              </w:rPr>
            </w:pPr>
            <w:r>
              <w:rPr>
                <w:sz w:val="4"/>
                <w:szCs w:val="4"/>
              </w:rPr>
            </w:r>
          </w:p>
        </w:tc>
        <w:tc>
          <w:tcPr>
            <w:tcW w:w="73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737"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745"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Shares held by stockholder A</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134" w:type="dxa"/>
            <w:tcBorders/>
            <w:shd w:fill="auto" w:val="clear"/>
            <w:vAlign w:val="center"/>
          </w:tcPr>
          <w:p>
            <w:pPr>
              <w:pStyle w:val="TableContents"/>
              <w:spacing w:before="0" w:after="283"/>
              <w:jc w:val="right"/>
              <w:rPr/>
            </w:pPr>
            <w:r>
              <w:rPr/>
              <w:t>10,000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45"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Percentage held by stockholder A</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134" w:type="dxa"/>
            <w:tcBorders/>
            <w:shd w:fill="CCEEFF" w:val="clear"/>
            <w:vAlign w:val="center"/>
          </w:tcPr>
          <w:p>
            <w:pPr>
              <w:pStyle w:val="TableContents"/>
              <w:spacing w:before="0" w:after="283"/>
              <w:jc w:val="right"/>
              <w:rPr/>
            </w:pPr>
            <w:r>
              <w:rPr/>
              <w:t>1.00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0.95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(5.00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0.91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(9.00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0.80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jc w:val="right"/>
              <w:rPr/>
            </w:pPr>
            <w:r>
              <w:rPr/>
              <w:t>(20.00</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Asset Values</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NAV held by stockholder A</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w:t>
            </w:r>
          </w:p>
        </w:tc>
        <w:tc>
          <w:tcPr>
            <w:tcW w:w="1134" w:type="dxa"/>
            <w:tcBorders/>
            <w:shd w:fill="CCEEFF" w:val="clear"/>
            <w:vAlign w:val="center"/>
          </w:tcPr>
          <w:p>
            <w:pPr>
              <w:pStyle w:val="TableContents"/>
              <w:spacing w:before="0" w:after="283"/>
              <w:jc w:val="right"/>
              <w:rPr/>
            </w:pPr>
            <w:r>
              <w:rPr/>
              <w:t>100,000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99,800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(0.20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99,100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(0.90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95,000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jc w:val="right"/>
              <w:rPr/>
            </w:pPr>
            <w:r>
              <w:rPr/>
              <w:t>(5.00</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investment by stockholder A (assumed to be $10.00 per share)</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w:t>
            </w:r>
          </w:p>
        </w:tc>
        <w:tc>
          <w:tcPr>
            <w:tcW w:w="1134" w:type="dxa"/>
            <w:tcBorders/>
            <w:shd w:fill="auto" w:val="clear"/>
            <w:vAlign w:val="center"/>
          </w:tcPr>
          <w:p>
            <w:pPr>
              <w:pStyle w:val="TableContents"/>
              <w:spacing w:before="0" w:after="283"/>
              <w:jc w:val="right"/>
              <w:rPr/>
            </w:pPr>
            <w:r>
              <w:rPr/>
              <w:t>100,000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100,000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100,000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100,000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45"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dilution to stockholder A (total NAV less total investment)</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13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(5,000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Per Share Amounts</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NAV per share held by stockholder A</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13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9.98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9.91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9.50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Investment per share held by stockholder A (assumed to be $10.00 per share on shares held prior to sale)</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w:t>
            </w:r>
          </w:p>
        </w:tc>
        <w:tc>
          <w:tcPr>
            <w:tcW w:w="1134" w:type="dxa"/>
            <w:tcBorders/>
            <w:shd w:fill="auto" w:val="clear"/>
            <w:vAlign w:val="center"/>
          </w:tcPr>
          <w:p>
            <w:pPr>
              <w:pStyle w:val="TableContents"/>
              <w:spacing w:before="0" w:after="283"/>
              <w:jc w:val="right"/>
              <w:rPr/>
            </w:pPr>
            <w:r>
              <w:rPr/>
              <w:t>10.00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45"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Dilution per share held by stockholder A (NAV per share less investment per share)</w:t>
            </w:r>
          </w:p>
        </w:tc>
        <w:tc>
          <w:tcPr>
            <w:tcW w:w="6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13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(0.02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(0.09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(0.50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Percentage dilution to stockholder A (dilution per share divided by investment per share)</w:t>
            </w:r>
          </w:p>
        </w:tc>
        <w:tc>
          <w:tcPr>
            <w:tcW w:w="6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13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(0.20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(0.90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45" w:type="dxa"/>
            <w:tcBorders/>
            <w:shd w:fill="auto" w:val="clear"/>
            <w:vAlign w:val="center"/>
          </w:tcPr>
          <w:p>
            <w:pPr>
              <w:pStyle w:val="TableContents"/>
              <w:spacing w:before="0" w:after="283"/>
              <w:jc w:val="right"/>
              <w:rPr/>
            </w:pPr>
            <w:r>
              <w:rPr/>
              <w:t>(5.00</w:t>
            </w:r>
          </w:p>
        </w:tc>
        <w:tc>
          <w:tcPr>
            <w:tcW w:w="29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rPr/>
      </w:pPr>
      <w:r>
        <w:rPr/>
      </w:r>
    </w:p>
    <w:p>
      <w:pPr>
        <w:pStyle w:val="TextBody"/>
        <w:spacing w:before="0" w:after="0"/>
        <w:jc w:val="left"/>
        <w:rPr>
          <w:rFonts w:ascii="Times New Roman" w:hAnsi="Times New Roman"/>
          <w:b/>
          <w:i/>
          <w:sz w:val="20"/>
        </w:rPr>
      </w:pPr>
      <w:r>
        <w:rPr>
          <w:rFonts w:ascii="Times New Roman" w:hAnsi="Times New Roman"/>
          <w:b/>
          <w:i/>
          <w:sz w:val="20"/>
        </w:rPr>
        <w:t xml:space="preserve">Impact on Existing Stockholders who Participate in the Offering </w:t>
      </w:r>
    </w:p>
    <w:p>
      <w:pPr>
        <w:pStyle w:val="TextBody"/>
        <w:spacing w:before="120" w:after="0"/>
        <w:jc w:val="left"/>
        <w:rPr>
          <w:rFonts w:ascii="Times New Roman" w:hAnsi="Times New Roman"/>
          <w:sz w:val="20"/>
        </w:rPr>
      </w:pPr>
      <w:r>
        <w:rPr>
          <w:rFonts w:ascii="Times New Roman" w:hAnsi="Times New Roman"/>
          <w:sz w:val="20"/>
        </w:rPr>
        <w:t xml:space="preserve">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 </w:t>
      </w:r>
    </w:p>
    <w:p>
      <w:pPr>
        <w:pStyle w:val="TextBody"/>
        <w:spacing w:before="240" w:after="0"/>
        <w:jc w:val="left"/>
        <w:rPr>
          <w:rFonts w:ascii="Times New Roman" w:hAnsi="Times New Roman"/>
          <w:sz w:val="20"/>
        </w:rPr>
      </w:pPr>
      <w:r>
        <w:rPr>
          <w:rFonts w:ascii="Times New Roman" w:hAnsi="Times New Roman"/>
          <w:sz w:val="20"/>
        </w:rPr>
        <w:t xml:space="preserve">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242"/>
        <w:gridCol w:w="120"/>
        <w:gridCol w:w="161"/>
        <w:gridCol w:w="1134"/>
        <w:gridCol w:w="275"/>
        <w:gridCol w:w="60"/>
        <w:gridCol w:w="140"/>
        <w:gridCol w:w="980"/>
        <w:gridCol w:w="275"/>
        <w:gridCol w:w="60"/>
        <w:gridCol w:w="70"/>
        <w:gridCol w:w="745"/>
        <w:gridCol w:w="298"/>
        <w:gridCol w:w="60"/>
        <w:gridCol w:w="140"/>
        <w:gridCol w:w="980"/>
        <w:gridCol w:w="275"/>
        <w:gridCol w:w="60"/>
        <w:gridCol w:w="78"/>
        <w:gridCol w:w="737"/>
        <w:gridCol w:w="315"/>
      </w:tblGrid>
      <w:tr>
        <w:trPr/>
        <w:tc>
          <w:tcPr>
            <w:tcW w:w="32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3242" w:type="dxa"/>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295"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Prior to Sale</w:t>
              <w:br/>
              <w:t>Below NAV</w:t>
            </w:r>
          </w:p>
        </w:tc>
        <w:tc>
          <w:tcPr>
            <w:tcW w:w="275"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7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50% Participation</w:t>
            </w:r>
          </w:p>
        </w:tc>
        <w:tc>
          <w:tcPr>
            <w:tcW w:w="29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7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150% Participation</w:t>
            </w:r>
          </w:p>
        </w:tc>
        <w:tc>
          <w:tcPr>
            <w:tcW w:w="315" w:type="dxa"/>
            <w:tcBorders/>
            <w:shd w:fill="auto" w:val="clear"/>
            <w:vAlign w:val="center"/>
          </w:tcPr>
          <w:p>
            <w:pPr>
              <w:pStyle w:val="TableContents"/>
              <w:spacing w:before="0" w:after="283"/>
              <w:rPr/>
            </w:pPr>
            <w:r>
              <w:rPr/>
              <w:t> </w:t>
            </w:r>
          </w:p>
        </w:tc>
      </w:tr>
      <w:tr>
        <w:trPr/>
        <w:tc>
          <w:tcPr>
            <w:tcW w:w="3242" w:type="dxa"/>
            <w:tcBorders/>
            <w:shd w:fill="auto" w:val="clear"/>
            <w:vAlign w:val="center"/>
          </w:tcPr>
          <w:p>
            <w:pPr>
              <w:pStyle w:val="TableContents"/>
              <w:spacing w:before="0" w:after="283"/>
              <w:rPr/>
            </w:pPr>
            <w:r>
              <w:rPr/>
              <w:t> </w:t>
            </w:r>
          </w:p>
        </w:tc>
        <w:tc>
          <w:tcPr>
            <w:tcW w:w="120" w:type="dxa"/>
            <w:vMerge w:val="continue"/>
            <w:tcBorders/>
            <w:shd w:fill="auto" w:val="clear"/>
            <w:vAlign w:val="center"/>
          </w:tcPr>
          <w:p>
            <w:pPr>
              <w:pStyle w:val="Normal"/>
              <w:rPr/>
            </w:pPr>
            <w:r>
              <w:rPr/>
            </w:r>
          </w:p>
        </w:tc>
        <w:tc>
          <w:tcPr>
            <w:tcW w:w="1295" w:type="dxa"/>
            <w:gridSpan w:val="2"/>
            <w:vMerge w:val="continue"/>
            <w:tcBorders>
              <w:bottom w:val="single" w:sz="8" w:space="0" w:color="000000"/>
            </w:tcBorders>
            <w:shd w:fill="auto" w:val="clear"/>
            <w:tcMar>
              <w:bottom w:w="28" w:type="dxa"/>
            </w:tcMar>
            <w:vAlign w:val="center"/>
          </w:tcPr>
          <w:p>
            <w:pPr>
              <w:pStyle w:val="Normal"/>
              <w:rPr/>
            </w:pPr>
            <w:r>
              <w:rPr/>
            </w:r>
          </w:p>
        </w:tc>
        <w:tc>
          <w:tcPr>
            <w:tcW w:w="27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Following</w:t>
              <w:br/>
              <w:t>Sale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br/>
              <w:t>Change</w:t>
            </w:r>
          </w:p>
        </w:tc>
        <w:tc>
          <w:tcPr>
            <w:tcW w:w="29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Following</w:t>
              <w:br/>
              <w:t>Sale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br/>
              <w:t>Change</w:t>
            </w:r>
          </w:p>
        </w:tc>
        <w:tc>
          <w:tcPr>
            <w:tcW w:w="315" w:type="dxa"/>
            <w:tcBorders/>
            <w:shd w:fill="auto" w:val="clear"/>
            <w:vAlign w:val="center"/>
          </w:tcPr>
          <w:p>
            <w:pPr>
              <w:pStyle w:val="TableContents"/>
              <w:spacing w:before="0" w:after="283"/>
              <w:rPr/>
            </w:pPr>
            <w:r>
              <w:rPr/>
              <w:t> </w:t>
            </w:r>
          </w:p>
        </w:tc>
      </w:tr>
      <w:tr>
        <w:trPr/>
        <w:tc>
          <w:tcPr>
            <w:tcW w:w="3242" w:type="dxa"/>
            <w:tcBorders/>
            <w:shd w:fill="CCEEFF" w:val="clear"/>
            <w:vAlign w:val="center"/>
          </w:tcPr>
          <w:p>
            <w:pPr>
              <w:pStyle w:val="TableContents"/>
              <w:spacing w:before="0" w:after="0"/>
              <w:rPr>
                <w:rFonts w:ascii="Times New Roman" w:hAnsi="Times New Roman"/>
                <w:b/>
                <w:i/>
                <w:sz w:val="20"/>
              </w:rPr>
            </w:pPr>
            <w:r>
              <w:rPr>
                <w:rFonts w:ascii="Times New Roman" w:hAnsi="Times New Roman"/>
                <w:b/>
                <w:i/>
                <w:sz w:val="20"/>
              </w:rPr>
              <w:t>Offering Price</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sz w:val="4"/>
                <w:szCs w:val="4"/>
              </w:rPr>
            </w:pPr>
            <w:r>
              <w:rPr>
                <w:sz w:val="4"/>
                <w:szCs w:val="4"/>
              </w:rPr>
            </w:r>
          </w:p>
        </w:tc>
        <w:tc>
          <w:tcPr>
            <w:tcW w:w="1134"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745" w:type="dxa"/>
            <w:tcBorders/>
            <w:shd w:fill="CCEEFF" w:val="clear"/>
            <w:vAlign w:val="center"/>
          </w:tcPr>
          <w:p>
            <w:pPr>
              <w:pStyle w:val="TableContents"/>
              <w:spacing w:before="0" w:after="283"/>
              <w:rPr>
                <w:sz w:val="4"/>
                <w:szCs w:val="4"/>
              </w:rPr>
            </w:pPr>
            <w:r>
              <w:rPr>
                <w:sz w:val="4"/>
                <w:szCs w:val="4"/>
              </w:rPr>
            </w:r>
          </w:p>
        </w:tc>
        <w:tc>
          <w:tcPr>
            <w:tcW w:w="29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737" w:type="dxa"/>
            <w:tcBorders/>
            <w:shd w:fill="CCEEFF" w:val="clear"/>
            <w:vAlign w:val="center"/>
          </w:tcPr>
          <w:p>
            <w:pPr>
              <w:pStyle w:val="TableContents"/>
              <w:spacing w:before="0" w:after="283"/>
              <w:rPr>
                <w:sz w:val="4"/>
                <w:szCs w:val="4"/>
              </w:rPr>
            </w:pPr>
            <w:r>
              <w:rPr>
                <w:sz w:val="4"/>
                <w:szCs w:val="4"/>
              </w:rPr>
            </w:r>
          </w:p>
        </w:tc>
        <w:tc>
          <w:tcPr>
            <w:tcW w:w="315" w:type="dxa"/>
            <w:tcBorders/>
            <w:shd w:fill="CCEEFF" w:val="clear"/>
            <w:vAlign w:val="center"/>
          </w:tcPr>
          <w:p>
            <w:pPr>
              <w:pStyle w:val="TableContents"/>
              <w:spacing w:before="0" w:after="283"/>
              <w:rPr>
                <w:sz w:val="4"/>
                <w:szCs w:val="4"/>
              </w:rPr>
            </w:pPr>
            <w:r>
              <w:rPr>
                <w:sz w:val="4"/>
                <w:szCs w:val="4"/>
              </w:rPr>
            </w:r>
          </w:p>
        </w:tc>
      </w:tr>
      <w:tr>
        <w:trPr/>
        <w:tc>
          <w:tcPr>
            <w:tcW w:w="324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Price per share to public</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13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7.89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45" w:type="dxa"/>
            <w:tcBorders/>
            <w:shd w:fill="auto" w:val="clear"/>
            <w:vAlign w:val="center"/>
          </w:tcPr>
          <w:p>
            <w:pPr>
              <w:pStyle w:val="TableContents"/>
              <w:spacing w:before="0" w:after="283"/>
              <w:jc w:val="right"/>
              <w:rPr/>
            </w:pPr>
            <w:r>
              <w:rPr/>
              <w:t>—  </w:t>
            </w:r>
          </w:p>
        </w:tc>
        <w:tc>
          <w:tcPr>
            <w:tcW w:w="29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7.89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315" w:type="dxa"/>
            <w:tcBorders/>
            <w:shd w:fill="auto" w:val="clear"/>
            <w:vAlign w:val="center"/>
          </w:tcPr>
          <w:p>
            <w:pPr>
              <w:pStyle w:val="TableContents"/>
              <w:spacing w:before="0" w:after="283"/>
              <w:rPr/>
            </w:pPr>
            <w:r>
              <w:rPr/>
              <w:t> </w:t>
            </w:r>
          </w:p>
        </w:tc>
      </w:tr>
      <w:tr>
        <w:trPr/>
        <w:tc>
          <w:tcPr>
            <w:tcW w:w="3242"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proceeds per share to issuer</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13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7.50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jc w:val="right"/>
              <w:rPr/>
            </w:pPr>
            <w:r>
              <w:rPr/>
              <w:t>—  </w:t>
            </w:r>
          </w:p>
        </w:tc>
        <w:tc>
          <w:tcPr>
            <w:tcW w:w="2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7.50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315" w:type="dxa"/>
            <w:tcBorders/>
            <w:shd w:fill="CCEEFF" w:val="clear"/>
            <w:vAlign w:val="center"/>
          </w:tcPr>
          <w:p>
            <w:pPr>
              <w:pStyle w:val="TableContents"/>
              <w:spacing w:before="0" w:after="283"/>
              <w:rPr/>
            </w:pPr>
            <w:r>
              <w:rPr/>
              <w:t> </w:t>
            </w:r>
          </w:p>
        </w:tc>
      </w:tr>
      <w:tr>
        <w:trPr/>
        <w:tc>
          <w:tcPr>
            <w:tcW w:w="3242" w:type="dxa"/>
            <w:tcBorders/>
            <w:shd w:fill="auto" w:val="clear"/>
            <w:vAlign w:val="center"/>
          </w:tcPr>
          <w:p>
            <w:pPr>
              <w:pStyle w:val="TableContents"/>
              <w:spacing w:before="0" w:after="0"/>
              <w:rPr>
                <w:rFonts w:ascii="Times New Roman" w:hAnsi="Times New Roman"/>
                <w:b/>
                <w:i/>
                <w:sz w:val="20"/>
              </w:rPr>
            </w:pPr>
            <w:r>
              <w:rPr>
                <w:rFonts w:ascii="Times New Roman" w:hAnsi="Times New Roman"/>
                <w:b/>
                <w:i/>
                <w:sz w:val="20"/>
              </w:rPr>
              <w:t>Increases in Shares and Decrease to NAV</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3242"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shares outstanding</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134" w:type="dxa"/>
            <w:tcBorders/>
            <w:shd w:fill="CCEEFF" w:val="clear"/>
            <w:vAlign w:val="center"/>
          </w:tcPr>
          <w:p>
            <w:pPr>
              <w:pStyle w:val="TableContents"/>
              <w:spacing w:before="0" w:after="283"/>
              <w:jc w:val="right"/>
              <w:rPr/>
            </w:pPr>
            <w:r>
              <w:rPr/>
              <w:t>1,000,000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1,250,000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jc w:val="right"/>
              <w:rPr/>
            </w:pPr>
            <w:r>
              <w:rPr/>
              <w:t>25.00</w:t>
            </w:r>
          </w:p>
        </w:tc>
        <w:tc>
          <w:tcPr>
            <w:tcW w:w="2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1,250,000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25.00</w:t>
            </w:r>
          </w:p>
        </w:tc>
        <w:tc>
          <w:tcPr>
            <w:tcW w:w="315" w:type="dxa"/>
            <w:tcBorders/>
            <w:shd w:fill="CCEEFF" w:val="clear"/>
            <w:vAlign w:val="center"/>
          </w:tcPr>
          <w:p>
            <w:pPr>
              <w:pStyle w:val="TableContents"/>
              <w:spacing w:before="0" w:after="283"/>
              <w:rPr/>
            </w:pPr>
            <w:r>
              <w:rPr/>
              <w:t>% </w:t>
            </w:r>
          </w:p>
        </w:tc>
      </w:tr>
      <w:tr>
        <w:trPr/>
        <w:tc>
          <w:tcPr>
            <w:tcW w:w="324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NAV per share</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w:t>
            </w:r>
          </w:p>
        </w:tc>
        <w:tc>
          <w:tcPr>
            <w:tcW w:w="1134" w:type="dxa"/>
            <w:tcBorders/>
            <w:shd w:fill="auto" w:val="clear"/>
            <w:vAlign w:val="center"/>
          </w:tcPr>
          <w:p>
            <w:pPr>
              <w:pStyle w:val="TableContents"/>
              <w:spacing w:before="0" w:after="283"/>
              <w:jc w:val="right"/>
              <w:rPr/>
            </w:pPr>
            <w:r>
              <w:rPr/>
              <w:t>10.00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9.50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45" w:type="dxa"/>
            <w:tcBorders/>
            <w:shd w:fill="auto" w:val="clear"/>
            <w:vAlign w:val="center"/>
          </w:tcPr>
          <w:p>
            <w:pPr>
              <w:pStyle w:val="TableContents"/>
              <w:spacing w:before="0" w:after="283"/>
              <w:jc w:val="right"/>
              <w:rPr/>
            </w:pPr>
            <w:r>
              <w:rPr/>
              <w:t>(5.00</w:t>
            </w:r>
          </w:p>
        </w:tc>
        <w:tc>
          <w:tcPr>
            <w:tcW w:w="29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9.50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(5.00</w:t>
            </w:r>
          </w:p>
        </w:tc>
        <w:tc>
          <w:tcPr>
            <w:tcW w:w="315" w:type="dxa"/>
            <w:tcBorders/>
            <w:shd w:fill="auto" w:val="clear"/>
            <w:vAlign w:val="center"/>
          </w:tcPr>
          <w:p>
            <w:pPr>
              <w:pStyle w:val="TableContents"/>
              <w:spacing w:before="0" w:after="283"/>
              <w:rPr/>
            </w:pPr>
            <w:r>
              <w:rPr/>
              <w:t>)% </w:t>
            </w:r>
          </w:p>
        </w:tc>
      </w:tr>
      <w:tr>
        <w:trPr/>
        <w:tc>
          <w:tcPr>
            <w:tcW w:w="3242" w:type="dxa"/>
            <w:tcBorders/>
            <w:shd w:fill="CCEEFF" w:val="clear"/>
            <w:vAlign w:val="center"/>
          </w:tcPr>
          <w:p>
            <w:pPr>
              <w:pStyle w:val="TableContents"/>
              <w:spacing w:before="0" w:after="0"/>
              <w:rPr>
                <w:rFonts w:ascii="Times New Roman" w:hAnsi="Times New Roman"/>
                <w:b/>
                <w:i/>
                <w:sz w:val="20"/>
              </w:rPr>
            </w:pPr>
            <w:r>
              <w:rPr>
                <w:rFonts w:ascii="Times New Roman" w:hAnsi="Times New Roman"/>
                <w:b/>
                <w:i/>
                <w:sz w:val="20"/>
              </w:rPr>
              <w:t>(Dilution)/Accretion to Participating Stockholder A</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sz w:val="4"/>
                <w:szCs w:val="4"/>
              </w:rPr>
            </w:pPr>
            <w:r>
              <w:rPr>
                <w:sz w:val="4"/>
                <w:szCs w:val="4"/>
              </w:rPr>
            </w:r>
          </w:p>
        </w:tc>
        <w:tc>
          <w:tcPr>
            <w:tcW w:w="1134"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745" w:type="dxa"/>
            <w:tcBorders/>
            <w:shd w:fill="CCEEFF" w:val="clear"/>
            <w:vAlign w:val="center"/>
          </w:tcPr>
          <w:p>
            <w:pPr>
              <w:pStyle w:val="TableContents"/>
              <w:spacing w:before="0" w:after="283"/>
              <w:rPr>
                <w:sz w:val="4"/>
                <w:szCs w:val="4"/>
              </w:rPr>
            </w:pPr>
            <w:r>
              <w:rPr>
                <w:sz w:val="4"/>
                <w:szCs w:val="4"/>
              </w:rPr>
            </w:r>
          </w:p>
        </w:tc>
        <w:tc>
          <w:tcPr>
            <w:tcW w:w="29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737" w:type="dxa"/>
            <w:tcBorders/>
            <w:shd w:fill="CCEEFF" w:val="clear"/>
            <w:vAlign w:val="center"/>
          </w:tcPr>
          <w:p>
            <w:pPr>
              <w:pStyle w:val="TableContents"/>
              <w:spacing w:before="0" w:after="283"/>
              <w:rPr>
                <w:sz w:val="4"/>
                <w:szCs w:val="4"/>
              </w:rPr>
            </w:pPr>
            <w:r>
              <w:rPr>
                <w:sz w:val="4"/>
                <w:szCs w:val="4"/>
              </w:rPr>
            </w:r>
          </w:p>
        </w:tc>
        <w:tc>
          <w:tcPr>
            <w:tcW w:w="315" w:type="dxa"/>
            <w:tcBorders/>
            <w:shd w:fill="CCEEFF" w:val="clear"/>
            <w:vAlign w:val="center"/>
          </w:tcPr>
          <w:p>
            <w:pPr>
              <w:pStyle w:val="TableContents"/>
              <w:spacing w:before="0" w:after="283"/>
              <w:rPr>
                <w:sz w:val="4"/>
                <w:szCs w:val="4"/>
              </w:rPr>
            </w:pPr>
            <w:r>
              <w:rPr>
                <w:sz w:val="4"/>
                <w:szCs w:val="4"/>
              </w:rPr>
            </w:r>
          </w:p>
        </w:tc>
      </w:tr>
      <w:tr>
        <w:trPr/>
        <w:tc>
          <w:tcPr>
            <w:tcW w:w="324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Shares held by stockholder A</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134" w:type="dxa"/>
            <w:tcBorders/>
            <w:shd w:fill="auto" w:val="clear"/>
            <w:vAlign w:val="center"/>
          </w:tcPr>
          <w:p>
            <w:pPr>
              <w:pStyle w:val="TableContents"/>
              <w:spacing w:before="0" w:after="283"/>
              <w:jc w:val="right"/>
              <w:rPr/>
            </w:pPr>
            <w:r>
              <w:rPr/>
              <w:t>10,000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11,250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45" w:type="dxa"/>
            <w:tcBorders/>
            <w:shd w:fill="auto" w:val="clear"/>
            <w:vAlign w:val="center"/>
          </w:tcPr>
          <w:p>
            <w:pPr>
              <w:pStyle w:val="TableContents"/>
              <w:spacing w:before="0" w:after="283"/>
              <w:jc w:val="right"/>
              <w:rPr/>
            </w:pPr>
            <w:r>
              <w:rPr/>
              <w:t>12.50</w:t>
            </w:r>
          </w:p>
        </w:tc>
        <w:tc>
          <w:tcPr>
            <w:tcW w:w="29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13,750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37.50</w:t>
            </w:r>
          </w:p>
        </w:tc>
        <w:tc>
          <w:tcPr>
            <w:tcW w:w="315" w:type="dxa"/>
            <w:tcBorders/>
            <w:shd w:fill="auto" w:val="clear"/>
            <w:vAlign w:val="center"/>
          </w:tcPr>
          <w:p>
            <w:pPr>
              <w:pStyle w:val="TableContents"/>
              <w:spacing w:before="0" w:after="283"/>
              <w:rPr/>
            </w:pPr>
            <w:r>
              <w:rPr/>
              <w:t>% </w:t>
            </w:r>
          </w:p>
        </w:tc>
      </w:tr>
      <w:tr>
        <w:trPr/>
        <w:tc>
          <w:tcPr>
            <w:tcW w:w="3242"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Percentage held by stockholder A</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134" w:type="dxa"/>
            <w:tcBorders/>
            <w:shd w:fill="CCEEFF" w:val="clear"/>
            <w:vAlign w:val="center"/>
          </w:tcPr>
          <w:p>
            <w:pPr>
              <w:pStyle w:val="TableContents"/>
              <w:spacing w:before="0" w:after="283"/>
              <w:jc w:val="right"/>
              <w:rPr/>
            </w:pPr>
            <w:r>
              <w:rPr/>
              <w:t>1.00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0.90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jc w:val="right"/>
              <w:rPr/>
            </w:pPr>
            <w:r>
              <w:rPr/>
              <w:t>(10.00</w:t>
            </w:r>
          </w:p>
        </w:tc>
        <w:tc>
          <w:tcPr>
            <w:tcW w:w="2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10.00</w:t>
            </w:r>
          </w:p>
        </w:tc>
        <w:tc>
          <w:tcPr>
            <w:tcW w:w="315" w:type="dxa"/>
            <w:tcBorders/>
            <w:shd w:fill="CCEEFF" w:val="clear"/>
            <w:vAlign w:val="center"/>
          </w:tcPr>
          <w:p>
            <w:pPr>
              <w:pStyle w:val="TableContents"/>
              <w:spacing w:before="0" w:after="283"/>
              <w:rPr/>
            </w:pPr>
            <w:r>
              <w:rPr/>
              <w:t>% </w:t>
            </w:r>
          </w:p>
        </w:tc>
      </w:tr>
      <w:tr>
        <w:trPr/>
        <w:tc>
          <w:tcPr>
            <w:tcW w:w="3242"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Asset Values</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3242"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NAV held by stockholder A</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w:t>
            </w:r>
          </w:p>
        </w:tc>
        <w:tc>
          <w:tcPr>
            <w:tcW w:w="1134" w:type="dxa"/>
            <w:tcBorders/>
            <w:shd w:fill="CCEEFF" w:val="clear"/>
            <w:vAlign w:val="center"/>
          </w:tcPr>
          <w:p>
            <w:pPr>
              <w:pStyle w:val="TableContents"/>
              <w:spacing w:before="0" w:after="283"/>
              <w:jc w:val="right"/>
              <w:rPr/>
            </w:pPr>
            <w:r>
              <w:rPr/>
              <w:t>100,000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106,875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jc w:val="right"/>
              <w:rPr/>
            </w:pPr>
            <w:r>
              <w:rPr/>
              <w:t>6.88</w:t>
            </w:r>
          </w:p>
        </w:tc>
        <w:tc>
          <w:tcPr>
            <w:tcW w:w="2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130,625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30.63</w:t>
            </w:r>
          </w:p>
        </w:tc>
        <w:tc>
          <w:tcPr>
            <w:tcW w:w="315" w:type="dxa"/>
            <w:tcBorders/>
            <w:shd w:fill="CCEEFF" w:val="clear"/>
            <w:vAlign w:val="center"/>
          </w:tcPr>
          <w:p>
            <w:pPr>
              <w:pStyle w:val="TableContents"/>
              <w:spacing w:before="0" w:after="283"/>
              <w:rPr/>
            </w:pPr>
            <w:r>
              <w:rPr/>
              <w:t>% </w:t>
            </w:r>
          </w:p>
        </w:tc>
      </w:tr>
      <w:tr>
        <w:trPr/>
        <w:tc>
          <w:tcPr>
            <w:tcW w:w="324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investment by stockholder A (assumed to be $10.00 per share on shares held prior to sale)</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w:t>
            </w:r>
          </w:p>
        </w:tc>
        <w:tc>
          <w:tcPr>
            <w:tcW w:w="1134" w:type="dxa"/>
            <w:tcBorders/>
            <w:shd w:fill="auto" w:val="clear"/>
            <w:vAlign w:val="center"/>
          </w:tcPr>
          <w:p>
            <w:pPr>
              <w:pStyle w:val="TableContents"/>
              <w:spacing w:before="0" w:after="283"/>
              <w:jc w:val="right"/>
              <w:rPr/>
            </w:pPr>
            <w:r>
              <w:rPr/>
              <w:t>100,000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109,863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745" w:type="dxa"/>
            <w:tcBorders/>
            <w:shd w:fill="auto" w:val="clear"/>
            <w:vAlign w:val="center"/>
          </w:tcPr>
          <w:p>
            <w:pPr>
              <w:pStyle w:val="TableContents"/>
              <w:spacing w:before="0" w:after="283"/>
              <w:jc w:val="right"/>
              <w:rPr/>
            </w:pPr>
            <w:r>
              <w:rPr/>
              <w:t>9.86</w:t>
            </w:r>
          </w:p>
        </w:tc>
        <w:tc>
          <w:tcPr>
            <w:tcW w:w="29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129,588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29.59</w:t>
            </w:r>
          </w:p>
        </w:tc>
        <w:tc>
          <w:tcPr>
            <w:tcW w:w="315" w:type="dxa"/>
            <w:tcBorders/>
            <w:shd w:fill="auto" w:val="clear"/>
            <w:vAlign w:val="center"/>
          </w:tcPr>
          <w:p>
            <w:pPr>
              <w:pStyle w:val="TableContents"/>
              <w:spacing w:before="0" w:after="283"/>
              <w:rPr/>
            </w:pPr>
            <w:r>
              <w:rPr/>
              <w:t>% </w:t>
            </w:r>
          </w:p>
        </w:tc>
      </w:tr>
      <w:tr>
        <w:trPr/>
        <w:tc>
          <w:tcPr>
            <w:tcW w:w="3242"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(dilution)/accretion to stockholder A (total NAV less total investment)</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13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(2,988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745" w:type="dxa"/>
            <w:tcBorders/>
            <w:shd w:fill="CCEEFF" w:val="clear"/>
            <w:vAlign w:val="center"/>
          </w:tcPr>
          <w:p>
            <w:pPr>
              <w:pStyle w:val="TableContents"/>
              <w:spacing w:before="0" w:after="283"/>
              <w:jc w:val="right"/>
              <w:rPr/>
            </w:pPr>
            <w:r>
              <w:rPr/>
              <w:t>—  </w:t>
            </w:r>
          </w:p>
        </w:tc>
        <w:tc>
          <w:tcPr>
            <w:tcW w:w="2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1,037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315" w:type="dxa"/>
            <w:tcBorders/>
            <w:shd w:fill="CCEEFF"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3788"/>
        <w:gridCol w:w="120"/>
        <w:gridCol w:w="259"/>
        <w:gridCol w:w="1036"/>
        <w:gridCol w:w="60"/>
        <w:gridCol w:w="120"/>
        <w:gridCol w:w="219"/>
        <w:gridCol w:w="806"/>
        <w:gridCol w:w="171"/>
        <w:gridCol w:w="66"/>
        <w:gridCol w:w="85"/>
        <w:gridCol w:w="730"/>
        <w:gridCol w:w="301"/>
        <w:gridCol w:w="60"/>
        <w:gridCol w:w="247"/>
        <w:gridCol w:w="778"/>
        <w:gridCol w:w="70"/>
        <w:gridCol w:w="140"/>
        <w:gridCol w:w="89"/>
        <w:gridCol w:w="741"/>
        <w:gridCol w:w="319"/>
      </w:tblGrid>
      <w:tr>
        <w:trPr/>
        <w:tc>
          <w:tcPr>
            <w:tcW w:w="37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3788" w:type="dxa"/>
            <w:tcBorders/>
            <w:shd w:fill="auto" w:val="clear"/>
            <w:vAlign w:val="center"/>
          </w:tcPr>
          <w:p>
            <w:pPr>
              <w:pStyle w:val="TableContents"/>
              <w:spacing w:before="0" w:after="283"/>
              <w:rPr/>
            </w:pPr>
            <w:r>
              <w:rPr/>
              <w:t> </w:t>
            </w:r>
          </w:p>
        </w:tc>
        <w:tc>
          <w:tcPr>
            <w:tcW w:w="120" w:type="dxa"/>
            <w:vMerge w:val="restart"/>
            <w:tcBorders/>
            <w:shd w:fill="auto" w:val="clear"/>
            <w:vAlign w:val="center"/>
          </w:tcPr>
          <w:p>
            <w:pPr>
              <w:pStyle w:val="TableContents"/>
              <w:spacing w:before="0" w:after="283"/>
              <w:rPr/>
            </w:pPr>
            <w:r>
              <w:rPr/>
              <w:t>  </w:t>
            </w:r>
          </w:p>
        </w:tc>
        <w:tc>
          <w:tcPr>
            <w:tcW w:w="1295"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Prior to Sale</w:t>
              <w:br/>
              <w:t>Below NAV</w:t>
            </w:r>
          </w:p>
        </w:tc>
        <w:tc>
          <w:tcPr>
            <w:tcW w:w="60" w:type="dxa"/>
            <w:vMerge w:val="restart"/>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7"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50% Participation</w:t>
            </w:r>
          </w:p>
        </w:tc>
        <w:tc>
          <w:tcPr>
            <w:tcW w:w="3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65"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150% Participation</w:t>
            </w:r>
          </w:p>
        </w:tc>
        <w:tc>
          <w:tcPr>
            <w:tcW w:w="319" w:type="dxa"/>
            <w:tcBorders/>
            <w:shd w:fill="auto" w:val="clear"/>
            <w:vAlign w:val="center"/>
          </w:tcPr>
          <w:p>
            <w:pPr>
              <w:pStyle w:val="TableContents"/>
              <w:spacing w:before="0" w:after="283"/>
              <w:rPr/>
            </w:pPr>
            <w:r>
              <w:rPr/>
              <w:t> </w:t>
            </w:r>
          </w:p>
        </w:tc>
      </w:tr>
      <w:tr>
        <w:trPr/>
        <w:tc>
          <w:tcPr>
            <w:tcW w:w="3788" w:type="dxa"/>
            <w:tcBorders/>
            <w:shd w:fill="auto" w:val="clear"/>
            <w:vAlign w:val="center"/>
          </w:tcPr>
          <w:p>
            <w:pPr>
              <w:pStyle w:val="TableContents"/>
              <w:spacing w:before="0" w:after="283"/>
              <w:rPr/>
            </w:pPr>
            <w:r>
              <w:rPr/>
              <w:t> </w:t>
            </w:r>
          </w:p>
        </w:tc>
        <w:tc>
          <w:tcPr>
            <w:tcW w:w="120" w:type="dxa"/>
            <w:vMerge w:val="continue"/>
            <w:tcBorders/>
            <w:shd w:fill="auto" w:val="clear"/>
            <w:vAlign w:val="center"/>
          </w:tcPr>
          <w:p>
            <w:pPr>
              <w:pStyle w:val="Normal"/>
              <w:rPr/>
            </w:pPr>
            <w:r>
              <w:rPr/>
            </w:r>
          </w:p>
        </w:tc>
        <w:tc>
          <w:tcPr>
            <w:tcW w:w="1295"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Following</w:t>
              <w:br/>
              <w:t>Sale</w:t>
            </w:r>
          </w:p>
        </w:tc>
        <w:tc>
          <w:tcPr>
            <w:tcW w:w="171"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br/>
              <w:t>Change</w:t>
            </w:r>
          </w:p>
        </w:tc>
        <w:tc>
          <w:tcPr>
            <w:tcW w:w="3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Following</w:t>
              <w:br/>
              <w:t>Sale</w:t>
            </w:r>
          </w:p>
        </w:tc>
        <w:tc>
          <w:tcPr>
            <w:tcW w:w="7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3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br/>
              <w:t>Change</w:t>
            </w:r>
          </w:p>
        </w:tc>
        <w:tc>
          <w:tcPr>
            <w:tcW w:w="319" w:type="dxa"/>
            <w:tcBorders/>
            <w:shd w:fill="auto" w:val="clear"/>
            <w:vAlign w:val="center"/>
          </w:tcPr>
          <w:p>
            <w:pPr>
              <w:pStyle w:val="TableContents"/>
              <w:spacing w:before="0" w:after="283"/>
              <w:rPr/>
            </w:pPr>
            <w:r>
              <w:rPr/>
              <w:t> </w:t>
            </w:r>
          </w:p>
        </w:tc>
      </w:tr>
      <w:tr>
        <w:trPr/>
        <w:tc>
          <w:tcPr>
            <w:tcW w:w="3788"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Per Share Amounts</w:t>
            </w:r>
          </w:p>
        </w:tc>
        <w:tc>
          <w:tcPr>
            <w:tcW w:w="12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rPr>
                <w:sz w:val="4"/>
                <w:szCs w:val="4"/>
              </w:rPr>
            </w:pPr>
            <w:r>
              <w:rPr>
                <w:sz w:val="4"/>
                <w:szCs w:val="4"/>
              </w:rPr>
            </w:r>
          </w:p>
        </w:tc>
        <w:tc>
          <w:tcPr>
            <w:tcW w:w="103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rPr>
                <w:sz w:val="4"/>
                <w:szCs w:val="4"/>
              </w:rPr>
            </w:pPr>
            <w:r>
              <w:rPr>
                <w:sz w:val="4"/>
                <w:szCs w:val="4"/>
              </w:rPr>
            </w:r>
          </w:p>
        </w:tc>
        <w:tc>
          <w:tcPr>
            <w:tcW w:w="806" w:type="dxa"/>
            <w:tcBorders/>
            <w:shd w:fill="CCEEFF" w:val="clear"/>
            <w:vAlign w:val="center"/>
          </w:tcPr>
          <w:p>
            <w:pPr>
              <w:pStyle w:val="TableContents"/>
              <w:spacing w:before="0" w:after="283"/>
              <w:rPr>
                <w:sz w:val="4"/>
                <w:szCs w:val="4"/>
              </w:rPr>
            </w:pPr>
            <w:r>
              <w:rPr>
                <w:sz w:val="4"/>
                <w:szCs w:val="4"/>
              </w:rPr>
            </w:r>
          </w:p>
        </w:tc>
        <w:tc>
          <w:tcPr>
            <w:tcW w:w="171" w:type="dxa"/>
            <w:tcBorders/>
            <w:shd w:fill="CCEEFF" w:val="clear"/>
            <w:vAlign w:val="center"/>
          </w:tcPr>
          <w:p>
            <w:pPr>
              <w:pStyle w:val="TableContents"/>
              <w:spacing w:before="0" w:after="283"/>
              <w:rPr>
                <w:sz w:val="4"/>
                <w:szCs w:val="4"/>
              </w:rPr>
            </w:pPr>
            <w:r>
              <w:rPr>
                <w:sz w:val="4"/>
                <w:szCs w:val="4"/>
              </w:rPr>
            </w:r>
          </w:p>
        </w:tc>
        <w:tc>
          <w:tcPr>
            <w:tcW w:w="66"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sz w:val="4"/>
                <w:szCs w:val="4"/>
              </w:rPr>
            </w:pPr>
            <w:r>
              <w:rPr>
                <w:sz w:val="4"/>
                <w:szCs w:val="4"/>
              </w:rPr>
            </w:r>
          </w:p>
        </w:tc>
        <w:tc>
          <w:tcPr>
            <w:tcW w:w="730" w:type="dxa"/>
            <w:tcBorders/>
            <w:shd w:fill="CCEEFF" w:val="clear"/>
            <w:vAlign w:val="center"/>
          </w:tcPr>
          <w:p>
            <w:pPr>
              <w:pStyle w:val="TableContents"/>
              <w:spacing w:before="0" w:after="283"/>
              <w:rPr>
                <w:sz w:val="4"/>
                <w:szCs w:val="4"/>
              </w:rPr>
            </w:pPr>
            <w:r>
              <w:rPr>
                <w:sz w:val="4"/>
                <w:szCs w:val="4"/>
              </w:rPr>
            </w:r>
          </w:p>
        </w:tc>
        <w:tc>
          <w:tcPr>
            <w:tcW w:w="30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sz w:val="4"/>
                <w:szCs w:val="4"/>
              </w:rPr>
            </w:pPr>
            <w:r>
              <w:rPr>
                <w:sz w:val="4"/>
                <w:szCs w:val="4"/>
              </w:rPr>
            </w:r>
          </w:p>
        </w:tc>
        <w:tc>
          <w:tcPr>
            <w:tcW w:w="778" w:type="dxa"/>
            <w:tcBorders/>
            <w:shd w:fill="CCEEFF" w:val="clear"/>
            <w:vAlign w:val="center"/>
          </w:tcPr>
          <w:p>
            <w:pPr>
              <w:pStyle w:val="TableContents"/>
              <w:spacing w:before="0" w:after="283"/>
              <w:rPr>
                <w:sz w:val="4"/>
                <w:szCs w:val="4"/>
              </w:rPr>
            </w:pPr>
            <w:r>
              <w:rPr>
                <w:sz w:val="4"/>
                <w:szCs w:val="4"/>
              </w:rPr>
            </w:r>
          </w:p>
        </w:tc>
        <w:tc>
          <w:tcPr>
            <w:tcW w:w="70" w:type="dxa"/>
            <w:tcBorders/>
            <w:shd w:fill="CCEEFF" w:val="clear"/>
            <w:vAlign w:val="center"/>
          </w:tcPr>
          <w:p>
            <w:pPr>
              <w:pStyle w:val="TableContents"/>
              <w:spacing w:before="0" w:after="283"/>
              <w:rPr>
                <w:sz w:val="4"/>
                <w:szCs w:val="4"/>
              </w:rPr>
            </w:pPr>
            <w:r>
              <w:rPr>
                <w:sz w:val="4"/>
                <w:szCs w:val="4"/>
              </w:rPr>
            </w:r>
          </w:p>
        </w:tc>
        <w:tc>
          <w:tcPr>
            <w:tcW w:w="14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sz w:val="4"/>
                <w:szCs w:val="4"/>
              </w:rPr>
            </w:pPr>
            <w:r>
              <w:rPr>
                <w:sz w:val="4"/>
                <w:szCs w:val="4"/>
              </w:rPr>
            </w:r>
          </w:p>
        </w:tc>
        <w:tc>
          <w:tcPr>
            <w:tcW w:w="741" w:type="dxa"/>
            <w:tcBorders/>
            <w:shd w:fill="CCEEFF" w:val="clear"/>
            <w:vAlign w:val="center"/>
          </w:tcPr>
          <w:p>
            <w:pPr>
              <w:pStyle w:val="TableContents"/>
              <w:spacing w:before="0" w:after="283"/>
              <w:rPr>
                <w:sz w:val="4"/>
                <w:szCs w:val="4"/>
              </w:rPr>
            </w:pPr>
            <w:r>
              <w:rPr>
                <w:sz w:val="4"/>
                <w:szCs w:val="4"/>
              </w:rPr>
            </w:r>
          </w:p>
        </w:tc>
        <w:tc>
          <w:tcPr>
            <w:tcW w:w="319" w:type="dxa"/>
            <w:tcBorders/>
            <w:shd w:fill="CCEEFF" w:val="clear"/>
            <w:vAlign w:val="center"/>
          </w:tcPr>
          <w:p>
            <w:pPr>
              <w:pStyle w:val="TableContents"/>
              <w:spacing w:before="0" w:after="283"/>
              <w:rPr>
                <w:sz w:val="4"/>
                <w:szCs w:val="4"/>
              </w:rPr>
            </w:pPr>
            <w:r>
              <w:rPr>
                <w:sz w:val="4"/>
                <w:szCs w:val="4"/>
              </w:rPr>
            </w:r>
          </w:p>
        </w:tc>
      </w:tr>
      <w:tr>
        <w:trPr/>
        <w:tc>
          <w:tcPr>
            <w:tcW w:w="378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NAV per share held by stockholder A</w:t>
            </w:r>
          </w:p>
        </w:tc>
        <w:tc>
          <w:tcPr>
            <w:tcW w:w="12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w:t>
            </w:r>
          </w:p>
        </w:tc>
        <w:tc>
          <w:tcPr>
            <w:tcW w:w="806" w:type="dxa"/>
            <w:tcBorders/>
            <w:shd w:fill="auto" w:val="clear"/>
            <w:vAlign w:val="center"/>
          </w:tcPr>
          <w:p>
            <w:pPr>
              <w:pStyle w:val="TableContents"/>
              <w:spacing w:before="0" w:after="283"/>
              <w:jc w:val="right"/>
              <w:rPr/>
            </w:pPr>
            <w:r>
              <w:rPr/>
              <w:t>9.50</w:t>
            </w:r>
          </w:p>
        </w:tc>
        <w:tc>
          <w:tcPr>
            <w:tcW w:w="171"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w:t>
            </w:r>
          </w:p>
        </w:tc>
        <w:tc>
          <w:tcPr>
            <w:tcW w:w="778" w:type="dxa"/>
            <w:tcBorders/>
            <w:shd w:fill="auto" w:val="clear"/>
            <w:vAlign w:val="center"/>
          </w:tcPr>
          <w:p>
            <w:pPr>
              <w:pStyle w:val="TableContents"/>
              <w:spacing w:before="0" w:after="283"/>
              <w:jc w:val="right"/>
              <w:rPr/>
            </w:pPr>
            <w:r>
              <w:rPr/>
              <w:t>9.50</w:t>
            </w:r>
          </w:p>
        </w:tc>
        <w:tc>
          <w:tcPr>
            <w:tcW w:w="7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741" w:type="dxa"/>
            <w:tcBorders/>
            <w:shd w:fill="auto" w:val="clear"/>
            <w:vAlign w:val="center"/>
          </w:tcPr>
          <w:p>
            <w:pPr>
              <w:pStyle w:val="TableContents"/>
              <w:spacing w:before="0" w:after="283"/>
              <w:jc w:val="right"/>
              <w:rPr/>
            </w:pPr>
            <w:r>
              <w:rPr/>
              <w:t>—  </w:t>
            </w:r>
          </w:p>
        </w:tc>
        <w:tc>
          <w:tcPr>
            <w:tcW w:w="319" w:type="dxa"/>
            <w:tcBorders/>
            <w:shd w:fill="auto" w:val="clear"/>
            <w:vAlign w:val="center"/>
          </w:tcPr>
          <w:p>
            <w:pPr>
              <w:pStyle w:val="TableContents"/>
              <w:spacing w:before="0" w:after="283"/>
              <w:rPr/>
            </w:pPr>
            <w:r>
              <w:rPr/>
              <w:t> </w:t>
            </w:r>
          </w:p>
        </w:tc>
      </w:tr>
      <w:tr>
        <w:trPr/>
        <w:tc>
          <w:tcPr>
            <w:tcW w:w="378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Investment per share held by stockholder A (assumed to be $10.00 per share on shares held prior to sale)</w:t>
            </w:r>
          </w:p>
        </w:tc>
        <w:tc>
          <w:tcPr>
            <w:tcW w:w="12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rPr/>
            </w:pPr>
            <w:r>
              <w:rPr/>
              <w:t>$</w:t>
            </w:r>
          </w:p>
        </w:tc>
        <w:tc>
          <w:tcPr>
            <w:tcW w:w="1036" w:type="dxa"/>
            <w:tcBorders/>
            <w:shd w:fill="CCEEFF" w:val="clear"/>
            <w:vAlign w:val="center"/>
          </w:tcPr>
          <w:p>
            <w:pPr>
              <w:pStyle w:val="TableContents"/>
              <w:spacing w:before="0" w:after="283"/>
              <w:jc w:val="right"/>
              <w:rPr/>
            </w:pPr>
            <w:r>
              <w:rPr/>
              <w:t>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rPr/>
            </w:pPr>
            <w:r>
              <w:rPr/>
              <w:t>$</w:t>
            </w:r>
          </w:p>
        </w:tc>
        <w:tc>
          <w:tcPr>
            <w:tcW w:w="806" w:type="dxa"/>
            <w:tcBorders/>
            <w:shd w:fill="CCEEFF" w:val="clear"/>
            <w:vAlign w:val="center"/>
          </w:tcPr>
          <w:p>
            <w:pPr>
              <w:pStyle w:val="TableContents"/>
              <w:spacing w:before="0" w:after="283"/>
              <w:jc w:val="right"/>
              <w:rPr/>
            </w:pPr>
            <w:r>
              <w:rPr/>
              <w:t>9.77</w:t>
            </w:r>
          </w:p>
        </w:tc>
        <w:tc>
          <w:tcPr>
            <w:tcW w:w="171"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(2.30</w:t>
            </w:r>
          </w:p>
        </w:tc>
        <w:tc>
          <w:tcPr>
            <w:tcW w:w="3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w:t>
            </w:r>
          </w:p>
        </w:tc>
        <w:tc>
          <w:tcPr>
            <w:tcW w:w="778" w:type="dxa"/>
            <w:tcBorders/>
            <w:shd w:fill="CCEEFF" w:val="clear"/>
            <w:vAlign w:val="center"/>
          </w:tcPr>
          <w:p>
            <w:pPr>
              <w:pStyle w:val="TableContents"/>
              <w:spacing w:before="0" w:after="283"/>
              <w:jc w:val="right"/>
              <w:rPr/>
            </w:pPr>
            <w:r>
              <w:rPr/>
              <w:t>9.42</w:t>
            </w:r>
          </w:p>
        </w:tc>
        <w:tc>
          <w:tcPr>
            <w:tcW w:w="7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741" w:type="dxa"/>
            <w:tcBorders/>
            <w:shd w:fill="CCEEFF" w:val="clear"/>
            <w:vAlign w:val="center"/>
          </w:tcPr>
          <w:p>
            <w:pPr>
              <w:pStyle w:val="TableContents"/>
              <w:spacing w:before="0" w:after="283"/>
              <w:jc w:val="right"/>
              <w:rPr/>
            </w:pPr>
            <w:r>
              <w:rPr/>
              <w:t>(5.80</w:t>
            </w:r>
          </w:p>
        </w:tc>
        <w:tc>
          <w:tcPr>
            <w:tcW w:w="319" w:type="dxa"/>
            <w:tcBorders/>
            <w:shd w:fill="CCEEFF" w:val="clear"/>
            <w:vAlign w:val="center"/>
          </w:tcPr>
          <w:p>
            <w:pPr>
              <w:pStyle w:val="TableContents"/>
              <w:spacing w:before="0" w:after="283"/>
              <w:rPr/>
            </w:pPr>
            <w:r>
              <w:rPr/>
              <w:t>)% </w:t>
            </w:r>
          </w:p>
        </w:tc>
      </w:tr>
      <w:tr>
        <w:trPr/>
        <w:tc>
          <w:tcPr>
            <w:tcW w:w="378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(Dilution)/accretion per share held by stockholder A (NAV per share less investment per share)</w:t>
            </w:r>
          </w:p>
        </w:tc>
        <w:tc>
          <w:tcPr>
            <w:tcW w:w="12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w:t>
            </w:r>
          </w:p>
        </w:tc>
        <w:tc>
          <w:tcPr>
            <w:tcW w:w="806" w:type="dxa"/>
            <w:tcBorders/>
            <w:shd w:fill="auto" w:val="clear"/>
            <w:vAlign w:val="center"/>
          </w:tcPr>
          <w:p>
            <w:pPr>
              <w:pStyle w:val="TableContents"/>
              <w:spacing w:before="0" w:after="283"/>
              <w:jc w:val="right"/>
              <w:rPr/>
            </w:pPr>
            <w:r>
              <w:rPr/>
              <w:t>(0.27</w:t>
            </w:r>
          </w:p>
        </w:tc>
        <w:tc>
          <w:tcPr>
            <w:tcW w:w="171"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  </w:t>
            </w:r>
          </w:p>
        </w:tc>
        <w:tc>
          <w:tcPr>
            <w:tcW w:w="3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w:t>
            </w:r>
          </w:p>
        </w:tc>
        <w:tc>
          <w:tcPr>
            <w:tcW w:w="778" w:type="dxa"/>
            <w:tcBorders/>
            <w:shd w:fill="auto" w:val="clear"/>
            <w:vAlign w:val="center"/>
          </w:tcPr>
          <w:p>
            <w:pPr>
              <w:pStyle w:val="TableContents"/>
              <w:spacing w:before="0" w:after="283"/>
              <w:jc w:val="right"/>
              <w:rPr/>
            </w:pPr>
            <w:r>
              <w:rPr/>
              <w:t>0.08</w:t>
            </w:r>
          </w:p>
        </w:tc>
        <w:tc>
          <w:tcPr>
            <w:tcW w:w="7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741" w:type="dxa"/>
            <w:tcBorders/>
            <w:shd w:fill="auto" w:val="clear"/>
            <w:vAlign w:val="center"/>
          </w:tcPr>
          <w:p>
            <w:pPr>
              <w:pStyle w:val="TableContents"/>
              <w:spacing w:before="0" w:after="283"/>
              <w:jc w:val="right"/>
              <w:rPr/>
            </w:pPr>
            <w:r>
              <w:rPr/>
              <w:t>—  </w:t>
            </w:r>
          </w:p>
        </w:tc>
        <w:tc>
          <w:tcPr>
            <w:tcW w:w="319" w:type="dxa"/>
            <w:tcBorders/>
            <w:shd w:fill="auto" w:val="clear"/>
            <w:vAlign w:val="center"/>
          </w:tcPr>
          <w:p>
            <w:pPr>
              <w:pStyle w:val="TableContents"/>
              <w:spacing w:before="0" w:after="283"/>
              <w:rPr/>
            </w:pPr>
            <w:r>
              <w:rPr/>
              <w:t> </w:t>
            </w:r>
          </w:p>
        </w:tc>
      </w:tr>
      <w:tr>
        <w:trPr/>
        <w:tc>
          <w:tcPr>
            <w:tcW w:w="378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Percentage (dilution)/accretion to stockholder A (dilution)/accretion per share divided by investment per share</w:t>
            </w:r>
          </w:p>
        </w:tc>
        <w:tc>
          <w:tcPr>
            <w:tcW w:w="12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rPr/>
            </w:pPr>
            <w:r>
              <w:rPr/>
              <w:t> </w:t>
            </w:r>
          </w:p>
        </w:tc>
        <w:tc>
          <w:tcPr>
            <w:tcW w:w="10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rPr/>
            </w:pPr>
            <w:r>
              <w:rPr/>
              <w:t> </w:t>
            </w:r>
          </w:p>
        </w:tc>
        <w:tc>
          <w:tcPr>
            <w:tcW w:w="806" w:type="dxa"/>
            <w:tcBorders/>
            <w:shd w:fill="CCEEFF" w:val="clear"/>
            <w:vAlign w:val="center"/>
          </w:tcPr>
          <w:p>
            <w:pPr>
              <w:pStyle w:val="TableContents"/>
              <w:spacing w:before="0" w:after="283"/>
              <w:jc w:val="right"/>
              <w:rPr/>
            </w:pPr>
            <w:r>
              <w:rPr/>
              <w:t>—  </w:t>
            </w:r>
          </w:p>
        </w:tc>
        <w:tc>
          <w:tcPr>
            <w:tcW w:w="171"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(2.76</w:t>
            </w:r>
          </w:p>
        </w:tc>
        <w:tc>
          <w:tcPr>
            <w:tcW w:w="3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right"/>
              <w:rPr/>
            </w:pPr>
            <w:r>
              <w:rPr/>
              <w:t>—  </w:t>
            </w:r>
          </w:p>
        </w:tc>
        <w:tc>
          <w:tcPr>
            <w:tcW w:w="7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741" w:type="dxa"/>
            <w:tcBorders/>
            <w:shd w:fill="CCEEFF" w:val="clear"/>
            <w:vAlign w:val="center"/>
          </w:tcPr>
          <w:p>
            <w:pPr>
              <w:pStyle w:val="TableContents"/>
              <w:spacing w:before="0" w:after="283"/>
              <w:jc w:val="right"/>
              <w:rPr/>
            </w:pPr>
            <w:r>
              <w:rPr/>
              <w:t>0.85</w:t>
            </w:r>
          </w:p>
        </w:tc>
        <w:tc>
          <w:tcPr>
            <w:tcW w:w="319" w:type="dxa"/>
            <w:tcBorders/>
            <w:shd w:fill="CCEEFF" w:val="clear"/>
            <w:vAlign w:val="center"/>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Impact on New Investors </w:t>
      </w:r>
    </w:p>
    <w:p>
      <w:pPr>
        <w:pStyle w:val="TextBody"/>
        <w:spacing w:before="120" w:after="0"/>
        <w:jc w:val="left"/>
        <w:rPr>
          <w:rFonts w:ascii="Times New Roman" w:hAnsi="Times New Roman"/>
          <w:sz w:val="20"/>
        </w:rPr>
      </w:pPr>
      <w:r>
        <w:rPr>
          <w:rFonts w:ascii="Times New Roman" w:hAnsi="Times New Roman"/>
          <w:sz w:val="20"/>
        </w:rPr>
        <w:t xml:space="preserve">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 </w:t>
      </w:r>
    </w:p>
    <w:p>
      <w:pPr>
        <w:pStyle w:val="TextBody"/>
        <w:spacing w:before="240" w:after="0"/>
        <w:jc w:val="left"/>
        <w:rPr>
          <w:rFonts w:ascii="Times New Roman" w:hAnsi="Times New Roman"/>
          <w:sz w:val="20"/>
        </w:rPr>
      </w:pPr>
      <w:r>
        <w:rPr>
          <w:rFonts w:ascii="Times New Roman" w:hAnsi="Times New Roman"/>
          <w:sz w:val="20"/>
        </w:rPr>
        <w:t xml:space="preserve">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 </w:t>
      </w:r>
    </w:p>
    <w:p>
      <w:pPr>
        <w:pStyle w:val="TextBody"/>
        <w:spacing w:before="240" w:after="0"/>
        <w:jc w:val="left"/>
        <w:rPr>
          <w:rFonts w:ascii="Times New Roman" w:hAnsi="Times New Roman"/>
          <w:sz w:val="20"/>
        </w:rPr>
      </w:pPr>
      <w:r>
        <w:rPr>
          <w:rFonts w:ascii="Times New Roman" w:hAnsi="Times New Roman"/>
          <w:sz w:val="20"/>
        </w:rPr>
        <w:t xml:space="preserve">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rPr/>
      </w:pPr>
      <w:r>
        <w:rPr/>
      </w:r>
    </w:p>
    <w:tbl>
      <w:tblPr>
        <w:tblW w:w="10420" w:type="dxa"/>
        <w:jc w:val="left"/>
        <w:tblInd w:w="0" w:type="dxa"/>
        <w:tblCellMar>
          <w:top w:w="0" w:type="dxa"/>
          <w:left w:w="0" w:type="dxa"/>
          <w:bottom w:w="0" w:type="dxa"/>
          <w:right w:w="0" w:type="dxa"/>
        </w:tblCellMar>
      </w:tblPr>
      <w:tblGrid>
        <w:gridCol w:w="1175"/>
        <w:gridCol w:w="60"/>
        <w:gridCol w:w="176"/>
        <w:gridCol w:w="1119"/>
        <w:gridCol w:w="60"/>
        <w:gridCol w:w="60"/>
        <w:gridCol w:w="140"/>
        <w:gridCol w:w="980"/>
        <w:gridCol w:w="275"/>
        <w:gridCol w:w="60"/>
        <w:gridCol w:w="85"/>
        <w:gridCol w:w="730"/>
        <w:gridCol w:w="275"/>
        <w:gridCol w:w="60"/>
        <w:gridCol w:w="140"/>
        <w:gridCol w:w="980"/>
        <w:gridCol w:w="275"/>
        <w:gridCol w:w="60"/>
        <w:gridCol w:w="78"/>
        <w:gridCol w:w="737"/>
        <w:gridCol w:w="275"/>
        <w:gridCol w:w="60"/>
        <w:gridCol w:w="140"/>
        <w:gridCol w:w="980"/>
        <w:gridCol w:w="275"/>
        <w:gridCol w:w="60"/>
        <w:gridCol w:w="78"/>
        <w:gridCol w:w="737"/>
        <w:gridCol w:w="290"/>
      </w:tblGrid>
      <w:tr>
        <w:trPr/>
        <w:tc>
          <w:tcPr>
            <w:tcW w:w="11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295"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Prior to Sale</w:t>
              <w:br/>
              <w:t>Below NAV</w:t>
            </w:r>
          </w:p>
        </w:tc>
        <w:tc>
          <w:tcPr>
            <w:tcW w:w="60"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7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Example 1</w:t>
              <w:br/>
              <w:t>5% Offering</w:t>
              <w:br/>
              <w:t>at 5% Discount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7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Example 2</w:t>
              <w:br/>
              <w:t>10% Offering</w:t>
              <w:br/>
              <w:t>at 10% Discount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7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Example 3</w:t>
              <w:br/>
              <w:t>25% Offering</w:t>
              <w:br/>
              <w:t>at 25% Discount</w:t>
            </w:r>
          </w:p>
        </w:tc>
        <w:tc>
          <w:tcPr>
            <w:tcW w:w="290" w:type="dxa"/>
            <w:tcBorders/>
            <w:shd w:fill="auto"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1295"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Following</w:t>
              <w:br/>
              <w:t>Sale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br/>
              <w:t>Change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Following</w:t>
              <w:br/>
              <w:t>Sale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br/>
              <w:t>Change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Following</w:t>
              <w:br/>
              <w:t>Sale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br/>
              <w:t>Change</w:t>
            </w:r>
          </w:p>
        </w:tc>
        <w:tc>
          <w:tcPr>
            <w:tcW w:w="29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b/>
                <w:i/>
                <w:sz w:val="20"/>
              </w:rPr>
            </w:pPr>
            <w:r>
              <w:rPr>
                <w:rFonts w:ascii="Times New Roman" w:hAnsi="Times New Roman"/>
                <w:b/>
                <w:i/>
                <w:sz w:val="20"/>
              </w:rPr>
              <w:t>Offering Price</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sz w:val="4"/>
                <w:szCs w:val="4"/>
              </w:rPr>
            </w:pPr>
            <w:r>
              <w:rPr>
                <w:sz w:val="4"/>
                <w:szCs w:val="4"/>
              </w:rPr>
            </w:r>
          </w:p>
        </w:tc>
        <w:tc>
          <w:tcPr>
            <w:tcW w:w="11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sz w:val="4"/>
                <w:szCs w:val="4"/>
              </w:rPr>
            </w:pPr>
            <w:r>
              <w:rPr>
                <w:sz w:val="4"/>
                <w:szCs w:val="4"/>
              </w:rPr>
            </w:r>
          </w:p>
        </w:tc>
        <w:tc>
          <w:tcPr>
            <w:tcW w:w="73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737"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737"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Price per share to public</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11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9.47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7.89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offering proceeds per share to issuer</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11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9.50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7.50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b/>
                <w:i/>
                <w:sz w:val="20"/>
              </w:rPr>
            </w:pPr>
            <w:r>
              <w:rPr>
                <w:rFonts w:ascii="Times New Roman" w:hAnsi="Times New Roman"/>
                <w:b/>
                <w:i/>
                <w:sz w:val="20"/>
              </w:rPr>
              <w:t>Decrease to NAV</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shares outstanding</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11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1,050,000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5.00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1,100,000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10.00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1,250,000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25.00</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NAV per share</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11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9.98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(0.20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9.91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(0.90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9.50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(5.00</w:t>
            </w:r>
          </w:p>
        </w:tc>
        <w:tc>
          <w:tcPr>
            <w:tcW w:w="29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b/>
                <w:i/>
                <w:sz w:val="20"/>
              </w:rPr>
            </w:pPr>
            <w:r>
              <w:rPr>
                <w:rFonts w:ascii="Times New Roman" w:hAnsi="Times New Roman"/>
                <w:b/>
                <w:i/>
                <w:sz w:val="20"/>
              </w:rPr>
              <w:t>Dilution to Stockholder A</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sz w:val="4"/>
                <w:szCs w:val="4"/>
              </w:rPr>
            </w:pPr>
            <w:r>
              <w:rPr>
                <w:sz w:val="4"/>
                <w:szCs w:val="4"/>
              </w:rPr>
            </w:r>
          </w:p>
        </w:tc>
        <w:tc>
          <w:tcPr>
            <w:tcW w:w="111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sz w:val="4"/>
                <w:szCs w:val="4"/>
              </w:rPr>
            </w:pPr>
            <w:r>
              <w:rPr>
                <w:sz w:val="4"/>
                <w:szCs w:val="4"/>
              </w:rPr>
            </w:r>
          </w:p>
        </w:tc>
        <w:tc>
          <w:tcPr>
            <w:tcW w:w="73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737"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737"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Shares held by stockholder A</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11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2,500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Percentage held by stockholder A</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11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0.05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0.09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0.20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Total Asset Values</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NAV held by stockholder A</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11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4,990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9,910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23,750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investment by stockholder A</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11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5,000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9,470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19,725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(dilution)/accretion to stockholder A (total NAV less total investment)</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11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440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4,025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Per Share Amounts</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NAV per share held by stockholder A</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11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9.98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9.91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9.50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Investment per share held by stockholder A</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11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9.47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7.89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(Dilution)/accretion per share held by stockholder A (NAV per share less investment per share)</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11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(0.02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7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0.44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1.61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Percentage (dilution)/accretion to stockholder A (dilution)/ accretion per share divided by investment per share</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11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jc w:val="right"/>
              <w:rPr/>
            </w:pPr>
            <w:r>
              <w:rPr/>
              <w:t>(0.20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4.65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jc w:val="right"/>
              <w:rPr/>
            </w:pPr>
            <w:r>
              <w:rPr/>
              <w:t>20.41</w:t>
            </w:r>
          </w:p>
        </w:tc>
        <w:tc>
          <w:tcPr>
            <w:tcW w:w="290" w:type="dxa"/>
            <w:tcBorders/>
            <w:shd w:fill="auto" w:val="clear"/>
            <w:vAlign w:val="center"/>
          </w:tcPr>
          <w:p>
            <w:pPr>
              <w:pStyle w:val="TableContents"/>
              <w:spacing w:before="0" w:after="283"/>
              <w:rPr/>
            </w:pPr>
            <w:r>
              <w:rPr/>
              <w:t>% </w:t>
            </w:r>
          </w:p>
        </w:tc>
      </w:tr>
    </w:tbl>
    <w:p>
      <w:pPr>
        <w:pStyle w:val="TextBody"/>
        <w:spacing w:before="480" w:after="0"/>
        <w:jc w:val="center"/>
        <w:rPr>
          <w:rFonts w:ascii="Times New Roman" w:hAnsi="Times New Roman"/>
          <w:b/>
          <w:sz w:val="20"/>
        </w:rPr>
      </w:pPr>
      <w:bookmarkStart w:id="14" w:name="toc478714_10"/>
      <w:bookmarkEnd w:id="14"/>
      <w:r>
        <w:rPr>
          <w:rFonts w:ascii="Times New Roman" w:hAnsi="Times New Roman"/>
          <w:b/>
          <w:sz w:val="20"/>
        </w:rPr>
        <w:t xml:space="preserve">DISTRIBUTIONS </w:t>
      </w:r>
    </w:p>
    <w:p>
      <w:pPr>
        <w:pStyle w:val="TextBody"/>
        <w:spacing w:before="240" w:after="0"/>
        <w:jc w:val="left"/>
        <w:rPr>
          <w:rFonts w:ascii="Times New Roman" w:hAnsi="Times New Roman"/>
          <w:sz w:val="20"/>
        </w:rPr>
      </w:pPr>
      <w:r>
        <w:rPr>
          <w:rFonts w:ascii="Times New Roman" w:hAnsi="Times New Roman"/>
          <w:sz w:val="20"/>
        </w:rPr>
        <w:t xml:space="preserve">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w:t>
      </w:r>
    </w:p>
    <w:p>
      <w:pPr>
        <w:pStyle w:val="TextBody"/>
        <w:spacing w:before="240" w:after="0"/>
        <w:jc w:val="left"/>
        <w:rPr>
          <w:rFonts w:ascii="Times New Roman" w:hAnsi="Times New Roman"/>
          <w:sz w:val="20"/>
        </w:rPr>
      </w:pPr>
      <w:r>
        <w:rPr>
          <w:rFonts w:ascii="Times New Roman" w:hAnsi="Times New Roman"/>
          <w:sz w:val="20"/>
        </w:rPr>
        <w:t xml:space="preserve">Each year, a Form 1099-DIV will be sent to stockholders subject to information reporting that will state the amount and composition of distributions and provide information with respect to appropriate tax treatment of our distributions.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The tax characteristics of distributions declared, in accordance with Section 19(a) of the 1940 Act, for our fiscal and taxable years ended September 30, 2022 and 2021 from ordinary income (including short-term gains), if any, totaled $46.7 million, or $1.14 per share, and $44.2 million, or $1.14 per share, based on the weighted average shares outstanding for the respective periods. Additionally, for both years ended September 30, 2022 and 2021, we did not pay any distributions from long-term capital gains. </w:t>
      </w:r>
    </w:p>
    <w:p>
      <w:pPr>
        <w:pStyle w:val="TextBody"/>
        <w:spacing w:before="240" w:after="0"/>
        <w:jc w:val="left"/>
        <w:rPr>
          <w:rFonts w:ascii="Times New Roman" w:hAnsi="Times New Roman"/>
          <w:sz w:val="20"/>
        </w:rPr>
      </w:pPr>
      <w:r>
        <w:rPr>
          <w:rFonts w:ascii="Times New Roman" w:hAnsi="Times New Roman"/>
          <w:sz w:val="20"/>
        </w:rPr>
        <w:t xml:space="preserve">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rPr/>
      </w:pPr>
      <w:r>
        <w:rPr/>
      </w:r>
    </w:p>
    <w:p>
      <w:pPr>
        <w:pStyle w:val="TextBody"/>
        <w:spacing w:before="0" w:after="0"/>
        <w:jc w:val="center"/>
        <w:rPr>
          <w:rFonts w:ascii="Times New Roman" w:hAnsi="Times New Roman"/>
          <w:b/>
          <w:sz w:val="20"/>
        </w:rPr>
      </w:pPr>
      <w:bookmarkStart w:id="15" w:name="toc478714_11"/>
      <w:bookmarkEnd w:id="15"/>
      <w:r>
        <w:rPr>
          <w:rFonts w:ascii="Times New Roman" w:hAnsi="Times New Roman"/>
          <w:b/>
          <w:sz w:val="20"/>
        </w:rPr>
        <w:t xml:space="preserve">PORTFOLIO COMPANIES </w:t>
      </w:r>
    </w:p>
    <w:p>
      <w:pPr>
        <w:pStyle w:val="TextBody"/>
        <w:spacing w:before="240" w:after="0"/>
        <w:jc w:val="left"/>
        <w:rPr>
          <w:rFonts w:ascii="Times New Roman" w:hAnsi="Times New Roman"/>
          <w:sz w:val="20"/>
        </w:rPr>
      </w:pPr>
      <w:r>
        <w:rPr>
          <w:rFonts w:ascii="Times New Roman" w:hAnsi="Times New Roman"/>
          <w:sz w:val="20"/>
        </w:rPr>
        <w:t xml:space="preserve">The following is a listing of each portfolio company or its affiliate, together referred to as portfolio companies, in which we had an investment as of September 30, 2022.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 for the fiscal year ended September 30, 2022. </w:t>
      </w:r>
    </w:p>
    <w:p>
      <w:pPr>
        <w:pStyle w:val="TextBody"/>
        <w:spacing w:before="240" w:after="0"/>
        <w:jc w:val="left"/>
        <w:rPr>
          <w:rFonts w:ascii="Times New Roman" w:hAnsi="Times New Roman"/>
          <w:sz w:val="20"/>
        </w:rPr>
      </w:pPr>
      <w:r>
        <w:rPr>
          <w:rFonts w:ascii="Times New Roman" w:hAnsi="Times New Roman"/>
          <w:sz w:val="20"/>
        </w:rPr>
        <w:t xml:space="preserve">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141"/>
        <w:gridCol w:w="60"/>
        <w:gridCol w:w="2198"/>
        <w:gridCol w:w="60"/>
        <w:gridCol w:w="60"/>
        <w:gridCol w:w="60"/>
        <w:gridCol w:w="2452"/>
        <w:gridCol w:w="60"/>
        <w:gridCol w:w="175"/>
        <w:gridCol w:w="1115"/>
        <w:gridCol w:w="275"/>
        <w:gridCol w:w="60"/>
        <w:gridCol w:w="240"/>
        <w:gridCol w:w="1171"/>
        <w:gridCol w:w="78"/>
      </w:tblGrid>
      <w:tr>
        <w:trPr/>
        <w:tc>
          <w:tcPr>
            <w:tcW w:w="21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2141"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w:t>
              <w:br/>
              <w:t>Address of Portfolio Company</w:t>
            </w:r>
          </w:p>
        </w:tc>
        <w:tc>
          <w:tcPr>
            <w:tcW w:w="60" w:type="dxa"/>
            <w:tcBorders/>
            <w:shd w:fill="auto" w:val="clear"/>
            <w:vAlign w:val="center"/>
          </w:tcPr>
          <w:p>
            <w:pPr>
              <w:pStyle w:val="TableContents"/>
              <w:spacing w:before="0" w:after="283"/>
              <w:rPr/>
            </w:pPr>
            <w:r>
              <w:rPr/>
              <w:t> </w:t>
            </w:r>
          </w:p>
        </w:tc>
        <w:tc>
          <w:tcPr>
            <w:tcW w:w="2198"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Nature of Business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52"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Type of Investment,</w:t>
            </w:r>
          </w:p>
          <w:p>
            <w:pPr>
              <w:pStyle w:val="TableContents"/>
              <w:spacing w:before="0" w:after="20"/>
              <w:jc w:val="center"/>
              <w:rPr>
                <w:rFonts w:ascii="Times New Roman" w:hAnsi="Times New Roman"/>
                <w:b/>
                <w:sz w:val="16"/>
              </w:rPr>
            </w:pPr>
            <w:r>
              <w:rPr>
                <w:rFonts w:ascii="Times New Roman" w:hAnsi="Times New Roman"/>
                <w:b/>
                <w:sz w:val="16"/>
              </w:rPr>
              <w:t>Interest(1), Maturity</w:t>
            </w:r>
          </w:p>
        </w:tc>
        <w:tc>
          <w:tcPr>
            <w:tcW w:w="60" w:type="dxa"/>
            <w:tcBorders/>
            <w:shd w:fill="auto" w:val="clear"/>
            <w:vAlign w:val="center"/>
          </w:tcPr>
          <w:p>
            <w:pPr>
              <w:pStyle w:val="TableContents"/>
              <w:spacing w:before="0" w:after="283"/>
              <w:rPr/>
            </w:pPr>
            <w:r>
              <w:rPr/>
              <w:t> </w:t>
            </w:r>
          </w:p>
        </w:tc>
        <w:tc>
          <w:tcPr>
            <w:tcW w:w="129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Voting</w:t>
              <w:br/>
              <w:t>Percentage</w:t>
              <w:br/>
              <w:t>Ownership(2)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1"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Fair Value</w:t>
              <w:br/>
              <w:t>(in thousands)</w:t>
            </w:r>
          </w:p>
        </w:tc>
        <w:tc>
          <w:tcPr>
            <w:tcW w:w="78" w:type="dxa"/>
            <w:tcBorders/>
            <w:shd w:fill="auto" w:val="clear"/>
            <w:vAlign w:val="center"/>
          </w:tcPr>
          <w:p>
            <w:pPr>
              <w:pStyle w:val="TableContents"/>
              <w:spacing w:before="0" w:after="283"/>
              <w:rPr/>
            </w:pPr>
            <w:r>
              <w:rPr/>
              <w:t> </w:t>
            </w:r>
          </w:p>
        </w:tc>
      </w:tr>
      <w:tr>
        <w:trPr/>
        <w:tc>
          <w:tcPr>
            <w:tcW w:w="2141" w:type="dxa"/>
            <w:tcBorders/>
            <w:shd w:fill="CCEEFF" w:val="clear"/>
            <w:vAlign w:val="center"/>
          </w:tcPr>
          <w:p>
            <w:pPr>
              <w:pStyle w:val="TableContents"/>
              <w:spacing w:before="0" w:after="0"/>
              <w:rPr>
                <w:rFonts w:ascii="Times New Roman" w:hAnsi="Times New Roman"/>
                <w:b/>
                <w:sz w:val="16"/>
              </w:rPr>
            </w:pPr>
            <w:r>
              <w:rPr>
                <w:rFonts w:ascii="Times New Roman" w:hAnsi="Times New Roman"/>
                <w:b/>
                <w:sz w:val="16"/>
              </w:rPr>
              <w:t>Companies Less than 5% Owned</w:t>
            </w:r>
          </w:p>
        </w:tc>
        <w:tc>
          <w:tcPr>
            <w:tcW w:w="60" w:type="dxa"/>
            <w:tcBorders/>
            <w:shd w:fill="CCEEFF" w:val="clear"/>
            <w:vAlign w:val="center"/>
          </w:tcPr>
          <w:p>
            <w:pPr>
              <w:pStyle w:val="TableContents"/>
              <w:spacing w:before="0" w:after="283"/>
              <w:rPr/>
            </w:pPr>
            <w:r>
              <w:rPr/>
              <w:t> </w:t>
            </w:r>
          </w:p>
        </w:tc>
        <w:tc>
          <w:tcPr>
            <w:tcW w:w="2198"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4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sz w:val="4"/>
                <w:szCs w:val="4"/>
              </w:rPr>
            </w:pPr>
            <w:r>
              <w:rPr>
                <w:sz w:val="4"/>
                <w:szCs w:val="4"/>
              </w:rPr>
            </w:r>
          </w:p>
        </w:tc>
        <w:tc>
          <w:tcPr>
            <w:tcW w:w="1115"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sz w:val="4"/>
                <w:szCs w:val="4"/>
              </w:rPr>
            </w:pPr>
            <w:r>
              <w:rPr>
                <w:sz w:val="4"/>
                <w:szCs w:val="4"/>
              </w:rPr>
            </w:r>
          </w:p>
        </w:tc>
        <w:tc>
          <w:tcPr>
            <w:tcW w:w="1171" w:type="dxa"/>
            <w:tcBorders/>
            <w:shd w:fill="CCEEFF" w:val="clear"/>
            <w:vAlign w:val="center"/>
          </w:tcPr>
          <w:p>
            <w:pPr>
              <w:pStyle w:val="TableContents"/>
              <w:spacing w:before="0" w:after="283"/>
              <w:rPr>
                <w:sz w:val="4"/>
                <w:szCs w:val="4"/>
              </w:rPr>
            </w:pPr>
            <w:r>
              <w:rPr>
                <w:sz w:val="4"/>
                <w:szCs w:val="4"/>
              </w:rPr>
            </w:r>
          </w:p>
        </w:tc>
        <w:tc>
          <w:tcPr>
            <w:tcW w:w="78" w:type="dxa"/>
            <w:tcBorders/>
            <w:shd w:fill="CCEEFF" w:val="clear"/>
            <w:vAlign w:val="center"/>
          </w:tcPr>
          <w:p>
            <w:pPr>
              <w:pStyle w:val="TableContents"/>
              <w:spacing w:before="0" w:after="283"/>
              <w:rPr>
                <w:sz w:val="4"/>
                <w:szCs w:val="4"/>
              </w:rPr>
            </w:pPr>
            <w:r>
              <w:rPr>
                <w:sz w:val="4"/>
                <w:szCs w:val="4"/>
              </w:rPr>
            </w:r>
          </w:p>
        </w:tc>
      </w:tr>
      <w:tr>
        <w:trPr/>
        <w:tc>
          <w:tcPr>
            <w:tcW w:w="2141"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Ad.net Acquisition, LLC</w:t>
            </w:r>
          </w:p>
          <w:p>
            <w:pPr>
              <w:pStyle w:val="TableContents"/>
              <w:spacing w:before="0" w:after="0"/>
              <w:rPr>
                <w:rFonts w:ascii="Times New Roman" w:hAnsi="Times New Roman"/>
                <w:sz w:val="16"/>
              </w:rPr>
            </w:pPr>
            <w:r>
              <w:rPr>
                <w:rFonts w:ascii="Times New Roman" w:hAnsi="Times New Roman"/>
                <w:sz w:val="16"/>
              </w:rPr>
              <w:t>(Ad.net Holdings, Inc.(5))</w:t>
            </w:r>
          </w:p>
          <w:p>
            <w:pPr>
              <w:pStyle w:val="TableContents"/>
              <w:spacing w:before="0" w:after="0"/>
              <w:rPr>
                <w:rFonts w:ascii="Times New Roman" w:hAnsi="Times New Roman"/>
                <w:sz w:val="16"/>
              </w:rPr>
            </w:pPr>
            <w:r>
              <w:rPr>
                <w:rFonts w:ascii="Times New Roman" w:hAnsi="Times New Roman"/>
                <w:sz w:val="16"/>
              </w:rPr>
              <w:t>1100 Glendon Avenue, Suite 1200</w:t>
            </w:r>
          </w:p>
          <w:p>
            <w:pPr>
              <w:pStyle w:val="TableContents"/>
              <w:spacing w:before="0" w:after="20"/>
              <w:rPr>
                <w:rFonts w:ascii="Times New Roman" w:hAnsi="Times New Roman"/>
                <w:sz w:val="16"/>
              </w:rPr>
            </w:pPr>
            <w:r>
              <w:rPr>
                <w:rFonts w:ascii="Times New Roman" w:hAnsi="Times New Roman"/>
                <w:sz w:val="16"/>
              </w:rPr>
              <w:t>Los Angeles, CA 90024</w:t>
            </w:r>
          </w:p>
        </w:tc>
        <w:tc>
          <w:tcPr>
            <w:tcW w:w="60" w:type="dxa"/>
            <w:tcBorders/>
            <w:shd w:fill="auto" w:val="clear"/>
            <w:vAlign w:val="center"/>
          </w:tcPr>
          <w:p>
            <w:pPr>
              <w:pStyle w:val="TableContents"/>
              <w:spacing w:before="0" w:after="283"/>
              <w:rPr/>
            </w:pPr>
            <w:r>
              <w:rPr/>
              <w:t> </w:t>
            </w:r>
          </w:p>
        </w:tc>
        <w:tc>
          <w:tcPr>
            <w:tcW w:w="2198" w:type="dxa"/>
            <w:tcBorders/>
            <w:shd w:fill="auto" w:val="clear"/>
            <w:vAlign w:val="center"/>
          </w:tcPr>
          <w:p>
            <w:pPr>
              <w:pStyle w:val="TableContents"/>
              <w:spacing w:before="0" w:after="283"/>
              <w:jc w:val="center"/>
              <w:rPr/>
            </w:pPr>
            <w:r>
              <w:rPr/>
              <w:t>Media</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52" w:type="dxa"/>
            <w:tcBorders/>
            <w:shd w:fill="auto" w:val="clear"/>
            <w:vAlign w:val="center"/>
          </w:tcPr>
          <w:p>
            <w:pPr>
              <w:pStyle w:val="TableContents"/>
              <w:spacing w:before="0" w:after="283"/>
              <w:jc w:val="center"/>
              <w:rPr/>
            </w:pPr>
            <w:r>
              <w:rPr/>
              <w:t>First Lien Secured Debt(4),</w:t>
              <w:br/>
              <w:t>3M L+600, 05/06/2026</w:t>
              <w:br/>
              <w:t>Preferred Equity</w:t>
              <w:br/>
              <w:t>Common Equity</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0.9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w:t>
            </w:r>
          </w:p>
        </w:tc>
        <w:tc>
          <w:tcPr>
            <w:tcW w:w="1171" w:type="dxa"/>
            <w:tcBorders/>
            <w:shd w:fill="auto" w:val="clear"/>
            <w:vAlign w:val="center"/>
          </w:tcPr>
          <w:p>
            <w:pPr>
              <w:pStyle w:val="TableContents"/>
              <w:spacing w:before="0" w:after="283"/>
              <w:jc w:val="right"/>
              <w:rPr/>
            </w:pPr>
            <w:r>
              <w:rPr/>
              <w:t>5,737</w:t>
            </w:r>
          </w:p>
        </w:tc>
        <w:tc>
          <w:tcPr>
            <w:tcW w:w="78" w:type="dxa"/>
            <w:tcBorders/>
            <w:shd w:fill="auto" w:val="clear"/>
            <w:vAlign w:val="center"/>
          </w:tcPr>
          <w:p>
            <w:pPr>
              <w:pStyle w:val="TableContents"/>
              <w:spacing w:before="0" w:after="283"/>
              <w:rPr/>
            </w:pPr>
            <w:r>
              <w:rPr/>
              <w:t> </w:t>
            </w:r>
          </w:p>
        </w:tc>
      </w:tr>
      <w:tr>
        <w:trPr/>
        <w:tc>
          <w:tcPr>
            <w:tcW w:w="2141" w:type="dxa"/>
            <w:tcBorders/>
            <w:shd w:fill="auto" w:val="clear"/>
            <w:vAlign w:val="center"/>
          </w:tcPr>
          <w:p>
            <w:pPr>
              <w:pStyle w:val="TableContents"/>
              <w:spacing w:before="0" w:after="283"/>
              <w:rPr>
                <w:sz w:val="4"/>
                <w:szCs w:val="4"/>
              </w:rPr>
            </w:pPr>
            <w:r>
              <w:rPr>
                <w:sz w:val="4"/>
                <w:szCs w:val="4"/>
              </w:rPr>
            </w:r>
          </w:p>
        </w:tc>
        <w:tc>
          <w:tcPr>
            <w:tcW w:w="2258"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512" w:type="dxa"/>
            <w:gridSpan w:val="2"/>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2141"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Affinion Group Holdings, Inc.</w:t>
            </w:r>
          </w:p>
          <w:p>
            <w:pPr>
              <w:pStyle w:val="TableContents"/>
              <w:spacing w:before="0" w:after="0"/>
              <w:rPr>
                <w:rFonts w:ascii="Times New Roman" w:hAnsi="Times New Roman"/>
                <w:sz w:val="16"/>
              </w:rPr>
            </w:pPr>
            <w:r>
              <w:rPr>
                <w:rFonts w:ascii="Times New Roman" w:hAnsi="Times New Roman"/>
                <w:sz w:val="16"/>
              </w:rPr>
              <w:t>100 Connecticut Avenue</w:t>
            </w:r>
          </w:p>
          <w:p>
            <w:pPr>
              <w:pStyle w:val="TableContents"/>
              <w:spacing w:before="0" w:after="20"/>
              <w:rPr>
                <w:rFonts w:ascii="Times New Roman" w:hAnsi="Times New Roman"/>
                <w:sz w:val="16"/>
              </w:rPr>
            </w:pPr>
            <w:r>
              <w:rPr>
                <w:rFonts w:ascii="Times New Roman" w:hAnsi="Times New Roman"/>
                <w:sz w:val="16"/>
              </w:rPr>
              <w:t>Norwalk, CT 06850</w:t>
            </w:r>
          </w:p>
        </w:tc>
        <w:tc>
          <w:tcPr>
            <w:tcW w:w="60" w:type="dxa"/>
            <w:tcBorders/>
            <w:shd w:fill="CCEEFF" w:val="clear"/>
            <w:vAlign w:val="center"/>
          </w:tcPr>
          <w:p>
            <w:pPr>
              <w:pStyle w:val="TableContents"/>
              <w:spacing w:before="0" w:after="283"/>
              <w:rPr/>
            </w:pPr>
            <w:r>
              <w:rPr/>
              <w:t> </w:t>
            </w:r>
          </w:p>
        </w:tc>
        <w:tc>
          <w:tcPr>
            <w:tcW w:w="2198" w:type="dxa"/>
            <w:tcBorders/>
            <w:shd w:fill="CCEEFF" w:val="clear"/>
            <w:vAlign w:val="center"/>
          </w:tcPr>
          <w:p>
            <w:pPr>
              <w:pStyle w:val="TableContents"/>
              <w:spacing w:before="0" w:after="283"/>
              <w:jc w:val="center"/>
              <w:rPr/>
            </w:pPr>
            <w:r>
              <w:rPr/>
              <w:t>Consumer Goods: Durable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452" w:type="dxa"/>
            <w:tcBorders/>
            <w:shd w:fill="CCEEFF" w:val="clear"/>
            <w:vAlign w:val="center"/>
          </w:tcPr>
          <w:p>
            <w:pPr>
              <w:pStyle w:val="TableContents"/>
              <w:spacing w:before="0" w:after="283"/>
              <w:jc w:val="center"/>
              <w:rPr/>
            </w:pPr>
            <w:r>
              <w:rPr/>
              <w:t>Warrants</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  </w:t>
            </w:r>
          </w:p>
        </w:tc>
        <w:tc>
          <w:tcPr>
            <w:tcW w:w="78" w:type="dxa"/>
            <w:tcBorders/>
            <w:shd w:fill="CCEEFF" w:val="clear"/>
            <w:vAlign w:val="center"/>
          </w:tcPr>
          <w:p>
            <w:pPr>
              <w:pStyle w:val="TableContents"/>
              <w:spacing w:before="0" w:after="283"/>
              <w:rPr/>
            </w:pPr>
            <w:r>
              <w:rPr/>
              <w:t> </w:t>
            </w:r>
          </w:p>
        </w:tc>
      </w:tr>
      <w:tr>
        <w:trPr/>
        <w:tc>
          <w:tcPr>
            <w:tcW w:w="2141" w:type="dxa"/>
            <w:tcBorders/>
            <w:shd w:fill="auto" w:val="clear"/>
            <w:vAlign w:val="center"/>
          </w:tcPr>
          <w:p>
            <w:pPr>
              <w:pStyle w:val="TableContents"/>
              <w:spacing w:before="0" w:after="283"/>
              <w:rPr>
                <w:sz w:val="4"/>
                <w:szCs w:val="4"/>
              </w:rPr>
            </w:pPr>
            <w:r>
              <w:rPr>
                <w:sz w:val="4"/>
                <w:szCs w:val="4"/>
              </w:rPr>
            </w:r>
          </w:p>
        </w:tc>
        <w:tc>
          <w:tcPr>
            <w:tcW w:w="2258"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512" w:type="dxa"/>
            <w:gridSpan w:val="2"/>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2141"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AG Investco LP(5)</w:t>
            </w:r>
          </w:p>
          <w:p>
            <w:pPr>
              <w:pStyle w:val="TableContents"/>
              <w:spacing w:before="0" w:after="0"/>
              <w:rPr>
                <w:rFonts w:ascii="Times New Roman" w:hAnsi="Times New Roman"/>
                <w:sz w:val="16"/>
              </w:rPr>
            </w:pPr>
            <w:r>
              <w:rPr>
                <w:rFonts w:ascii="Times New Roman" w:hAnsi="Times New Roman"/>
                <w:sz w:val="16"/>
              </w:rPr>
              <w:t>251 Little Falls Drive</w:t>
            </w:r>
          </w:p>
          <w:p>
            <w:pPr>
              <w:pStyle w:val="TableContents"/>
              <w:spacing w:before="0" w:after="20"/>
              <w:rPr>
                <w:rFonts w:ascii="Times New Roman" w:hAnsi="Times New Roman"/>
                <w:sz w:val="16"/>
              </w:rPr>
            </w:pPr>
            <w:r>
              <w:rPr>
                <w:rFonts w:ascii="Times New Roman" w:hAnsi="Times New Roman"/>
                <w:sz w:val="16"/>
              </w:rPr>
              <w:t>Herndon, VA 19808</w:t>
            </w:r>
          </w:p>
        </w:tc>
        <w:tc>
          <w:tcPr>
            <w:tcW w:w="60" w:type="dxa"/>
            <w:tcBorders/>
            <w:shd w:fill="auto" w:val="clear"/>
            <w:vAlign w:val="center"/>
          </w:tcPr>
          <w:p>
            <w:pPr>
              <w:pStyle w:val="TableContents"/>
              <w:spacing w:before="0" w:after="283"/>
              <w:rPr/>
            </w:pPr>
            <w:r>
              <w:rPr/>
              <w:t> </w:t>
            </w:r>
          </w:p>
        </w:tc>
        <w:tc>
          <w:tcPr>
            <w:tcW w:w="2198" w:type="dxa"/>
            <w:tcBorders/>
            <w:shd w:fill="auto" w:val="clear"/>
            <w:vAlign w:val="center"/>
          </w:tcPr>
          <w:p>
            <w:pPr>
              <w:pStyle w:val="TableContents"/>
              <w:spacing w:before="0" w:after="283"/>
              <w:jc w:val="center"/>
              <w:rPr/>
            </w:pPr>
            <w:r>
              <w:rPr/>
              <w:t>Software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52" w:type="dxa"/>
            <w:tcBorders/>
            <w:shd w:fill="auto" w:val="clear"/>
            <w:vAlign w:val="center"/>
          </w:tcPr>
          <w:p>
            <w:pPr>
              <w:pStyle w:val="TableContents"/>
              <w:spacing w:before="0" w:after="283"/>
              <w:jc w:val="center"/>
              <w:rPr/>
            </w:pPr>
            <w:r>
              <w:rPr/>
              <w:t>Common Equity(4)</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2.6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1,127</w:t>
            </w:r>
          </w:p>
        </w:tc>
        <w:tc>
          <w:tcPr>
            <w:tcW w:w="78" w:type="dxa"/>
            <w:tcBorders/>
            <w:shd w:fill="auto" w:val="clear"/>
            <w:vAlign w:val="center"/>
          </w:tcPr>
          <w:p>
            <w:pPr>
              <w:pStyle w:val="TableContents"/>
              <w:spacing w:before="0" w:after="283"/>
              <w:rPr/>
            </w:pPr>
            <w:r>
              <w:rPr/>
              <w:t> </w:t>
            </w:r>
          </w:p>
        </w:tc>
      </w:tr>
      <w:tr>
        <w:trPr/>
        <w:tc>
          <w:tcPr>
            <w:tcW w:w="2141" w:type="dxa"/>
            <w:tcBorders/>
            <w:shd w:fill="auto" w:val="clear"/>
            <w:vAlign w:val="center"/>
          </w:tcPr>
          <w:p>
            <w:pPr>
              <w:pStyle w:val="TableContents"/>
              <w:spacing w:before="0" w:after="283"/>
              <w:rPr>
                <w:sz w:val="4"/>
                <w:szCs w:val="4"/>
              </w:rPr>
            </w:pPr>
            <w:r>
              <w:rPr>
                <w:sz w:val="4"/>
                <w:szCs w:val="4"/>
              </w:rPr>
            </w:r>
          </w:p>
        </w:tc>
        <w:tc>
          <w:tcPr>
            <w:tcW w:w="2258"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512" w:type="dxa"/>
            <w:gridSpan w:val="2"/>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2141"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Altamira Technologies, LLC</w:t>
            </w:r>
          </w:p>
          <w:p>
            <w:pPr>
              <w:pStyle w:val="TableContents"/>
              <w:spacing w:before="0" w:after="0"/>
              <w:rPr>
                <w:rFonts w:ascii="Times New Roman" w:hAnsi="Times New Roman"/>
                <w:sz w:val="16"/>
              </w:rPr>
            </w:pPr>
            <w:r>
              <w:rPr>
                <w:rFonts w:ascii="Times New Roman" w:hAnsi="Times New Roman"/>
                <w:sz w:val="16"/>
              </w:rPr>
              <w:t>(Altamira Intermediate Company II, Inc.)</w:t>
            </w:r>
          </w:p>
          <w:p>
            <w:pPr>
              <w:pStyle w:val="TableContents"/>
              <w:spacing w:before="0" w:after="0"/>
              <w:rPr>
                <w:rFonts w:ascii="Times New Roman" w:hAnsi="Times New Roman"/>
                <w:sz w:val="16"/>
              </w:rPr>
            </w:pPr>
            <w:r>
              <w:rPr>
                <w:rFonts w:ascii="Times New Roman" w:hAnsi="Times New Roman"/>
                <w:sz w:val="16"/>
              </w:rPr>
              <w:t>8201 Greensboro Drive, Suite 800</w:t>
            </w:r>
          </w:p>
          <w:p>
            <w:pPr>
              <w:pStyle w:val="TableContents"/>
              <w:spacing w:before="0" w:after="20"/>
              <w:rPr>
                <w:rFonts w:ascii="Times New Roman" w:hAnsi="Times New Roman"/>
                <w:sz w:val="16"/>
              </w:rPr>
            </w:pPr>
            <w:r>
              <w:rPr>
                <w:rFonts w:ascii="Times New Roman" w:hAnsi="Times New Roman"/>
                <w:sz w:val="16"/>
              </w:rPr>
              <w:t>McLean, VA 22102</w:t>
            </w:r>
          </w:p>
        </w:tc>
        <w:tc>
          <w:tcPr>
            <w:tcW w:w="60" w:type="dxa"/>
            <w:tcBorders/>
            <w:shd w:fill="CCEEFF" w:val="clear"/>
            <w:vAlign w:val="center"/>
          </w:tcPr>
          <w:p>
            <w:pPr>
              <w:pStyle w:val="TableContents"/>
              <w:spacing w:before="0" w:after="283"/>
              <w:rPr/>
            </w:pPr>
            <w:r>
              <w:rPr/>
              <w:t> </w:t>
            </w:r>
          </w:p>
        </w:tc>
        <w:tc>
          <w:tcPr>
            <w:tcW w:w="2198" w:type="dxa"/>
            <w:tcBorders/>
            <w:shd w:fill="CCEEFF" w:val="clear"/>
            <w:vAlign w:val="center"/>
          </w:tcPr>
          <w:p>
            <w:pPr>
              <w:pStyle w:val="TableContents"/>
              <w:spacing w:before="0" w:after="283"/>
              <w:jc w:val="center"/>
              <w:rPr/>
            </w:pPr>
            <w:r>
              <w:rPr/>
              <w:t>IT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452" w:type="dxa"/>
            <w:tcBorders/>
            <w:shd w:fill="CCEEFF" w:val="clear"/>
            <w:vAlign w:val="center"/>
          </w:tcPr>
          <w:p>
            <w:pPr>
              <w:pStyle w:val="TableContents"/>
              <w:spacing w:before="0" w:after="283"/>
              <w:jc w:val="center"/>
              <w:rPr/>
            </w:pPr>
            <w:r>
              <w:rPr/>
              <w:t>First Lien Secured Debt(4),</w:t>
              <w:br/>
              <w:t>3M L+800, 07/24/2025</w:t>
              <w:br/>
              <w:t>Common Equity</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2.9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6,032</w:t>
            </w:r>
          </w:p>
        </w:tc>
        <w:tc>
          <w:tcPr>
            <w:tcW w:w="78" w:type="dxa"/>
            <w:tcBorders/>
            <w:shd w:fill="CCEEFF" w:val="clear"/>
            <w:vAlign w:val="center"/>
          </w:tcPr>
          <w:p>
            <w:pPr>
              <w:pStyle w:val="TableContents"/>
              <w:spacing w:before="0" w:after="283"/>
              <w:rPr/>
            </w:pPr>
            <w:r>
              <w:rPr/>
              <w:t> </w:t>
            </w:r>
          </w:p>
        </w:tc>
      </w:tr>
      <w:tr>
        <w:trPr/>
        <w:tc>
          <w:tcPr>
            <w:tcW w:w="2141" w:type="dxa"/>
            <w:tcBorders/>
            <w:shd w:fill="auto" w:val="clear"/>
            <w:vAlign w:val="center"/>
          </w:tcPr>
          <w:p>
            <w:pPr>
              <w:pStyle w:val="TableContents"/>
              <w:spacing w:before="0" w:after="283"/>
              <w:rPr>
                <w:sz w:val="4"/>
                <w:szCs w:val="4"/>
              </w:rPr>
            </w:pPr>
            <w:r>
              <w:rPr>
                <w:sz w:val="4"/>
                <w:szCs w:val="4"/>
              </w:rPr>
            </w:r>
          </w:p>
        </w:tc>
        <w:tc>
          <w:tcPr>
            <w:tcW w:w="2258"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512" w:type="dxa"/>
            <w:gridSpan w:val="2"/>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2141"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American Insulated Glass, LLC</w:t>
            </w:r>
          </w:p>
          <w:p>
            <w:pPr>
              <w:pStyle w:val="TableContents"/>
              <w:spacing w:before="0" w:after="0"/>
              <w:rPr>
                <w:rFonts w:ascii="Times New Roman" w:hAnsi="Times New Roman"/>
                <w:sz w:val="16"/>
              </w:rPr>
            </w:pPr>
            <w:r>
              <w:rPr>
                <w:rFonts w:ascii="Times New Roman" w:hAnsi="Times New Roman"/>
                <w:sz w:val="16"/>
              </w:rPr>
              <w:t>(Go Dawgs Capital III, LP(5))</w:t>
            </w:r>
          </w:p>
          <w:p>
            <w:pPr>
              <w:pStyle w:val="TableContents"/>
              <w:spacing w:before="0" w:after="0"/>
              <w:rPr>
                <w:rFonts w:ascii="Times New Roman" w:hAnsi="Times New Roman"/>
                <w:sz w:val="16"/>
              </w:rPr>
            </w:pPr>
            <w:r>
              <w:rPr>
                <w:rFonts w:ascii="Times New Roman" w:hAnsi="Times New Roman"/>
                <w:sz w:val="16"/>
              </w:rPr>
              <w:t>3965 E. Conley Road</w:t>
            </w:r>
          </w:p>
          <w:p>
            <w:pPr>
              <w:pStyle w:val="TableContents"/>
              <w:spacing w:before="0" w:after="20"/>
              <w:rPr>
                <w:rFonts w:ascii="Times New Roman" w:hAnsi="Times New Roman"/>
                <w:sz w:val="16"/>
              </w:rPr>
            </w:pPr>
            <w:r>
              <w:rPr>
                <w:rFonts w:ascii="Times New Roman" w:hAnsi="Times New Roman"/>
                <w:sz w:val="16"/>
              </w:rPr>
              <w:t>Conley, GA 30288</w:t>
            </w:r>
          </w:p>
        </w:tc>
        <w:tc>
          <w:tcPr>
            <w:tcW w:w="60" w:type="dxa"/>
            <w:tcBorders/>
            <w:shd w:fill="auto" w:val="clear"/>
            <w:vAlign w:val="center"/>
          </w:tcPr>
          <w:p>
            <w:pPr>
              <w:pStyle w:val="TableContents"/>
              <w:spacing w:before="0" w:after="283"/>
              <w:rPr/>
            </w:pPr>
            <w:r>
              <w:rPr/>
              <w:t> </w:t>
            </w:r>
          </w:p>
        </w:tc>
        <w:tc>
          <w:tcPr>
            <w:tcW w:w="2198" w:type="dxa"/>
            <w:tcBorders/>
            <w:shd w:fill="auto" w:val="clear"/>
            <w:vAlign w:val="center"/>
          </w:tcPr>
          <w:p>
            <w:pPr>
              <w:pStyle w:val="TableContents"/>
              <w:spacing w:before="0" w:after="283"/>
              <w:jc w:val="center"/>
              <w:rPr/>
            </w:pPr>
            <w:r>
              <w:rPr/>
              <w:t>Building Products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52" w:type="dxa"/>
            <w:tcBorders/>
            <w:shd w:fill="auto" w:val="clear"/>
            <w:vAlign w:val="center"/>
          </w:tcPr>
          <w:p>
            <w:pPr>
              <w:pStyle w:val="TableContents"/>
              <w:spacing w:before="0" w:after="283"/>
              <w:jc w:val="center"/>
              <w:rPr/>
            </w:pPr>
            <w:r>
              <w:rPr/>
              <w:t>First Lien Secured Debt,</w:t>
              <w:br/>
              <w:t>3M L+550, 12/21/2023</w:t>
              <w:br/>
              <w:t>Common Equity</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0.7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7,978</w:t>
            </w:r>
          </w:p>
        </w:tc>
        <w:tc>
          <w:tcPr>
            <w:tcW w:w="78" w:type="dxa"/>
            <w:tcBorders/>
            <w:shd w:fill="auto" w:val="clear"/>
            <w:vAlign w:val="center"/>
          </w:tcPr>
          <w:p>
            <w:pPr>
              <w:pStyle w:val="TableContents"/>
              <w:spacing w:before="0" w:after="283"/>
              <w:rPr/>
            </w:pPr>
            <w:r>
              <w:rPr/>
              <w:t> </w:t>
            </w:r>
          </w:p>
        </w:tc>
      </w:tr>
      <w:tr>
        <w:trPr/>
        <w:tc>
          <w:tcPr>
            <w:tcW w:w="2141" w:type="dxa"/>
            <w:tcBorders/>
            <w:shd w:fill="auto" w:val="clear"/>
            <w:vAlign w:val="center"/>
          </w:tcPr>
          <w:p>
            <w:pPr>
              <w:pStyle w:val="TableContents"/>
              <w:spacing w:before="0" w:after="283"/>
              <w:rPr>
                <w:sz w:val="4"/>
                <w:szCs w:val="4"/>
              </w:rPr>
            </w:pPr>
            <w:r>
              <w:rPr>
                <w:sz w:val="4"/>
                <w:szCs w:val="4"/>
              </w:rPr>
            </w:r>
          </w:p>
        </w:tc>
        <w:tc>
          <w:tcPr>
            <w:tcW w:w="2258"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512" w:type="dxa"/>
            <w:gridSpan w:val="2"/>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2141"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American Teleconferencing Services, Ltd.</w:t>
            </w:r>
          </w:p>
          <w:p>
            <w:pPr>
              <w:pStyle w:val="TableContents"/>
              <w:spacing w:before="0" w:after="0"/>
              <w:rPr>
                <w:rFonts w:ascii="Times New Roman" w:hAnsi="Times New Roman"/>
                <w:sz w:val="16"/>
              </w:rPr>
            </w:pPr>
            <w:r>
              <w:rPr>
                <w:rFonts w:ascii="Times New Roman" w:hAnsi="Times New Roman"/>
                <w:sz w:val="16"/>
              </w:rPr>
              <w:t>2300 Lakeview Parkway Suite 300</w:t>
            </w:r>
          </w:p>
          <w:p>
            <w:pPr>
              <w:pStyle w:val="TableContents"/>
              <w:spacing w:before="0" w:after="20"/>
              <w:rPr>
                <w:rFonts w:ascii="Times New Roman" w:hAnsi="Times New Roman"/>
                <w:sz w:val="16"/>
              </w:rPr>
            </w:pPr>
            <w:r>
              <w:rPr>
                <w:rFonts w:ascii="Times New Roman" w:hAnsi="Times New Roman"/>
                <w:sz w:val="16"/>
              </w:rPr>
              <w:t>Alpharetta, GA 30009</w:t>
            </w:r>
          </w:p>
        </w:tc>
        <w:tc>
          <w:tcPr>
            <w:tcW w:w="60" w:type="dxa"/>
            <w:tcBorders/>
            <w:shd w:fill="CCEEFF" w:val="clear"/>
            <w:vAlign w:val="center"/>
          </w:tcPr>
          <w:p>
            <w:pPr>
              <w:pStyle w:val="TableContents"/>
              <w:spacing w:before="0" w:after="283"/>
              <w:rPr/>
            </w:pPr>
            <w:r>
              <w:rPr/>
              <w:t> </w:t>
            </w:r>
          </w:p>
        </w:tc>
        <w:tc>
          <w:tcPr>
            <w:tcW w:w="2198" w:type="dxa"/>
            <w:tcBorders/>
            <w:shd w:fill="CCEEFF" w:val="clear"/>
            <w:vAlign w:val="center"/>
          </w:tcPr>
          <w:p>
            <w:pPr>
              <w:pStyle w:val="TableContents"/>
              <w:spacing w:before="0" w:after="283"/>
              <w:jc w:val="center"/>
              <w:rPr/>
            </w:pPr>
            <w:r>
              <w:rPr/>
              <w:t>Telecommunications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452" w:type="dxa"/>
            <w:tcBorders/>
            <w:shd w:fill="CCEEFF" w:val="clear"/>
            <w:vAlign w:val="center"/>
          </w:tcPr>
          <w:p>
            <w:pPr>
              <w:pStyle w:val="TableContents"/>
              <w:spacing w:before="0" w:after="283"/>
              <w:jc w:val="center"/>
              <w:rPr/>
            </w:pPr>
            <w:r>
              <w:rPr/>
              <w:t>First Lien Secured Debt(4),</w:t>
              <w:br/>
              <w:t>—, 06/08/2023</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107</w:t>
            </w:r>
          </w:p>
        </w:tc>
        <w:tc>
          <w:tcPr>
            <w:tcW w:w="78" w:type="dxa"/>
            <w:tcBorders/>
            <w:shd w:fill="CCEEFF" w:val="clear"/>
            <w:vAlign w:val="center"/>
          </w:tcPr>
          <w:p>
            <w:pPr>
              <w:pStyle w:val="TableContents"/>
              <w:spacing w:before="0" w:after="283"/>
              <w:rPr/>
            </w:pPr>
            <w:r>
              <w:rPr/>
              <w:t> </w:t>
            </w:r>
          </w:p>
        </w:tc>
      </w:tr>
      <w:tr>
        <w:trPr/>
        <w:tc>
          <w:tcPr>
            <w:tcW w:w="2141" w:type="dxa"/>
            <w:tcBorders/>
            <w:shd w:fill="auto" w:val="clear"/>
            <w:vAlign w:val="center"/>
          </w:tcPr>
          <w:p>
            <w:pPr>
              <w:pStyle w:val="TableContents"/>
              <w:spacing w:before="0" w:after="283"/>
              <w:rPr>
                <w:sz w:val="4"/>
                <w:szCs w:val="4"/>
              </w:rPr>
            </w:pPr>
            <w:r>
              <w:rPr>
                <w:sz w:val="4"/>
                <w:szCs w:val="4"/>
              </w:rPr>
            </w:r>
          </w:p>
        </w:tc>
        <w:tc>
          <w:tcPr>
            <w:tcW w:w="2258"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512" w:type="dxa"/>
            <w:gridSpan w:val="2"/>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2141"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Amsive Holding Corporation (f/k/a Vision Purchaser</w:t>
            </w:r>
          </w:p>
          <w:p>
            <w:pPr>
              <w:pStyle w:val="TableContents"/>
              <w:spacing w:before="0" w:after="0"/>
              <w:rPr>
                <w:rFonts w:ascii="Times New Roman" w:hAnsi="Times New Roman"/>
                <w:sz w:val="16"/>
              </w:rPr>
            </w:pPr>
            <w:r>
              <w:rPr>
                <w:rFonts w:ascii="Times New Roman" w:hAnsi="Times New Roman"/>
                <w:sz w:val="16"/>
              </w:rPr>
              <w:t>Corporation)</w:t>
            </w:r>
          </w:p>
          <w:p>
            <w:pPr>
              <w:pStyle w:val="TableContents"/>
              <w:spacing w:before="0" w:after="0"/>
              <w:rPr>
                <w:rFonts w:ascii="Times New Roman" w:hAnsi="Times New Roman"/>
                <w:sz w:val="16"/>
              </w:rPr>
            </w:pPr>
            <w:r>
              <w:rPr>
                <w:rFonts w:ascii="Times New Roman" w:hAnsi="Times New Roman"/>
                <w:sz w:val="16"/>
              </w:rPr>
              <w:t>605 Territorial Drive</w:t>
            </w:r>
          </w:p>
          <w:p>
            <w:pPr>
              <w:pStyle w:val="TableContents"/>
              <w:spacing w:before="0" w:after="0"/>
              <w:rPr>
                <w:rFonts w:ascii="Times New Roman" w:hAnsi="Times New Roman"/>
                <w:sz w:val="16"/>
              </w:rPr>
            </w:pPr>
            <w:r>
              <w:rPr>
                <w:rFonts w:ascii="Times New Roman" w:hAnsi="Times New Roman"/>
                <w:sz w:val="16"/>
              </w:rPr>
              <w:t>Suite A, B &amp; C</w:t>
            </w:r>
          </w:p>
          <w:p>
            <w:pPr>
              <w:pStyle w:val="TableContents"/>
              <w:spacing w:before="0" w:after="20"/>
              <w:rPr>
                <w:rFonts w:ascii="Times New Roman" w:hAnsi="Times New Roman"/>
                <w:sz w:val="16"/>
              </w:rPr>
            </w:pPr>
            <w:r>
              <w:rPr>
                <w:rFonts w:ascii="Times New Roman" w:hAnsi="Times New Roman"/>
                <w:sz w:val="16"/>
              </w:rPr>
              <w:t>Bolingbrook, IL 60440</w:t>
            </w:r>
          </w:p>
        </w:tc>
        <w:tc>
          <w:tcPr>
            <w:tcW w:w="60" w:type="dxa"/>
            <w:tcBorders/>
            <w:shd w:fill="auto" w:val="clear"/>
            <w:vAlign w:val="center"/>
          </w:tcPr>
          <w:p>
            <w:pPr>
              <w:pStyle w:val="TableContents"/>
              <w:spacing w:before="0" w:after="283"/>
              <w:rPr/>
            </w:pPr>
            <w:r>
              <w:rPr/>
              <w:t> </w:t>
            </w:r>
          </w:p>
        </w:tc>
        <w:tc>
          <w:tcPr>
            <w:tcW w:w="2198" w:type="dxa"/>
            <w:tcBorders/>
            <w:shd w:fill="auto" w:val="clear"/>
            <w:vAlign w:val="center"/>
          </w:tcPr>
          <w:p>
            <w:pPr>
              <w:pStyle w:val="TableContents"/>
              <w:spacing w:before="0" w:after="283"/>
              <w:jc w:val="center"/>
              <w:rPr/>
            </w:pPr>
            <w:r>
              <w:rPr/>
              <w:t>Media</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52" w:type="dxa"/>
            <w:tcBorders/>
            <w:shd w:fill="auto" w:val="clear"/>
            <w:vAlign w:val="center"/>
          </w:tcPr>
          <w:p>
            <w:pPr>
              <w:pStyle w:val="TableContents"/>
              <w:spacing w:before="0" w:after="283"/>
              <w:jc w:val="center"/>
              <w:rPr/>
            </w:pPr>
            <w:r>
              <w:rPr/>
              <w:t>First Lien Secured Debt,</w:t>
              <w:br/>
              <w:t>3M L+625, 06/10/2025</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13,892</w:t>
            </w:r>
          </w:p>
        </w:tc>
        <w:tc>
          <w:tcPr>
            <w:tcW w:w="78"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1896"/>
        <w:gridCol w:w="60"/>
        <w:gridCol w:w="2805"/>
        <w:gridCol w:w="60"/>
        <w:gridCol w:w="60"/>
        <w:gridCol w:w="60"/>
        <w:gridCol w:w="2017"/>
        <w:gridCol w:w="60"/>
        <w:gridCol w:w="173"/>
        <w:gridCol w:w="1101"/>
        <w:gridCol w:w="275"/>
        <w:gridCol w:w="60"/>
        <w:gridCol w:w="239"/>
        <w:gridCol w:w="1166"/>
        <w:gridCol w:w="173"/>
      </w:tblGrid>
      <w:tr>
        <w:trPr/>
        <w:tc>
          <w:tcPr>
            <w:tcW w:w="18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1896"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w:t>
              <w:br/>
              <w:t>Address of Portfolio Company</w:t>
            </w:r>
          </w:p>
        </w:tc>
        <w:tc>
          <w:tcPr>
            <w:tcW w:w="60" w:type="dxa"/>
            <w:tcBorders/>
            <w:shd w:fill="auto" w:val="clear"/>
            <w:vAlign w:val="center"/>
          </w:tcPr>
          <w:p>
            <w:pPr>
              <w:pStyle w:val="TableContents"/>
              <w:spacing w:before="0" w:after="283"/>
              <w:rPr/>
            </w:pPr>
            <w:r>
              <w:rPr/>
              <w:t> </w:t>
            </w:r>
          </w:p>
        </w:tc>
        <w:tc>
          <w:tcPr>
            <w:tcW w:w="280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Nature of Business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17"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Type of Investment,</w:t>
            </w:r>
          </w:p>
          <w:p>
            <w:pPr>
              <w:pStyle w:val="TableContents"/>
              <w:spacing w:before="0" w:after="20"/>
              <w:jc w:val="center"/>
              <w:rPr>
                <w:rFonts w:ascii="Times New Roman" w:hAnsi="Times New Roman"/>
                <w:b/>
                <w:sz w:val="16"/>
              </w:rPr>
            </w:pPr>
            <w:r>
              <w:rPr>
                <w:rFonts w:ascii="Times New Roman" w:hAnsi="Times New Roman"/>
                <w:b/>
                <w:sz w:val="16"/>
              </w:rPr>
              <w:t>Interest(1), Maturity</w:t>
            </w:r>
          </w:p>
        </w:tc>
        <w:tc>
          <w:tcPr>
            <w:tcW w:w="60" w:type="dxa"/>
            <w:tcBorders/>
            <w:shd w:fill="auto" w:val="clear"/>
            <w:vAlign w:val="center"/>
          </w:tcPr>
          <w:p>
            <w:pPr>
              <w:pStyle w:val="TableContents"/>
              <w:spacing w:before="0" w:after="283"/>
              <w:rPr/>
            </w:pPr>
            <w:r>
              <w:rPr/>
              <w:t> </w:t>
            </w:r>
          </w:p>
        </w:tc>
        <w:tc>
          <w:tcPr>
            <w:tcW w:w="127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Voting</w:t>
              <w:br/>
              <w:t>Percentage</w:t>
              <w:br/>
              <w:t>Ownership(2)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Fair Value</w:t>
              <w:br/>
              <w:t>(in thousands)</w:t>
            </w:r>
          </w:p>
        </w:tc>
        <w:tc>
          <w:tcPr>
            <w:tcW w:w="173" w:type="dxa"/>
            <w:tcBorders/>
            <w:shd w:fill="auto" w:val="clear"/>
            <w:vAlign w:val="center"/>
          </w:tcPr>
          <w:p>
            <w:pPr>
              <w:pStyle w:val="TableContents"/>
              <w:spacing w:before="0" w:after="283"/>
              <w:rPr/>
            </w:pPr>
            <w:r>
              <w:rPr/>
              <w:t> </w:t>
            </w:r>
          </w:p>
        </w:tc>
      </w:tr>
      <w:tr>
        <w:trPr/>
        <w:tc>
          <w:tcPr>
            <w:tcW w:w="1896"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Anteriad, LLC (f/k/a MeritDirect, LLC)</w:t>
            </w:r>
          </w:p>
          <w:p>
            <w:pPr>
              <w:pStyle w:val="TableContents"/>
              <w:spacing w:before="0" w:after="0"/>
              <w:rPr>
                <w:rFonts w:ascii="Times New Roman" w:hAnsi="Times New Roman"/>
                <w:sz w:val="16"/>
              </w:rPr>
            </w:pPr>
            <w:r>
              <w:rPr>
                <w:rFonts w:ascii="Times New Roman" w:hAnsi="Times New Roman"/>
                <w:sz w:val="16"/>
              </w:rPr>
              <w:t>(Anterida Holdings, LP (5))</w:t>
            </w:r>
          </w:p>
          <w:p>
            <w:pPr>
              <w:pStyle w:val="TableContents"/>
              <w:spacing w:before="0" w:after="0"/>
              <w:rPr>
                <w:rFonts w:ascii="Times New Roman" w:hAnsi="Times New Roman"/>
                <w:sz w:val="16"/>
              </w:rPr>
            </w:pPr>
            <w:r>
              <w:rPr>
                <w:rFonts w:ascii="Times New Roman" w:hAnsi="Times New Roman"/>
                <w:sz w:val="16"/>
              </w:rPr>
              <w:t>2 International Drive</w:t>
            </w:r>
          </w:p>
          <w:p>
            <w:pPr>
              <w:pStyle w:val="TableContents"/>
              <w:spacing w:before="0" w:after="20"/>
              <w:rPr>
                <w:rFonts w:ascii="Times New Roman" w:hAnsi="Times New Roman"/>
                <w:sz w:val="16"/>
              </w:rPr>
            </w:pPr>
            <w:r>
              <w:rPr>
                <w:rFonts w:ascii="Times New Roman" w:hAnsi="Times New Roman"/>
                <w:sz w:val="16"/>
              </w:rPr>
              <w:t>Rye Brook, New York 10573</w:t>
            </w:r>
          </w:p>
        </w:tc>
        <w:tc>
          <w:tcPr>
            <w:tcW w:w="60" w:type="dxa"/>
            <w:tcBorders/>
            <w:shd w:fill="CCEEFF" w:val="clear"/>
            <w:vAlign w:val="center"/>
          </w:tcPr>
          <w:p>
            <w:pPr>
              <w:pStyle w:val="TableContents"/>
              <w:spacing w:before="0" w:after="283"/>
              <w:rPr/>
            </w:pPr>
            <w:r>
              <w:rPr/>
              <w:t> </w:t>
            </w:r>
          </w:p>
        </w:tc>
        <w:tc>
          <w:tcPr>
            <w:tcW w:w="2805" w:type="dxa"/>
            <w:tcBorders/>
            <w:shd w:fill="CCEEFF" w:val="clear"/>
            <w:vAlign w:val="center"/>
          </w:tcPr>
          <w:p>
            <w:pPr>
              <w:pStyle w:val="TableContents"/>
              <w:spacing w:before="0" w:after="283"/>
              <w:jc w:val="center"/>
              <w:rPr/>
            </w:pPr>
            <w:r>
              <w:rPr/>
              <w:t>Media</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017"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L+550, 05/23/2024</w:t>
            </w:r>
          </w:p>
          <w:p>
            <w:pPr>
              <w:pStyle w:val="TableContents"/>
              <w:spacing w:before="0" w:after="20"/>
              <w:jc w:val="center"/>
              <w:rPr>
                <w:rFonts w:ascii="Times New Roman" w:hAnsi="Times New Roman"/>
                <w:sz w:val="16"/>
              </w:rPr>
            </w:pPr>
            <w:r>
              <w:rPr>
                <w:rFonts w:ascii="Times New Roman" w:hAnsi="Times New Roman"/>
                <w:sz w:val="16"/>
              </w:rPr>
              <w:t>Preferred Equity</w:t>
              <w:br/>
              <w:t>Common Equity</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w:t>
            </w:r>
          </w:p>
        </w:tc>
        <w:tc>
          <w:tcPr>
            <w:tcW w:w="1166" w:type="dxa"/>
            <w:tcBorders/>
            <w:shd w:fill="CCEEFF" w:val="clear"/>
            <w:vAlign w:val="center"/>
          </w:tcPr>
          <w:p>
            <w:pPr>
              <w:pStyle w:val="TableContents"/>
              <w:spacing w:before="0" w:after="283"/>
              <w:jc w:val="right"/>
              <w:rPr/>
            </w:pPr>
            <w:r>
              <w:rPr/>
              <w:t>17,584</w:t>
            </w:r>
          </w:p>
        </w:tc>
        <w:tc>
          <w:tcPr>
            <w:tcW w:w="173" w:type="dxa"/>
            <w:tcBorders/>
            <w:shd w:fill="CCEEFF"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Any Hour Services</w:t>
            </w:r>
          </w:p>
          <w:p>
            <w:pPr>
              <w:pStyle w:val="TableContents"/>
              <w:spacing w:before="0" w:after="0"/>
              <w:rPr>
                <w:rFonts w:ascii="Times New Roman" w:hAnsi="Times New Roman"/>
                <w:sz w:val="16"/>
              </w:rPr>
            </w:pPr>
            <w:r>
              <w:rPr>
                <w:rFonts w:ascii="Times New Roman" w:hAnsi="Times New Roman"/>
                <w:sz w:val="16"/>
              </w:rPr>
              <w:t>(KL Stockton Co-Invest LP (5))</w:t>
            </w:r>
          </w:p>
          <w:p>
            <w:pPr>
              <w:pStyle w:val="TableContents"/>
              <w:spacing w:before="0" w:after="0"/>
              <w:rPr>
                <w:rFonts w:ascii="Times New Roman" w:hAnsi="Times New Roman"/>
                <w:sz w:val="16"/>
              </w:rPr>
            </w:pPr>
            <w:r>
              <w:rPr>
                <w:rFonts w:ascii="Times New Roman" w:hAnsi="Times New Roman"/>
                <w:sz w:val="16"/>
              </w:rPr>
              <w:t>1374 130 S</w:t>
            </w:r>
          </w:p>
          <w:p>
            <w:pPr>
              <w:pStyle w:val="TableContents"/>
              <w:spacing w:before="0" w:after="20"/>
              <w:rPr>
                <w:rFonts w:ascii="Times New Roman" w:hAnsi="Times New Roman"/>
                <w:sz w:val="16"/>
              </w:rPr>
            </w:pPr>
            <w:r>
              <w:rPr>
                <w:rFonts w:ascii="Times New Roman" w:hAnsi="Times New Roman"/>
                <w:sz w:val="16"/>
              </w:rPr>
              <w:t>Orem, UT 84058</w:t>
            </w:r>
          </w:p>
        </w:tc>
        <w:tc>
          <w:tcPr>
            <w:tcW w:w="60" w:type="dxa"/>
            <w:tcBorders/>
            <w:shd w:fill="auto" w:val="clear"/>
            <w:vAlign w:val="center"/>
          </w:tcPr>
          <w:p>
            <w:pPr>
              <w:pStyle w:val="TableContents"/>
              <w:spacing w:before="0" w:after="283"/>
              <w:rPr/>
            </w:pPr>
            <w:r>
              <w:rPr/>
              <w:t> </w:t>
            </w:r>
          </w:p>
        </w:tc>
        <w:tc>
          <w:tcPr>
            <w:tcW w:w="2805" w:type="dxa"/>
            <w:tcBorders/>
            <w:shd w:fill="auto" w:val="clear"/>
            <w:vAlign w:val="center"/>
          </w:tcPr>
          <w:p>
            <w:pPr>
              <w:pStyle w:val="TableContents"/>
              <w:spacing w:before="0" w:after="283"/>
              <w:jc w:val="center"/>
              <w:rPr/>
            </w:pPr>
            <w:r>
              <w:rPr/>
              <w:t>Energy Equipment and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17" w:type="dxa"/>
            <w:tcBorders/>
            <w:shd w:fill="auto" w:val="clear"/>
            <w:vAlign w:val="center"/>
          </w:tcPr>
          <w:p>
            <w:pPr>
              <w:pStyle w:val="TableContents"/>
              <w:spacing w:before="0" w:after="283"/>
              <w:jc w:val="center"/>
              <w:rPr/>
            </w:pPr>
            <w:r>
              <w:rPr/>
              <w:t>First Lien Secured Debt(4),</w:t>
              <w:br/>
              <w:t>3M L+525, 07/21/2027</w:t>
              <w:br/>
              <w:t>Common Equity</w:t>
            </w:r>
          </w:p>
        </w:tc>
        <w:tc>
          <w:tcPr>
            <w:tcW w:w="60"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0.2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10,946</w:t>
            </w:r>
          </w:p>
        </w:tc>
        <w:tc>
          <w:tcPr>
            <w:tcW w:w="173" w:type="dxa"/>
            <w:tcBorders/>
            <w:shd w:fill="auto"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Apex Service Partners, LLC</w:t>
            </w:r>
          </w:p>
          <w:p>
            <w:pPr>
              <w:pStyle w:val="TableContents"/>
              <w:spacing w:before="0" w:after="0"/>
              <w:rPr>
                <w:rFonts w:ascii="Times New Roman" w:hAnsi="Times New Roman"/>
                <w:sz w:val="16"/>
              </w:rPr>
            </w:pPr>
            <w:r>
              <w:rPr>
                <w:rFonts w:ascii="Times New Roman" w:hAnsi="Times New Roman"/>
                <w:sz w:val="16"/>
              </w:rPr>
              <w:t>401 E Jackson, Ste #3300</w:t>
            </w:r>
          </w:p>
          <w:p>
            <w:pPr>
              <w:pStyle w:val="TableContents"/>
              <w:spacing w:before="0" w:after="20"/>
              <w:rPr>
                <w:rFonts w:ascii="Times New Roman" w:hAnsi="Times New Roman"/>
                <w:sz w:val="16"/>
              </w:rPr>
            </w:pPr>
            <w:r>
              <w:rPr>
                <w:rFonts w:ascii="Times New Roman" w:hAnsi="Times New Roman"/>
                <w:sz w:val="16"/>
              </w:rPr>
              <w:t>Tampa, FL 33602</w:t>
            </w:r>
          </w:p>
        </w:tc>
        <w:tc>
          <w:tcPr>
            <w:tcW w:w="60" w:type="dxa"/>
            <w:tcBorders/>
            <w:shd w:fill="CCEEFF" w:val="clear"/>
            <w:vAlign w:val="center"/>
          </w:tcPr>
          <w:p>
            <w:pPr>
              <w:pStyle w:val="TableContents"/>
              <w:spacing w:before="0" w:after="283"/>
              <w:rPr/>
            </w:pPr>
            <w:r>
              <w:rPr/>
              <w:t> </w:t>
            </w:r>
          </w:p>
        </w:tc>
        <w:tc>
          <w:tcPr>
            <w:tcW w:w="2805" w:type="dxa"/>
            <w:tcBorders/>
            <w:shd w:fill="CCEEFF" w:val="clear"/>
            <w:vAlign w:val="center"/>
          </w:tcPr>
          <w:p>
            <w:pPr>
              <w:pStyle w:val="TableContents"/>
              <w:spacing w:before="0" w:after="283"/>
              <w:jc w:val="center"/>
              <w:rPr/>
            </w:pPr>
            <w:r>
              <w:rPr/>
              <w:t>Diversified Consumer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017"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r>
          </w:p>
          <w:p>
            <w:pPr>
              <w:pStyle w:val="TableContents"/>
              <w:spacing w:before="0" w:after="20"/>
              <w:jc w:val="center"/>
              <w:rPr>
                <w:rFonts w:ascii="Times New Roman" w:hAnsi="Times New Roman"/>
                <w:sz w:val="16"/>
              </w:rPr>
            </w:pPr>
            <w:r>
              <w:rPr>
                <w:rFonts w:ascii="Times New Roman" w:hAnsi="Times New Roman"/>
                <w:sz w:val="16"/>
              </w:rPr>
              <w:t>1M L+525, 07/31/2025</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19,304</w:t>
            </w:r>
          </w:p>
        </w:tc>
        <w:tc>
          <w:tcPr>
            <w:tcW w:w="173" w:type="dxa"/>
            <w:tcBorders/>
            <w:shd w:fill="CCEEFF"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API Holdings III Corp.</w:t>
            </w:r>
          </w:p>
          <w:p>
            <w:pPr>
              <w:pStyle w:val="TableContents"/>
              <w:spacing w:before="0" w:after="0"/>
              <w:rPr>
                <w:rFonts w:ascii="Times New Roman" w:hAnsi="Times New Roman"/>
                <w:sz w:val="16"/>
              </w:rPr>
            </w:pPr>
            <w:r>
              <w:rPr>
                <w:rFonts w:ascii="Times New Roman" w:hAnsi="Times New Roman"/>
                <w:sz w:val="16"/>
              </w:rPr>
              <w:t>400 Nickerson Road</w:t>
            </w:r>
          </w:p>
          <w:p>
            <w:pPr>
              <w:pStyle w:val="TableContents"/>
              <w:spacing w:before="0" w:after="20"/>
              <w:rPr>
                <w:rFonts w:ascii="Times New Roman" w:hAnsi="Times New Roman"/>
                <w:sz w:val="16"/>
              </w:rPr>
            </w:pPr>
            <w:r>
              <w:rPr>
                <w:rFonts w:ascii="Times New Roman" w:hAnsi="Times New Roman"/>
                <w:sz w:val="16"/>
              </w:rPr>
              <w:t>Marlborough, MA 01752</w:t>
            </w:r>
          </w:p>
        </w:tc>
        <w:tc>
          <w:tcPr>
            <w:tcW w:w="60" w:type="dxa"/>
            <w:tcBorders/>
            <w:shd w:fill="auto" w:val="clear"/>
            <w:vAlign w:val="center"/>
          </w:tcPr>
          <w:p>
            <w:pPr>
              <w:pStyle w:val="TableContents"/>
              <w:spacing w:before="0" w:after="283"/>
              <w:rPr/>
            </w:pPr>
            <w:r>
              <w:rPr/>
              <w:t> </w:t>
            </w:r>
          </w:p>
        </w:tc>
        <w:tc>
          <w:tcPr>
            <w:tcW w:w="2805" w:type="dxa"/>
            <w:tcBorders/>
            <w:shd w:fill="auto" w:val="clear"/>
            <w:vAlign w:val="center"/>
          </w:tcPr>
          <w:p>
            <w:pPr>
              <w:pStyle w:val="TableContents"/>
              <w:spacing w:before="0" w:after="283"/>
              <w:jc w:val="center"/>
              <w:rPr/>
            </w:pPr>
            <w:r>
              <w:rPr/>
              <w:t>Electronic Equipment, Instruments, and Components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17" w:type="dxa"/>
            <w:tcBorders/>
            <w:shd w:fill="auto" w:val="clear"/>
            <w:vAlign w:val="center"/>
          </w:tcPr>
          <w:p>
            <w:pPr>
              <w:pStyle w:val="TableContents"/>
              <w:spacing w:before="0" w:after="283"/>
              <w:jc w:val="center"/>
              <w:rPr/>
            </w:pPr>
            <w:r>
              <w:rPr/>
              <w:t>First Lien Secured Debt,</w:t>
              <w:br/>
              <w:t>1M L+425, 05/11/2026</w:t>
            </w:r>
          </w:p>
        </w:tc>
        <w:tc>
          <w:tcPr>
            <w:tcW w:w="60"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5,050</w:t>
            </w:r>
          </w:p>
        </w:tc>
        <w:tc>
          <w:tcPr>
            <w:tcW w:w="173" w:type="dxa"/>
            <w:tcBorders/>
            <w:shd w:fill="auto"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Applied Technical Services, LLC</w:t>
            </w:r>
          </w:p>
          <w:p>
            <w:pPr>
              <w:pStyle w:val="TableContents"/>
              <w:spacing w:before="0" w:after="0"/>
              <w:rPr>
                <w:rFonts w:ascii="Times New Roman" w:hAnsi="Times New Roman"/>
                <w:sz w:val="16"/>
              </w:rPr>
            </w:pPr>
            <w:r>
              <w:rPr>
                <w:rFonts w:ascii="Times New Roman" w:hAnsi="Times New Roman"/>
                <w:sz w:val="16"/>
              </w:rPr>
              <w:t>(Ironclad Holdco, LLC (5))</w:t>
            </w:r>
          </w:p>
          <w:p>
            <w:pPr>
              <w:pStyle w:val="TableContents"/>
              <w:spacing w:before="0" w:after="0"/>
              <w:rPr>
                <w:rFonts w:ascii="Times New Roman" w:hAnsi="Times New Roman"/>
                <w:sz w:val="16"/>
              </w:rPr>
            </w:pPr>
            <w:r>
              <w:rPr>
                <w:rFonts w:ascii="Times New Roman" w:hAnsi="Times New Roman"/>
                <w:sz w:val="16"/>
              </w:rPr>
              <w:t>1049 Triad Ct</w:t>
            </w:r>
          </w:p>
          <w:p>
            <w:pPr>
              <w:pStyle w:val="TableContents"/>
              <w:spacing w:before="0" w:after="20"/>
              <w:rPr>
                <w:rFonts w:ascii="Times New Roman" w:hAnsi="Times New Roman"/>
                <w:sz w:val="16"/>
              </w:rPr>
            </w:pPr>
            <w:r>
              <w:rPr>
                <w:rFonts w:ascii="Times New Roman" w:hAnsi="Times New Roman"/>
                <w:sz w:val="16"/>
              </w:rPr>
              <w:t>Marietta, GA 30062</w:t>
            </w:r>
          </w:p>
        </w:tc>
        <w:tc>
          <w:tcPr>
            <w:tcW w:w="60" w:type="dxa"/>
            <w:tcBorders/>
            <w:shd w:fill="CCEEFF" w:val="clear"/>
            <w:vAlign w:val="center"/>
          </w:tcPr>
          <w:p>
            <w:pPr>
              <w:pStyle w:val="TableContents"/>
              <w:spacing w:before="0" w:after="283"/>
              <w:rPr/>
            </w:pPr>
            <w:r>
              <w:rPr/>
              <w:t> </w:t>
            </w:r>
          </w:p>
        </w:tc>
        <w:tc>
          <w:tcPr>
            <w:tcW w:w="2805" w:type="dxa"/>
            <w:tcBorders/>
            <w:shd w:fill="CCEEFF" w:val="clear"/>
            <w:vAlign w:val="center"/>
          </w:tcPr>
          <w:p>
            <w:pPr>
              <w:pStyle w:val="TableContents"/>
              <w:spacing w:before="0" w:after="283"/>
              <w:jc w:val="center"/>
              <w:rPr/>
            </w:pPr>
            <w:r>
              <w:rPr/>
              <w:t>Commercial Services &amp; Supplies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017" w:type="dxa"/>
            <w:tcBorders/>
            <w:shd w:fill="CCEEFF" w:val="clear"/>
            <w:vAlign w:val="center"/>
          </w:tcPr>
          <w:p>
            <w:pPr>
              <w:pStyle w:val="TableContents"/>
              <w:spacing w:before="0" w:after="283"/>
              <w:jc w:val="center"/>
              <w:rPr/>
            </w:pPr>
            <w:r>
              <w:rPr/>
              <w:t>First Lien Secured Debt(4),</w:t>
              <w:br/>
              <w:t>3M L+575, 12/29/2026</w:t>
              <w:br/>
              <w:t>Common Equity</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0.5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7,913</w:t>
            </w:r>
          </w:p>
        </w:tc>
        <w:tc>
          <w:tcPr>
            <w:tcW w:w="173" w:type="dxa"/>
            <w:tcBorders/>
            <w:shd w:fill="CCEEFF"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Arcfield Acquisition Corp.</w:t>
            </w:r>
          </w:p>
          <w:p>
            <w:pPr>
              <w:pStyle w:val="TableContents"/>
              <w:spacing w:before="0" w:after="0"/>
              <w:rPr>
                <w:rFonts w:ascii="Times New Roman" w:hAnsi="Times New Roman"/>
                <w:sz w:val="16"/>
              </w:rPr>
            </w:pPr>
            <w:r>
              <w:rPr>
                <w:rFonts w:ascii="Times New Roman" w:hAnsi="Times New Roman"/>
                <w:sz w:val="16"/>
              </w:rPr>
              <w:t>14295 Park Meadow Drive</w:t>
            </w:r>
          </w:p>
          <w:p>
            <w:pPr>
              <w:pStyle w:val="TableContents"/>
              <w:spacing w:before="0" w:after="20"/>
              <w:rPr>
                <w:rFonts w:ascii="Times New Roman" w:hAnsi="Times New Roman"/>
                <w:sz w:val="16"/>
              </w:rPr>
            </w:pPr>
            <w:r>
              <w:rPr>
                <w:rFonts w:ascii="Times New Roman" w:hAnsi="Times New Roman"/>
                <w:sz w:val="16"/>
              </w:rPr>
              <w:t>Chantilly, VA 20151</w:t>
            </w:r>
          </w:p>
        </w:tc>
        <w:tc>
          <w:tcPr>
            <w:tcW w:w="60" w:type="dxa"/>
            <w:tcBorders/>
            <w:shd w:fill="auto" w:val="clear"/>
            <w:vAlign w:val="center"/>
          </w:tcPr>
          <w:p>
            <w:pPr>
              <w:pStyle w:val="TableContents"/>
              <w:spacing w:before="0" w:after="283"/>
              <w:rPr/>
            </w:pPr>
            <w:r>
              <w:rPr/>
              <w:t> </w:t>
            </w:r>
          </w:p>
        </w:tc>
        <w:tc>
          <w:tcPr>
            <w:tcW w:w="2805" w:type="dxa"/>
            <w:tcBorders/>
            <w:shd w:fill="auto" w:val="clear"/>
            <w:vAlign w:val="center"/>
          </w:tcPr>
          <w:p>
            <w:pPr>
              <w:pStyle w:val="TableContents"/>
              <w:spacing w:before="0" w:after="283"/>
              <w:jc w:val="center"/>
              <w:rPr/>
            </w:pPr>
            <w:r>
              <w:rPr/>
              <w:t>Aerospace and Defense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17" w:type="dxa"/>
            <w:tcBorders/>
            <w:shd w:fill="auto" w:val="clear"/>
            <w:vAlign w:val="center"/>
          </w:tcPr>
          <w:p>
            <w:pPr>
              <w:pStyle w:val="TableContents"/>
              <w:spacing w:before="0" w:after="283"/>
              <w:jc w:val="center"/>
              <w:rPr/>
            </w:pPr>
            <w:r>
              <w:rPr/>
              <w:t>First Lien Secured Debt(4),</w:t>
              <w:br/>
              <w:t>—, 03/07/2028</w:t>
            </w:r>
          </w:p>
        </w:tc>
        <w:tc>
          <w:tcPr>
            <w:tcW w:w="60"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(18</w:t>
            </w:r>
          </w:p>
        </w:tc>
        <w:tc>
          <w:tcPr>
            <w:tcW w:w="173" w:type="dxa"/>
            <w:tcBorders/>
            <w:shd w:fill="auto"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Athletico Holdings, LLC</w:t>
            </w:r>
          </w:p>
          <w:p>
            <w:pPr>
              <w:pStyle w:val="TableContents"/>
              <w:spacing w:before="0" w:after="0"/>
              <w:rPr>
                <w:rFonts w:ascii="Times New Roman" w:hAnsi="Times New Roman"/>
                <w:sz w:val="16"/>
              </w:rPr>
            </w:pPr>
            <w:r>
              <w:rPr>
                <w:rFonts w:ascii="Times New Roman" w:hAnsi="Times New Roman"/>
                <w:sz w:val="16"/>
              </w:rPr>
              <w:t>2122 York Road, Ste. 300</w:t>
            </w:r>
          </w:p>
          <w:p>
            <w:pPr>
              <w:pStyle w:val="TableContents"/>
              <w:spacing w:before="0" w:after="20"/>
              <w:rPr>
                <w:rFonts w:ascii="Times New Roman" w:hAnsi="Times New Roman"/>
                <w:sz w:val="16"/>
              </w:rPr>
            </w:pPr>
            <w:r>
              <w:rPr>
                <w:rFonts w:ascii="Times New Roman" w:hAnsi="Times New Roman"/>
                <w:sz w:val="16"/>
              </w:rPr>
              <w:t>Oak Brook, IL 60523</w:t>
            </w:r>
          </w:p>
        </w:tc>
        <w:tc>
          <w:tcPr>
            <w:tcW w:w="60" w:type="dxa"/>
            <w:tcBorders/>
            <w:shd w:fill="CCEEFF" w:val="clear"/>
            <w:vAlign w:val="center"/>
          </w:tcPr>
          <w:p>
            <w:pPr>
              <w:pStyle w:val="TableContents"/>
              <w:spacing w:before="0" w:after="283"/>
              <w:rPr/>
            </w:pPr>
            <w:r>
              <w:rPr/>
              <w:t> </w:t>
            </w:r>
          </w:p>
        </w:tc>
        <w:tc>
          <w:tcPr>
            <w:tcW w:w="2805" w:type="dxa"/>
            <w:tcBorders/>
            <w:shd w:fill="CCEEFF" w:val="clear"/>
            <w:vAlign w:val="center"/>
          </w:tcPr>
          <w:p>
            <w:pPr>
              <w:pStyle w:val="TableContents"/>
              <w:spacing w:before="0" w:after="283"/>
              <w:jc w:val="center"/>
              <w:rPr/>
            </w:pPr>
            <w:r>
              <w:rPr/>
              <w:t>Healthcare Providers and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017" w:type="dxa"/>
            <w:tcBorders/>
            <w:shd w:fill="CCEEFF" w:val="clear"/>
            <w:vAlign w:val="center"/>
          </w:tcPr>
          <w:p>
            <w:pPr>
              <w:pStyle w:val="TableContents"/>
              <w:spacing w:before="0" w:after="283"/>
              <w:jc w:val="center"/>
              <w:rPr/>
            </w:pPr>
            <w:r>
              <w:rPr/>
              <w:t>Common Equity</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1.6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4,758</w:t>
            </w:r>
          </w:p>
        </w:tc>
        <w:tc>
          <w:tcPr>
            <w:tcW w:w="173" w:type="dxa"/>
            <w:tcBorders/>
            <w:shd w:fill="CCEEFF"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Beta Plus Technologies, Inc.</w:t>
            </w:r>
          </w:p>
          <w:p>
            <w:pPr>
              <w:pStyle w:val="TableContents"/>
              <w:spacing w:before="0" w:after="0"/>
              <w:rPr>
                <w:rFonts w:ascii="Times New Roman" w:hAnsi="Times New Roman"/>
                <w:sz w:val="16"/>
              </w:rPr>
            </w:pPr>
            <w:r>
              <w:rPr>
                <w:rFonts w:ascii="Times New Roman" w:hAnsi="Times New Roman"/>
                <w:sz w:val="16"/>
              </w:rPr>
              <w:t>7 World Trade Center, 47th Floor</w:t>
            </w:r>
          </w:p>
          <w:p>
            <w:pPr>
              <w:pStyle w:val="TableContents"/>
              <w:spacing w:before="0" w:after="20"/>
              <w:rPr>
                <w:rFonts w:ascii="Times New Roman" w:hAnsi="Times New Roman"/>
                <w:sz w:val="16"/>
              </w:rPr>
            </w:pPr>
            <w:r>
              <w:rPr>
                <w:rFonts w:ascii="Times New Roman" w:hAnsi="Times New Roman"/>
                <w:sz w:val="16"/>
              </w:rPr>
              <w:t>New York, NY 10007</w:t>
            </w:r>
          </w:p>
        </w:tc>
        <w:tc>
          <w:tcPr>
            <w:tcW w:w="60" w:type="dxa"/>
            <w:tcBorders/>
            <w:shd w:fill="auto" w:val="clear"/>
            <w:vAlign w:val="center"/>
          </w:tcPr>
          <w:p>
            <w:pPr>
              <w:pStyle w:val="TableContents"/>
              <w:spacing w:before="0" w:after="283"/>
              <w:rPr/>
            </w:pPr>
            <w:r>
              <w:rPr/>
              <w:t> </w:t>
            </w:r>
          </w:p>
        </w:tc>
        <w:tc>
          <w:tcPr>
            <w:tcW w:w="2805" w:type="dxa"/>
            <w:tcBorders/>
            <w:shd w:fill="auto" w:val="clear"/>
            <w:vAlign w:val="center"/>
          </w:tcPr>
          <w:p>
            <w:pPr>
              <w:pStyle w:val="TableContents"/>
              <w:spacing w:before="0" w:after="283"/>
              <w:jc w:val="center"/>
              <w:rPr/>
            </w:pPr>
            <w:r>
              <w:rPr/>
              <w:t>Internet Software and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17" w:type="dxa"/>
            <w:tcBorders/>
            <w:shd w:fill="auto" w:val="clear"/>
            <w:vAlign w:val="center"/>
          </w:tcPr>
          <w:p>
            <w:pPr>
              <w:pStyle w:val="TableContents"/>
              <w:spacing w:before="0" w:after="283"/>
              <w:jc w:val="center"/>
              <w:rPr/>
            </w:pPr>
            <w:r>
              <w:rPr/>
              <w:t>First Lien Secured Debt,</w:t>
              <w:br/>
              <w:t>1M L+525, 07/01/2029</w:t>
            </w:r>
          </w:p>
        </w:tc>
        <w:tc>
          <w:tcPr>
            <w:tcW w:w="60"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4,900</w:t>
            </w:r>
          </w:p>
        </w:tc>
        <w:tc>
          <w:tcPr>
            <w:tcW w:w="173" w:type="dxa"/>
            <w:tcBorders/>
            <w:shd w:fill="auto"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Blackhawk Industrial Distribution, Inc.</w:t>
            </w:r>
          </w:p>
          <w:p>
            <w:pPr>
              <w:pStyle w:val="TableContents"/>
              <w:spacing w:before="0" w:after="0"/>
              <w:rPr>
                <w:rFonts w:ascii="Times New Roman" w:hAnsi="Times New Roman"/>
                <w:sz w:val="16"/>
              </w:rPr>
            </w:pPr>
            <w:r>
              <w:rPr>
                <w:rFonts w:ascii="Times New Roman" w:hAnsi="Times New Roman"/>
                <w:sz w:val="16"/>
              </w:rPr>
              <w:t>1501 SW Expressway Drive</w:t>
            </w:r>
          </w:p>
          <w:p>
            <w:pPr>
              <w:pStyle w:val="TableContents"/>
              <w:spacing w:before="0" w:after="20"/>
              <w:rPr>
                <w:rFonts w:ascii="Times New Roman" w:hAnsi="Times New Roman"/>
                <w:sz w:val="16"/>
              </w:rPr>
            </w:pPr>
            <w:r>
              <w:rPr>
                <w:rFonts w:ascii="Times New Roman" w:hAnsi="Times New Roman"/>
                <w:sz w:val="16"/>
              </w:rPr>
              <w:t>Broken Arrow, OK 74012</w:t>
            </w:r>
          </w:p>
        </w:tc>
        <w:tc>
          <w:tcPr>
            <w:tcW w:w="60" w:type="dxa"/>
            <w:tcBorders/>
            <w:shd w:fill="CCEEFF" w:val="clear"/>
            <w:vAlign w:val="center"/>
          </w:tcPr>
          <w:p>
            <w:pPr>
              <w:pStyle w:val="TableContents"/>
              <w:spacing w:before="0" w:after="283"/>
              <w:rPr/>
            </w:pPr>
            <w:r>
              <w:rPr/>
              <w:t> </w:t>
            </w:r>
          </w:p>
        </w:tc>
        <w:tc>
          <w:tcPr>
            <w:tcW w:w="2805" w:type="dxa"/>
            <w:tcBorders/>
            <w:shd w:fill="CCEEFF" w:val="clear"/>
            <w:vAlign w:val="center"/>
          </w:tcPr>
          <w:p>
            <w:pPr>
              <w:pStyle w:val="TableContents"/>
              <w:spacing w:before="0" w:after="283"/>
              <w:jc w:val="center"/>
              <w:rPr/>
            </w:pPr>
            <w:r>
              <w:rPr/>
              <w:t>Distributors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017" w:type="dxa"/>
            <w:tcBorders/>
            <w:shd w:fill="CCEEFF" w:val="clear"/>
            <w:vAlign w:val="center"/>
          </w:tcPr>
          <w:p>
            <w:pPr>
              <w:pStyle w:val="TableContents"/>
              <w:spacing w:before="0" w:after="283"/>
              <w:jc w:val="center"/>
              <w:rPr/>
            </w:pPr>
            <w:r>
              <w:rPr/>
              <w:t>First Lien Secured Debt(4),</w:t>
              <w:br/>
              <w:t>3ML+500, 09/17/2024</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456</w:t>
            </w:r>
          </w:p>
        </w:tc>
        <w:tc>
          <w:tcPr>
            <w:tcW w:w="173" w:type="dxa"/>
            <w:tcBorders/>
            <w:shd w:fill="CCEEFF"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Broder Bros., Co.</w:t>
            </w:r>
          </w:p>
          <w:p>
            <w:pPr>
              <w:pStyle w:val="TableContents"/>
              <w:spacing w:before="0" w:after="0"/>
              <w:rPr>
                <w:rFonts w:ascii="Times New Roman" w:hAnsi="Times New Roman"/>
                <w:sz w:val="16"/>
              </w:rPr>
            </w:pPr>
            <w:r>
              <w:rPr>
                <w:rFonts w:ascii="Times New Roman" w:hAnsi="Times New Roman"/>
                <w:sz w:val="16"/>
              </w:rPr>
              <w:t>Six Neshaminy Interplex, 6 Floor</w:t>
            </w:r>
          </w:p>
          <w:p>
            <w:pPr>
              <w:pStyle w:val="TableContents"/>
              <w:spacing w:before="0" w:after="20"/>
              <w:rPr>
                <w:rFonts w:ascii="Times New Roman" w:hAnsi="Times New Roman"/>
                <w:sz w:val="16"/>
              </w:rPr>
            </w:pPr>
            <w:r>
              <w:rPr>
                <w:rFonts w:ascii="Times New Roman" w:hAnsi="Times New Roman"/>
                <w:sz w:val="16"/>
              </w:rPr>
              <w:t>Trevose, PA 19053</w:t>
            </w:r>
          </w:p>
        </w:tc>
        <w:tc>
          <w:tcPr>
            <w:tcW w:w="60" w:type="dxa"/>
            <w:tcBorders/>
            <w:shd w:fill="auto" w:val="clear"/>
            <w:vAlign w:val="center"/>
          </w:tcPr>
          <w:p>
            <w:pPr>
              <w:pStyle w:val="TableContents"/>
              <w:spacing w:before="0" w:after="283"/>
              <w:rPr/>
            </w:pPr>
            <w:r>
              <w:rPr/>
              <w:t> </w:t>
            </w:r>
          </w:p>
        </w:tc>
        <w:tc>
          <w:tcPr>
            <w:tcW w:w="2805" w:type="dxa"/>
            <w:tcBorders/>
            <w:shd w:fill="auto" w:val="clear"/>
            <w:vAlign w:val="center"/>
          </w:tcPr>
          <w:p>
            <w:pPr>
              <w:pStyle w:val="TableContents"/>
              <w:spacing w:before="0" w:after="283"/>
              <w:jc w:val="center"/>
              <w:rPr/>
            </w:pPr>
            <w:r>
              <w:rPr/>
              <w:t>Textiles, Apparel and Luxury Goods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17" w:type="dxa"/>
            <w:tcBorders/>
            <w:shd w:fill="auto" w:val="clear"/>
            <w:vAlign w:val="center"/>
          </w:tcPr>
          <w:p>
            <w:pPr>
              <w:pStyle w:val="TableContents"/>
              <w:spacing w:before="0" w:after="283"/>
              <w:jc w:val="center"/>
              <w:rPr/>
            </w:pPr>
            <w:r>
              <w:rPr/>
              <w:t>First Lien Secured Debt,</w:t>
              <w:br/>
              <w:t>3M L+600, 12/02/2022</w:t>
            </w:r>
          </w:p>
        </w:tc>
        <w:tc>
          <w:tcPr>
            <w:tcW w:w="60"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3,405</w:t>
            </w:r>
          </w:p>
        </w:tc>
        <w:tc>
          <w:tcPr>
            <w:tcW w:w="173" w:type="dxa"/>
            <w:tcBorders/>
            <w:shd w:fill="auto"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Burgess Point Holdings, LP</w:t>
            </w:r>
          </w:p>
          <w:p>
            <w:pPr>
              <w:pStyle w:val="TableContents"/>
              <w:spacing w:before="0" w:after="0"/>
              <w:rPr>
                <w:rFonts w:ascii="Times New Roman" w:hAnsi="Times New Roman"/>
                <w:sz w:val="16"/>
              </w:rPr>
            </w:pPr>
            <w:r>
              <w:rPr>
                <w:rFonts w:ascii="Times New Roman" w:hAnsi="Times New Roman"/>
                <w:sz w:val="16"/>
              </w:rPr>
              <w:t>29627 Renaissance Blvd</w:t>
            </w:r>
          </w:p>
          <w:p>
            <w:pPr>
              <w:pStyle w:val="TableContents"/>
              <w:spacing w:before="0" w:after="20"/>
              <w:rPr>
                <w:rFonts w:ascii="Times New Roman" w:hAnsi="Times New Roman"/>
                <w:sz w:val="16"/>
              </w:rPr>
            </w:pPr>
            <w:r>
              <w:rPr>
                <w:rFonts w:ascii="Times New Roman" w:hAnsi="Times New Roman"/>
                <w:sz w:val="16"/>
              </w:rPr>
              <w:t>Daphne, Alabama 26526</w:t>
            </w:r>
          </w:p>
        </w:tc>
        <w:tc>
          <w:tcPr>
            <w:tcW w:w="60" w:type="dxa"/>
            <w:tcBorders/>
            <w:shd w:fill="CCEEFF" w:val="clear"/>
            <w:vAlign w:val="center"/>
          </w:tcPr>
          <w:p>
            <w:pPr>
              <w:pStyle w:val="TableContents"/>
              <w:spacing w:before="0" w:after="283"/>
              <w:rPr/>
            </w:pPr>
            <w:r>
              <w:rPr/>
              <w:t> </w:t>
            </w:r>
          </w:p>
        </w:tc>
        <w:tc>
          <w:tcPr>
            <w:tcW w:w="2805" w:type="dxa"/>
            <w:tcBorders/>
            <w:shd w:fill="CCEEFF" w:val="clear"/>
            <w:vAlign w:val="center"/>
          </w:tcPr>
          <w:p>
            <w:pPr>
              <w:pStyle w:val="TableContents"/>
              <w:spacing w:before="0" w:after="283"/>
              <w:jc w:val="center"/>
              <w:rPr/>
            </w:pPr>
            <w:r>
              <w:rPr/>
              <w:t>Auto Components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017" w:type="dxa"/>
            <w:tcBorders/>
            <w:shd w:fill="CCEEFF" w:val="clear"/>
            <w:vAlign w:val="center"/>
          </w:tcPr>
          <w:p>
            <w:pPr>
              <w:pStyle w:val="TableContents"/>
              <w:spacing w:before="0" w:after="283"/>
              <w:jc w:val="center"/>
              <w:rPr/>
            </w:pPr>
            <w:r>
              <w:rPr/>
              <w:t>Common Equity</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0.2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101</w:t>
            </w:r>
          </w:p>
        </w:tc>
        <w:tc>
          <w:tcPr>
            <w:tcW w:w="173" w:type="dxa"/>
            <w:tcBorders/>
            <w:shd w:fill="CCEEFF"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By Light Professional IT Services, LLC</w:t>
            </w:r>
          </w:p>
          <w:p>
            <w:pPr>
              <w:pStyle w:val="TableContents"/>
              <w:spacing w:before="0" w:after="0"/>
              <w:rPr>
                <w:rFonts w:ascii="Times New Roman" w:hAnsi="Times New Roman"/>
                <w:sz w:val="16"/>
              </w:rPr>
            </w:pPr>
            <w:r>
              <w:rPr>
                <w:rFonts w:ascii="Times New Roman" w:hAnsi="Times New Roman"/>
                <w:sz w:val="16"/>
              </w:rPr>
              <w:t>(By Light Investco, LP(5))</w:t>
            </w:r>
          </w:p>
          <w:p>
            <w:pPr>
              <w:pStyle w:val="TableContents"/>
              <w:spacing w:before="0" w:after="0"/>
              <w:rPr>
                <w:rFonts w:ascii="Times New Roman" w:hAnsi="Times New Roman"/>
                <w:sz w:val="16"/>
              </w:rPr>
            </w:pPr>
            <w:r>
              <w:rPr>
                <w:rFonts w:ascii="Times New Roman" w:hAnsi="Times New Roman"/>
                <w:sz w:val="16"/>
              </w:rPr>
              <w:t>8484 Westpark Drive Suite 600</w:t>
            </w:r>
          </w:p>
          <w:p>
            <w:pPr>
              <w:pStyle w:val="TableContents"/>
              <w:spacing w:before="0" w:after="20"/>
              <w:rPr>
                <w:rFonts w:ascii="Times New Roman" w:hAnsi="Times New Roman"/>
                <w:sz w:val="16"/>
              </w:rPr>
            </w:pPr>
            <w:r>
              <w:rPr>
                <w:rFonts w:ascii="Times New Roman" w:hAnsi="Times New Roman"/>
                <w:sz w:val="16"/>
              </w:rPr>
              <w:t>McLean, VA 22102</w:t>
            </w:r>
          </w:p>
        </w:tc>
        <w:tc>
          <w:tcPr>
            <w:tcW w:w="60" w:type="dxa"/>
            <w:tcBorders/>
            <w:shd w:fill="auto" w:val="clear"/>
            <w:vAlign w:val="center"/>
          </w:tcPr>
          <w:p>
            <w:pPr>
              <w:pStyle w:val="TableContents"/>
              <w:spacing w:before="0" w:after="283"/>
              <w:rPr/>
            </w:pPr>
            <w:r>
              <w:rPr/>
              <w:t> </w:t>
            </w:r>
          </w:p>
        </w:tc>
        <w:tc>
          <w:tcPr>
            <w:tcW w:w="2805" w:type="dxa"/>
            <w:tcBorders/>
            <w:shd w:fill="auto" w:val="clear"/>
            <w:vAlign w:val="center"/>
          </w:tcPr>
          <w:p>
            <w:pPr>
              <w:pStyle w:val="TableContents"/>
              <w:spacing w:before="0" w:after="283"/>
              <w:jc w:val="center"/>
              <w:rPr/>
            </w:pPr>
            <w:r>
              <w:rPr/>
              <w:t>High Tech Industries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17" w:type="dxa"/>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L+625, 05/16/2024</w:t>
            </w:r>
          </w:p>
          <w:p>
            <w:pPr>
              <w:pStyle w:val="TableContents"/>
              <w:spacing w:before="0" w:after="20"/>
              <w:jc w:val="center"/>
              <w:rPr>
                <w:rFonts w:ascii="Times New Roman" w:hAnsi="Times New Roman"/>
                <w:sz w:val="16"/>
              </w:rPr>
            </w:pPr>
            <w:r>
              <w:rPr>
                <w:rFonts w:ascii="Times New Roman" w:hAnsi="Times New Roman"/>
                <w:sz w:val="16"/>
              </w:rPr>
              <w:t>Common Equity(4)</w:t>
            </w:r>
          </w:p>
        </w:tc>
        <w:tc>
          <w:tcPr>
            <w:tcW w:w="60"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2.5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46,179</w:t>
            </w:r>
          </w:p>
        </w:tc>
        <w:tc>
          <w:tcPr>
            <w:tcW w:w="173" w:type="dxa"/>
            <w:tcBorders/>
            <w:shd w:fill="auto"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Cadence Aerospace, LLC</w:t>
            </w:r>
          </w:p>
          <w:p>
            <w:pPr>
              <w:pStyle w:val="TableContents"/>
              <w:spacing w:before="0" w:after="0"/>
              <w:rPr>
                <w:rFonts w:ascii="Times New Roman" w:hAnsi="Times New Roman"/>
                <w:sz w:val="16"/>
              </w:rPr>
            </w:pPr>
            <w:r>
              <w:rPr>
                <w:rFonts w:ascii="Times New Roman" w:hAnsi="Times New Roman"/>
                <w:sz w:val="16"/>
              </w:rPr>
              <w:t>3150 East Miraloma Avenue</w:t>
            </w:r>
          </w:p>
          <w:p>
            <w:pPr>
              <w:pStyle w:val="TableContents"/>
              <w:spacing w:before="0" w:after="20"/>
              <w:rPr>
                <w:rFonts w:ascii="Times New Roman" w:hAnsi="Times New Roman"/>
                <w:sz w:val="16"/>
              </w:rPr>
            </w:pPr>
            <w:r>
              <w:rPr>
                <w:rFonts w:ascii="Times New Roman" w:hAnsi="Times New Roman"/>
                <w:sz w:val="16"/>
              </w:rPr>
              <w:t>Anaheim, CA 92806</w:t>
            </w:r>
          </w:p>
        </w:tc>
        <w:tc>
          <w:tcPr>
            <w:tcW w:w="60" w:type="dxa"/>
            <w:tcBorders/>
            <w:shd w:fill="CCEEFF" w:val="clear"/>
            <w:vAlign w:val="center"/>
          </w:tcPr>
          <w:p>
            <w:pPr>
              <w:pStyle w:val="TableContents"/>
              <w:spacing w:before="0" w:after="283"/>
              <w:rPr/>
            </w:pPr>
            <w:r>
              <w:rPr/>
              <w:t> </w:t>
            </w:r>
          </w:p>
        </w:tc>
        <w:tc>
          <w:tcPr>
            <w:tcW w:w="2805" w:type="dxa"/>
            <w:tcBorders/>
            <w:shd w:fill="CCEEFF" w:val="clear"/>
            <w:vAlign w:val="center"/>
          </w:tcPr>
          <w:p>
            <w:pPr>
              <w:pStyle w:val="TableContents"/>
              <w:spacing w:before="0" w:after="283"/>
              <w:jc w:val="center"/>
              <w:rPr/>
            </w:pPr>
            <w:r>
              <w:rPr/>
              <w:t>Aerospace and Defense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017" w:type="dxa"/>
            <w:tcBorders/>
            <w:shd w:fill="CCEEFF" w:val="clear"/>
            <w:vAlign w:val="center"/>
          </w:tcPr>
          <w:p>
            <w:pPr>
              <w:pStyle w:val="TableContents"/>
              <w:spacing w:before="0" w:after="283"/>
              <w:jc w:val="center"/>
              <w:rPr/>
            </w:pPr>
            <w:r>
              <w:rPr/>
              <w:t>First Lien Secured Debt,</w:t>
              <w:br/>
              <w:t>3M L+850 (PIK 9.50%), 11/14/2023</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1101"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3,003</w:t>
            </w:r>
          </w:p>
        </w:tc>
        <w:tc>
          <w:tcPr>
            <w:tcW w:w="173" w:type="dxa"/>
            <w:tcBorders/>
            <w:shd w:fill="CCEEFF" w:val="clear"/>
            <w:vAlign w:val="center"/>
          </w:tcPr>
          <w:p>
            <w:pPr>
              <w:pStyle w:val="TableContents"/>
              <w:spacing w:before="0" w:after="283"/>
              <w:rPr/>
            </w:pPr>
            <w:r>
              <w:rPr/>
              <w:t> </w:t>
            </w:r>
          </w:p>
        </w:tc>
      </w:tr>
      <w:tr>
        <w:trPr/>
        <w:tc>
          <w:tcPr>
            <w:tcW w:w="1896" w:type="dxa"/>
            <w:tcBorders/>
            <w:shd w:fill="auto" w:val="clear"/>
            <w:vAlign w:val="center"/>
          </w:tcPr>
          <w:p>
            <w:pPr>
              <w:pStyle w:val="TableContents"/>
              <w:spacing w:before="0" w:after="283"/>
              <w:rPr>
                <w:sz w:val="4"/>
                <w:szCs w:val="4"/>
              </w:rPr>
            </w:pPr>
            <w:r>
              <w:rPr>
                <w:sz w:val="4"/>
                <w:szCs w:val="4"/>
              </w:rPr>
            </w:r>
          </w:p>
        </w:tc>
        <w:tc>
          <w:tcPr>
            <w:tcW w:w="286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77" w:type="dxa"/>
            <w:gridSpan w:val="2"/>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c>
          <w:tcPr>
            <w:tcW w:w="1638" w:type="dxa"/>
            <w:gridSpan w:val="4"/>
            <w:tcBorders/>
            <w:shd w:fill="auto" w:val="clear"/>
            <w:vAlign w:val="center"/>
          </w:tcPr>
          <w:p>
            <w:pPr>
              <w:pStyle w:val="TableContents"/>
              <w:spacing w:before="0" w:after="283"/>
              <w:rPr>
                <w:sz w:val="4"/>
                <w:szCs w:val="4"/>
              </w:rPr>
            </w:pPr>
            <w:r>
              <w:rPr>
                <w:sz w:val="4"/>
                <w:szCs w:val="4"/>
              </w:rPr>
            </w:r>
          </w:p>
        </w:tc>
      </w:tr>
      <w:tr>
        <w:trPr/>
        <w:tc>
          <w:tcPr>
            <w:tcW w:w="1896"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Cartessa Aesthetics, LLC</w:t>
            </w:r>
          </w:p>
          <w:p>
            <w:pPr>
              <w:pStyle w:val="TableContents"/>
              <w:spacing w:before="0" w:after="0"/>
              <w:rPr>
                <w:rFonts w:ascii="Times New Roman" w:hAnsi="Times New Roman"/>
                <w:sz w:val="16"/>
              </w:rPr>
            </w:pPr>
            <w:r>
              <w:rPr>
                <w:rFonts w:ascii="Times New Roman" w:hAnsi="Times New Roman"/>
                <w:sz w:val="16"/>
              </w:rPr>
              <w:t>175 Broadhollow Road</w:t>
            </w:r>
          </w:p>
          <w:p>
            <w:pPr>
              <w:pStyle w:val="TableContents"/>
              <w:spacing w:before="0" w:after="20"/>
              <w:rPr>
                <w:rFonts w:ascii="Times New Roman" w:hAnsi="Times New Roman"/>
                <w:sz w:val="16"/>
              </w:rPr>
            </w:pPr>
            <w:r>
              <w:rPr>
                <w:rFonts w:ascii="Times New Roman" w:hAnsi="Times New Roman"/>
                <w:sz w:val="16"/>
              </w:rPr>
              <w:t>Melville, NY 11747</w:t>
            </w:r>
          </w:p>
        </w:tc>
        <w:tc>
          <w:tcPr>
            <w:tcW w:w="60" w:type="dxa"/>
            <w:tcBorders/>
            <w:shd w:fill="auto" w:val="clear"/>
            <w:vAlign w:val="center"/>
          </w:tcPr>
          <w:p>
            <w:pPr>
              <w:pStyle w:val="TableContents"/>
              <w:spacing w:before="0" w:after="283"/>
              <w:rPr/>
            </w:pPr>
            <w:r>
              <w:rPr/>
              <w:t> </w:t>
            </w:r>
          </w:p>
        </w:tc>
        <w:tc>
          <w:tcPr>
            <w:tcW w:w="2805" w:type="dxa"/>
            <w:tcBorders/>
            <w:shd w:fill="auto" w:val="clear"/>
            <w:vAlign w:val="center"/>
          </w:tcPr>
          <w:p>
            <w:pPr>
              <w:pStyle w:val="TableContents"/>
              <w:spacing w:before="0" w:after="283"/>
              <w:jc w:val="center"/>
              <w:rPr/>
            </w:pPr>
            <w:r>
              <w:rPr/>
              <w:t>Distributors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17" w:type="dxa"/>
            <w:tcBorders/>
            <w:shd w:fill="auto" w:val="clear"/>
            <w:vAlign w:val="center"/>
          </w:tcPr>
          <w:p>
            <w:pPr>
              <w:pStyle w:val="TableContents"/>
              <w:spacing w:before="0" w:after="283"/>
              <w:jc w:val="center"/>
              <w:rPr/>
            </w:pPr>
            <w:r>
              <w:rPr/>
              <w:t>First Lien Secured Debt(4),</w:t>
              <w:br/>
              <w:t>1M L+600, 05/13/2028</w:t>
              <w:br/>
              <w:t>Common Equity</w:t>
            </w:r>
          </w:p>
        </w:tc>
        <w:tc>
          <w:tcPr>
            <w:tcW w:w="60"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101" w:type="dxa"/>
            <w:tcBorders/>
            <w:shd w:fill="auto" w:val="clear"/>
            <w:vAlign w:val="center"/>
          </w:tcPr>
          <w:p>
            <w:pPr>
              <w:pStyle w:val="TableContents"/>
              <w:spacing w:before="0" w:after="283"/>
              <w:jc w:val="right"/>
              <w:rPr/>
            </w:pPr>
            <w:r>
              <w:rPr/>
              <w:t>0.8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18,200</w:t>
            </w:r>
          </w:p>
        </w:tc>
        <w:tc>
          <w:tcPr>
            <w:tcW w:w="173"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1912"/>
        <w:gridCol w:w="60"/>
        <w:gridCol w:w="3035"/>
        <w:gridCol w:w="60"/>
        <w:gridCol w:w="60"/>
        <w:gridCol w:w="60"/>
        <w:gridCol w:w="1846"/>
        <w:gridCol w:w="60"/>
        <w:gridCol w:w="175"/>
        <w:gridCol w:w="1114"/>
        <w:gridCol w:w="275"/>
        <w:gridCol w:w="60"/>
        <w:gridCol w:w="240"/>
        <w:gridCol w:w="1171"/>
        <w:gridCol w:w="77"/>
      </w:tblGrid>
      <w:tr>
        <w:trPr/>
        <w:tc>
          <w:tcPr>
            <w:tcW w:w="19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912"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w:t>
              <w:br/>
              <w:t>Address of Portfolio Company</w:t>
            </w:r>
          </w:p>
        </w:tc>
        <w:tc>
          <w:tcPr>
            <w:tcW w:w="60" w:type="dxa"/>
            <w:tcBorders/>
            <w:shd w:fill="auto" w:val="clear"/>
            <w:vAlign w:val="center"/>
          </w:tcPr>
          <w:p>
            <w:pPr>
              <w:pStyle w:val="TableContents"/>
              <w:spacing w:before="0" w:after="283"/>
              <w:rPr/>
            </w:pPr>
            <w:r>
              <w:rPr/>
              <w:t> </w:t>
            </w:r>
          </w:p>
        </w:tc>
        <w:tc>
          <w:tcPr>
            <w:tcW w:w="303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Nature of Business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46"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Type of Investment,</w:t>
            </w:r>
          </w:p>
          <w:p>
            <w:pPr>
              <w:pStyle w:val="TableContents"/>
              <w:spacing w:before="0" w:after="20"/>
              <w:jc w:val="center"/>
              <w:rPr>
                <w:rFonts w:ascii="Times New Roman" w:hAnsi="Times New Roman"/>
                <w:b/>
                <w:sz w:val="16"/>
              </w:rPr>
            </w:pPr>
            <w:r>
              <w:rPr>
                <w:rFonts w:ascii="Times New Roman" w:hAnsi="Times New Roman"/>
                <w:b/>
                <w:sz w:val="16"/>
              </w:rPr>
              <w:t>Interest(1), Maturity</w:t>
            </w:r>
          </w:p>
        </w:tc>
        <w:tc>
          <w:tcPr>
            <w:tcW w:w="60" w:type="dxa"/>
            <w:tcBorders/>
            <w:shd w:fill="auto" w:val="clear"/>
            <w:vAlign w:val="center"/>
          </w:tcPr>
          <w:p>
            <w:pPr>
              <w:pStyle w:val="TableContents"/>
              <w:spacing w:before="0" w:after="283"/>
              <w:rPr/>
            </w:pPr>
            <w:r>
              <w:rPr/>
              <w:t> </w:t>
            </w:r>
          </w:p>
        </w:tc>
        <w:tc>
          <w:tcPr>
            <w:tcW w:w="128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Voting</w:t>
              <w:br/>
              <w:t>Percentage</w:t>
              <w:br/>
              <w:t>Ownership(2)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1"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Fair Value</w:t>
              <w:br/>
              <w:t>(in thousands)</w:t>
            </w:r>
          </w:p>
        </w:tc>
        <w:tc>
          <w:tcPr>
            <w:tcW w:w="77" w:type="dxa"/>
            <w:tcBorders/>
            <w:shd w:fill="auto" w:val="clear"/>
            <w:vAlign w:val="center"/>
          </w:tcPr>
          <w:p>
            <w:pPr>
              <w:pStyle w:val="TableContents"/>
              <w:spacing w:before="0" w:after="283"/>
              <w:rPr/>
            </w:pPr>
            <w:r>
              <w:rPr/>
              <w:t> </w:t>
            </w:r>
          </w:p>
        </w:tc>
      </w:tr>
      <w:tr>
        <w:trPr/>
        <w:tc>
          <w:tcPr>
            <w:tcW w:w="191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CF512, Inc.</w:t>
            </w:r>
          </w:p>
          <w:p>
            <w:pPr>
              <w:pStyle w:val="TableContents"/>
              <w:spacing w:before="0" w:after="0"/>
              <w:rPr>
                <w:rFonts w:ascii="Times New Roman" w:hAnsi="Times New Roman"/>
                <w:sz w:val="16"/>
              </w:rPr>
            </w:pPr>
            <w:r>
              <w:rPr>
                <w:rFonts w:ascii="Times New Roman" w:hAnsi="Times New Roman"/>
                <w:sz w:val="16"/>
              </w:rPr>
              <w:t>(StellPen Holdings, LLC)</w:t>
            </w:r>
          </w:p>
          <w:p>
            <w:pPr>
              <w:pStyle w:val="TableContents"/>
              <w:spacing w:before="0" w:after="0"/>
              <w:rPr>
                <w:rFonts w:ascii="Times New Roman" w:hAnsi="Times New Roman"/>
                <w:sz w:val="16"/>
              </w:rPr>
            </w:pPr>
            <w:r>
              <w:rPr>
                <w:rFonts w:ascii="Times New Roman" w:hAnsi="Times New Roman"/>
                <w:sz w:val="16"/>
              </w:rPr>
              <w:t>960B Harvest Drive</w:t>
            </w:r>
          </w:p>
          <w:p>
            <w:pPr>
              <w:pStyle w:val="TableContents"/>
              <w:spacing w:before="0" w:after="20"/>
              <w:rPr>
                <w:rFonts w:ascii="Times New Roman" w:hAnsi="Times New Roman"/>
                <w:sz w:val="16"/>
              </w:rPr>
            </w:pPr>
            <w:r>
              <w:rPr>
                <w:rFonts w:ascii="Times New Roman" w:hAnsi="Times New Roman"/>
                <w:sz w:val="16"/>
              </w:rPr>
              <w:t>Blue Bell, PA 19422</w:t>
            </w:r>
          </w:p>
        </w:tc>
        <w:tc>
          <w:tcPr>
            <w:tcW w:w="60" w:type="dxa"/>
            <w:tcBorders/>
            <w:shd w:fill="CCEEFF" w:val="clear"/>
            <w:vAlign w:val="center"/>
          </w:tcPr>
          <w:p>
            <w:pPr>
              <w:pStyle w:val="TableContents"/>
              <w:spacing w:before="0" w:after="283"/>
              <w:rPr/>
            </w:pPr>
            <w:r>
              <w:rPr/>
              <w:t> </w:t>
            </w:r>
          </w:p>
        </w:tc>
        <w:tc>
          <w:tcPr>
            <w:tcW w:w="3035" w:type="dxa"/>
            <w:tcBorders/>
            <w:shd w:fill="CCEEFF" w:val="clear"/>
            <w:vAlign w:val="center"/>
          </w:tcPr>
          <w:p>
            <w:pPr>
              <w:pStyle w:val="TableContents"/>
              <w:spacing w:before="0" w:after="283"/>
              <w:jc w:val="center"/>
              <w:rPr/>
            </w:pPr>
            <w:r>
              <w:rPr/>
              <w:t>Media</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46" w:type="dxa"/>
            <w:tcBorders/>
            <w:shd w:fill="CCEEFF" w:val="clear"/>
            <w:vAlign w:val="center"/>
          </w:tcPr>
          <w:p>
            <w:pPr>
              <w:pStyle w:val="TableContents"/>
              <w:spacing w:before="0" w:after="283"/>
              <w:jc w:val="center"/>
              <w:rPr/>
            </w:pPr>
            <w:r>
              <w:rPr/>
              <w:t>First Lien Secured Debt(4),</w:t>
              <w:br/>
              <w:t>3M L+600, 08/20/2026</w:t>
              <w:br/>
              <w:t>Common Equity</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jc w:val="right"/>
              <w:rPr/>
            </w:pPr>
            <w:r>
              <w:rPr/>
              <w:t>0.8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w:t>
            </w:r>
          </w:p>
        </w:tc>
        <w:tc>
          <w:tcPr>
            <w:tcW w:w="1171" w:type="dxa"/>
            <w:tcBorders/>
            <w:shd w:fill="CCEEFF" w:val="clear"/>
            <w:vAlign w:val="center"/>
          </w:tcPr>
          <w:p>
            <w:pPr>
              <w:pStyle w:val="TableContents"/>
              <w:spacing w:before="0" w:after="283"/>
              <w:jc w:val="right"/>
              <w:rPr/>
            </w:pPr>
            <w:r>
              <w:rPr/>
              <w:t>8,121</w:t>
            </w:r>
          </w:p>
        </w:tc>
        <w:tc>
          <w:tcPr>
            <w:tcW w:w="77" w:type="dxa"/>
            <w:tcBorders/>
            <w:shd w:fill="CCEEFF"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CHA Holdings, Inc.</w:t>
            </w:r>
          </w:p>
          <w:p>
            <w:pPr>
              <w:pStyle w:val="TableContents"/>
              <w:spacing w:before="0" w:after="0"/>
              <w:rPr>
                <w:rFonts w:ascii="Times New Roman" w:hAnsi="Times New Roman"/>
                <w:sz w:val="16"/>
              </w:rPr>
            </w:pPr>
            <w:r>
              <w:rPr>
                <w:rFonts w:ascii="Times New Roman" w:hAnsi="Times New Roman"/>
                <w:sz w:val="16"/>
              </w:rPr>
              <w:t>575 Broadway</w:t>
            </w:r>
          </w:p>
          <w:p>
            <w:pPr>
              <w:pStyle w:val="TableContents"/>
              <w:spacing w:before="0" w:after="20"/>
              <w:rPr>
                <w:rFonts w:ascii="Times New Roman" w:hAnsi="Times New Roman"/>
                <w:sz w:val="16"/>
              </w:rPr>
            </w:pPr>
            <w:r>
              <w:rPr>
                <w:rFonts w:ascii="Times New Roman" w:hAnsi="Times New Roman"/>
                <w:sz w:val="16"/>
              </w:rPr>
              <w:t>Albany, NY 12207</w:t>
            </w:r>
          </w:p>
        </w:tc>
        <w:tc>
          <w:tcPr>
            <w:tcW w:w="60"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283"/>
              <w:jc w:val="center"/>
              <w:rPr/>
            </w:pPr>
            <w:r>
              <w:rPr/>
              <w:t>Environmental Industries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jc w:val="center"/>
              <w:rPr/>
            </w:pPr>
            <w:r>
              <w:rPr/>
              <w:t>First Lien Secured Debt,</w:t>
              <w:br/>
              <w:t>3M L+450, 04/10/2025</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1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1,581</w:t>
            </w:r>
          </w:p>
        </w:tc>
        <w:tc>
          <w:tcPr>
            <w:tcW w:w="77" w:type="dxa"/>
            <w:tcBorders/>
            <w:shd w:fill="auto"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Challenger Performance Optimization, Inc.</w:t>
            </w:r>
          </w:p>
          <w:p>
            <w:pPr>
              <w:pStyle w:val="TableContents"/>
              <w:spacing w:before="0" w:after="0"/>
              <w:rPr>
                <w:rFonts w:ascii="Times New Roman" w:hAnsi="Times New Roman"/>
                <w:sz w:val="16"/>
              </w:rPr>
            </w:pPr>
            <w:r>
              <w:rPr>
                <w:rFonts w:ascii="Times New Roman" w:hAnsi="Times New Roman"/>
                <w:sz w:val="16"/>
              </w:rPr>
              <w:t>1201 Wilson Blvd</w:t>
            </w:r>
          </w:p>
          <w:p>
            <w:pPr>
              <w:pStyle w:val="TableContents"/>
              <w:spacing w:before="0" w:after="20"/>
              <w:rPr>
                <w:rFonts w:ascii="Times New Roman" w:hAnsi="Times New Roman"/>
                <w:sz w:val="16"/>
              </w:rPr>
            </w:pPr>
            <w:r>
              <w:rPr>
                <w:rFonts w:ascii="Times New Roman" w:hAnsi="Times New Roman"/>
                <w:sz w:val="16"/>
              </w:rPr>
              <w:t>Arlington, VA 22209</w:t>
            </w:r>
          </w:p>
        </w:tc>
        <w:tc>
          <w:tcPr>
            <w:tcW w:w="60" w:type="dxa"/>
            <w:tcBorders/>
            <w:shd w:fill="CCEEFF" w:val="clear"/>
            <w:vAlign w:val="center"/>
          </w:tcPr>
          <w:p>
            <w:pPr>
              <w:pStyle w:val="TableContents"/>
              <w:spacing w:before="0" w:after="283"/>
              <w:rPr/>
            </w:pPr>
            <w:r>
              <w:rPr/>
              <w:t> </w:t>
            </w:r>
          </w:p>
        </w:tc>
        <w:tc>
          <w:tcPr>
            <w:tcW w:w="3035" w:type="dxa"/>
            <w:tcBorders/>
            <w:shd w:fill="CCEEFF" w:val="clear"/>
            <w:vAlign w:val="center"/>
          </w:tcPr>
          <w:p>
            <w:pPr>
              <w:pStyle w:val="TableContents"/>
              <w:spacing w:before="0" w:after="283"/>
              <w:jc w:val="center"/>
              <w:rPr/>
            </w:pPr>
            <w:r>
              <w:rPr/>
              <w:t>Business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46" w:type="dxa"/>
            <w:tcBorders/>
            <w:shd w:fill="CCEEFF" w:val="clear"/>
            <w:vAlign w:val="center"/>
          </w:tcPr>
          <w:p>
            <w:pPr>
              <w:pStyle w:val="TableContents"/>
              <w:spacing w:before="0" w:after="283"/>
              <w:jc w:val="center"/>
              <w:rPr/>
            </w:pPr>
            <w:r>
              <w:rPr/>
              <w:t>First Lien Secured Debt(4),</w:t>
              <w:br/>
              <w:t>1M L+675, 08/31/2023</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335</w:t>
            </w:r>
          </w:p>
        </w:tc>
        <w:tc>
          <w:tcPr>
            <w:tcW w:w="77" w:type="dxa"/>
            <w:tcBorders/>
            <w:shd w:fill="CCEEFF"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Compex Legal Services, Inc.</w:t>
            </w:r>
          </w:p>
          <w:p>
            <w:pPr>
              <w:pStyle w:val="TableContents"/>
              <w:spacing w:before="0" w:after="0"/>
              <w:rPr>
                <w:rFonts w:ascii="Times New Roman" w:hAnsi="Times New Roman"/>
                <w:sz w:val="16"/>
              </w:rPr>
            </w:pPr>
            <w:r>
              <w:rPr>
                <w:rFonts w:ascii="Times New Roman" w:hAnsi="Times New Roman"/>
                <w:sz w:val="16"/>
              </w:rPr>
              <w:t>325 Maple Avenue</w:t>
            </w:r>
          </w:p>
          <w:p>
            <w:pPr>
              <w:pStyle w:val="TableContents"/>
              <w:spacing w:before="0" w:after="20"/>
              <w:rPr>
                <w:rFonts w:ascii="Times New Roman" w:hAnsi="Times New Roman"/>
                <w:sz w:val="16"/>
              </w:rPr>
            </w:pPr>
            <w:r>
              <w:rPr>
                <w:rFonts w:ascii="Times New Roman" w:hAnsi="Times New Roman"/>
                <w:sz w:val="16"/>
              </w:rPr>
              <w:t>Torrance, CA 90503</w:t>
            </w:r>
          </w:p>
        </w:tc>
        <w:tc>
          <w:tcPr>
            <w:tcW w:w="60"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283"/>
              <w:jc w:val="center"/>
              <w:rPr/>
            </w:pPr>
            <w:r>
              <w:rPr/>
              <w:t>Professional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jc w:val="center"/>
              <w:rPr/>
            </w:pPr>
            <w:r>
              <w:rPr/>
              <w:t>First Lien Secured Debt(4),</w:t>
              <w:br/>
              <w:t>3M L+525, 02/09/2026</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1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8,811</w:t>
            </w:r>
          </w:p>
        </w:tc>
        <w:tc>
          <w:tcPr>
            <w:tcW w:w="77" w:type="dxa"/>
            <w:tcBorders/>
            <w:shd w:fill="auto"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Connatix Buyer, Inc.</w:t>
            </w:r>
          </w:p>
          <w:p>
            <w:pPr>
              <w:pStyle w:val="TableContents"/>
              <w:spacing w:before="0" w:after="0"/>
              <w:rPr>
                <w:rFonts w:ascii="Times New Roman" w:hAnsi="Times New Roman"/>
                <w:sz w:val="16"/>
              </w:rPr>
            </w:pPr>
            <w:r>
              <w:rPr>
                <w:rFonts w:ascii="Times New Roman" w:hAnsi="Times New Roman"/>
                <w:sz w:val="16"/>
              </w:rPr>
              <w:t>(Connatix Parent, LLC)</w:t>
            </w:r>
          </w:p>
          <w:p>
            <w:pPr>
              <w:pStyle w:val="TableContents"/>
              <w:spacing w:before="0" w:after="0"/>
              <w:rPr>
                <w:rFonts w:ascii="Times New Roman" w:hAnsi="Times New Roman"/>
                <w:sz w:val="16"/>
              </w:rPr>
            </w:pPr>
            <w:r>
              <w:rPr>
                <w:rFonts w:ascii="Times New Roman" w:hAnsi="Times New Roman"/>
                <w:sz w:val="16"/>
              </w:rPr>
              <w:t>666 Broadway, Floor 10</w:t>
            </w:r>
          </w:p>
          <w:p>
            <w:pPr>
              <w:pStyle w:val="TableContents"/>
              <w:spacing w:before="0" w:after="20"/>
              <w:rPr>
                <w:rFonts w:ascii="Times New Roman" w:hAnsi="Times New Roman"/>
                <w:sz w:val="16"/>
              </w:rPr>
            </w:pPr>
            <w:r>
              <w:rPr>
                <w:rFonts w:ascii="Times New Roman" w:hAnsi="Times New Roman"/>
                <w:sz w:val="16"/>
              </w:rPr>
              <w:t>New York, NY 10012</w:t>
            </w:r>
          </w:p>
        </w:tc>
        <w:tc>
          <w:tcPr>
            <w:tcW w:w="60" w:type="dxa"/>
            <w:tcBorders/>
            <w:shd w:fill="CCEEFF" w:val="clear"/>
            <w:vAlign w:val="center"/>
          </w:tcPr>
          <w:p>
            <w:pPr>
              <w:pStyle w:val="TableContents"/>
              <w:spacing w:before="0" w:after="283"/>
              <w:rPr/>
            </w:pPr>
            <w:r>
              <w:rPr/>
              <w:t> </w:t>
            </w:r>
          </w:p>
        </w:tc>
        <w:tc>
          <w:tcPr>
            <w:tcW w:w="3035" w:type="dxa"/>
            <w:tcBorders/>
            <w:shd w:fill="CCEEFF" w:val="clear"/>
            <w:vAlign w:val="center"/>
          </w:tcPr>
          <w:p>
            <w:pPr>
              <w:pStyle w:val="TableContents"/>
              <w:spacing w:before="0" w:after="283"/>
              <w:jc w:val="center"/>
              <w:rPr/>
            </w:pPr>
            <w:r>
              <w:rPr/>
              <w:t>Media</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46" w:type="dxa"/>
            <w:tcBorders/>
            <w:shd w:fill="CCEEFF" w:val="clear"/>
            <w:vAlign w:val="center"/>
          </w:tcPr>
          <w:p>
            <w:pPr>
              <w:pStyle w:val="TableContents"/>
              <w:spacing w:before="0" w:after="283"/>
              <w:jc w:val="center"/>
              <w:rPr/>
            </w:pPr>
            <w:r>
              <w:rPr/>
              <w:t>First Lien Secured Debt(4),</w:t>
              <w:br/>
              <w:t>3M L+550, 07/13/2027</w:t>
              <w:br/>
              <w:t>Common Equity</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jc w:val="right"/>
              <w:rPr/>
            </w:pPr>
            <w:r>
              <w:rPr/>
              <w:t>0.3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4,206</w:t>
            </w:r>
          </w:p>
        </w:tc>
        <w:tc>
          <w:tcPr>
            <w:tcW w:w="77" w:type="dxa"/>
            <w:tcBorders/>
            <w:shd w:fill="CCEEFF"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Crane 1 Services, Inc.</w:t>
            </w:r>
          </w:p>
          <w:p>
            <w:pPr>
              <w:pStyle w:val="TableContents"/>
              <w:spacing w:before="0" w:after="0"/>
              <w:rPr>
                <w:rFonts w:ascii="Times New Roman" w:hAnsi="Times New Roman"/>
                <w:sz w:val="16"/>
              </w:rPr>
            </w:pPr>
            <w:r>
              <w:rPr>
                <w:rFonts w:ascii="Times New Roman" w:hAnsi="Times New Roman"/>
                <w:sz w:val="16"/>
              </w:rPr>
              <w:t>(Crane 1 Acquisition Parent Holdings, L.P.)</w:t>
            </w:r>
          </w:p>
          <w:p>
            <w:pPr>
              <w:pStyle w:val="TableContents"/>
              <w:spacing w:before="0" w:after="0"/>
              <w:rPr>
                <w:rFonts w:ascii="Times New Roman" w:hAnsi="Times New Roman"/>
                <w:sz w:val="16"/>
              </w:rPr>
            </w:pPr>
            <w:r>
              <w:rPr>
                <w:rFonts w:ascii="Times New Roman" w:hAnsi="Times New Roman"/>
                <w:sz w:val="16"/>
              </w:rPr>
              <w:t>1027 Byers Rd</w:t>
            </w:r>
          </w:p>
          <w:p>
            <w:pPr>
              <w:pStyle w:val="TableContents"/>
              <w:spacing w:before="0" w:after="20"/>
              <w:rPr>
                <w:rFonts w:ascii="Times New Roman" w:hAnsi="Times New Roman"/>
                <w:sz w:val="16"/>
              </w:rPr>
            </w:pPr>
            <w:r>
              <w:rPr>
                <w:rFonts w:ascii="Times New Roman" w:hAnsi="Times New Roman"/>
                <w:sz w:val="16"/>
              </w:rPr>
              <w:t>Miamisburg, OH 45342</w:t>
            </w:r>
          </w:p>
        </w:tc>
        <w:tc>
          <w:tcPr>
            <w:tcW w:w="60"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283"/>
              <w:jc w:val="center"/>
              <w:rPr/>
            </w:pPr>
            <w:r>
              <w:rPr/>
              <w:t>Commercial Services &amp; Supplies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jc w:val="center"/>
              <w:rPr/>
            </w:pPr>
            <w:r>
              <w:rPr/>
              <w:t>First Lien Secured Debt(4),</w:t>
              <w:br/>
              <w:t>3M L+575, 08/16/2027</w:t>
              <w:br/>
              <w:t>Common Equity</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14" w:type="dxa"/>
            <w:tcBorders/>
            <w:shd w:fill="auto" w:val="clear"/>
            <w:vAlign w:val="center"/>
          </w:tcPr>
          <w:p>
            <w:pPr>
              <w:pStyle w:val="TableContents"/>
              <w:spacing w:before="0" w:after="283"/>
              <w:jc w:val="right"/>
              <w:rPr/>
            </w:pPr>
            <w:r>
              <w:rPr/>
              <w:t>0.5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1,244</w:t>
            </w:r>
          </w:p>
        </w:tc>
        <w:tc>
          <w:tcPr>
            <w:tcW w:w="77" w:type="dxa"/>
            <w:tcBorders/>
            <w:shd w:fill="auto"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Douglas Products and Packaging Company, LLC</w:t>
            </w:r>
          </w:p>
          <w:p>
            <w:pPr>
              <w:pStyle w:val="TableContents"/>
              <w:spacing w:before="0" w:after="0"/>
              <w:rPr>
                <w:rFonts w:ascii="Times New Roman" w:hAnsi="Times New Roman"/>
                <w:sz w:val="16"/>
              </w:rPr>
            </w:pPr>
            <w:r>
              <w:rPr>
                <w:rFonts w:ascii="Times New Roman" w:hAnsi="Times New Roman"/>
                <w:sz w:val="16"/>
              </w:rPr>
              <w:t>(Douglas Sewer Intermediate, LLC)</w:t>
            </w:r>
          </w:p>
          <w:p>
            <w:pPr>
              <w:pStyle w:val="TableContents"/>
              <w:spacing w:before="0" w:after="0"/>
              <w:rPr>
                <w:rFonts w:ascii="Times New Roman" w:hAnsi="Times New Roman"/>
                <w:sz w:val="16"/>
              </w:rPr>
            </w:pPr>
            <w:r>
              <w:rPr>
                <w:rFonts w:ascii="Times New Roman" w:hAnsi="Times New Roman"/>
                <w:sz w:val="16"/>
              </w:rPr>
              <w:t>(Plant Health Intermediate, Inc.)</w:t>
            </w:r>
          </w:p>
          <w:p>
            <w:pPr>
              <w:pStyle w:val="TableContents"/>
              <w:spacing w:before="0" w:after="0"/>
              <w:rPr>
                <w:rFonts w:ascii="Times New Roman" w:hAnsi="Times New Roman"/>
                <w:sz w:val="16"/>
              </w:rPr>
            </w:pPr>
            <w:r>
              <w:rPr>
                <w:rFonts w:ascii="Times New Roman" w:hAnsi="Times New Roman"/>
                <w:sz w:val="16"/>
              </w:rPr>
              <w:t>1550 E. Old 210 Highway</w:t>
            </w:r>
          </w:p>
          <w:p>
            <w:pPr>
              <w:pStyle w:val="TableContents"/>
              <w:spacing w:before="0" w:after="20"/>
              <w:rPr>
                <w:rFonts w:ascii="Times New Roman" w:hAnsi="Times New Roman"/>
                <w:sz w:val="16"/>
              </w:rPr>
            </w:pPr>
            <w:r>
              <w:rPr>
                <w:rFonts w:ascii="Times New Roman" w:hAnsi="Times New Roman"/>
                <w:sz w:val="16"/>
              </w:rPr>
              <w:t>Liberty, MO 64068</w:t>
            </w:r>
          </w:p>
        </w:tc>
        <w:tc>
          <w:tcPr>
            <w:tcW w:w="60" w:type="dxa"/>
            <w:tcBorders/>
            <w:shd w:fill="CCEEFF" w:val="clear"/>
            <w:vAlign w:val="center"/>
          </w:tcPr>
          <w:p>
            <w:pPr>
              <w:pStyle w:val="TableContents"/>
              <w:spacing w:before="0" w:after="283"/>
              <w:rPr/>
            </w:pPr>
            <w:r>
              <w:rPr/>
              <w:t> </w:t>
            </w:r>
          </w:p>
        </w:tc>
        <w:tc>
          <w:tcPr>
            <w:tcW w:w="3035" w:type="dxa"/>
            <w:tcBorders/>
            <w:shd w:fill="CCEEFF" w:val="clear"/>
            <w:vAlign w:val="center"/>
          </w:tcPr>
          <w:p>
            <w:pPr>
              <w:pStyle w:val="TableContents"/>
              <w:spacing w:before="0" w:after="283"/>
              <w:jc w:val="center"/>
              <w:rPr/>
            </w:pPr>
            <w:r>
              <w:rPr/>
              <w:t>Chemicals, Plastics and Rubber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46" w:type="dxa"/>
            <w:tcBorders/>
            <w:shd w:fill="CCEEFF" w:val="clear"/>
            <w:vAlign w:val="center"/>
          </w:tcPr>
          <w:p>
            <w:pPr>
              <w:pStyle w:val="TableContents"/>
              <w:spacing w:before="0" w:after="283"/>
              <w:jc w:val="center"/>
              <w:rPr/>
            </w:pPr>
            <w:r>
              <w:rPr/>
              <w:t>First Lien Secured Debt(4),</w:t>
              <w:br/>
              <w:t>3M L+575, 10/19/2022</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13,662</w:t>
            </w:r>
          </w:p>
        </w:tc>
        <w:tc>
          <w:tcPr>
            <w:tcW w:w="77" w:type="dxa"/>
            <w:tcBorders/>
            <w:shd w:fill="CCEEFF"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Dr. Squatch, LLC</w:t>
            </w:r>
          </w:p>
          <w:p>
            <w:pPr>
              <w:pStyle w:val="TableContents"/>
              <w:spacing w:before="0" w:after="0"/>
              <w:rPr>
                <w:rFonts w:ascii="Times New Roman" w:hAnsi="Times New Roman"/>
                <w:sz w:val="16"/>
              </w:rPr>
            </w:pPr>
            <w:r>
              <w:rPr>
                <w:rFonts w:ascii="Times New Roman" w:hAnsi="Times New Roman"/>
                <w:sz w:val="16"/>
              </w:rPr>
              <w:t>2355 Westwood Blvd. #1834</w:t>
            </w:r>
          </w:p>
          <w:p>
            <w:pPr>
              <w:pStyle w:val="TableContents"/>
              <w:spacing w:before="0" w:after="20"/>
              <w:rPr>
                <w:rFonts w:ascii="Times New Roman" w:hAnsi="Times New Roman"/>
                <w:sz w:val="16"/>
              </w:rPr>
            </w:pPr>
            <w:r>
              <w:rPr>
                <w:rFonts w:ascii="Times New Roman" w:hAnsi="Times New Roman"/>
                <w:sz w:val="16"/>
              </w:rPr>
              <w:t>Los Angeles, CA 90064</w:t>
            </w:r>
          </w:p>
        </w:tc>
        <w:tc>
          <w:tcPr>
            <w:tcW w:w="60"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283"/>
              <w:jc w:val="center"/>
              <w:rPr/>
            </w:pPr>
            <w:r>
              <w:rPr/>
              <w:t>Personal Products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jc w:val="center"/>
              <w:rPr/>
            </w:pPr>
            <w:r>
              <w:rPr/>
              <w:t>First Lien Secured Debt(4),</w:t>
              <w:br/>
              <w:t>3M L+600, 08/31/2027</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1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5,429</w:t>
            </w:r>
          </w:p>
        </w:tc>
        <w:tc>
          <w:tcPr>
            <w:tcW w:w="77" w:type="dxa"/>
            <w:tcBorders/>
            <w:shd w:fill="auto"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DRS Holdings III, Inc.</w:t>
            </w:r>
          </w:p>
          <w:p>
            <w:pPr>
              <w:pStyle w:val="TableContents"/>
              <w:spacing w:before="0" w:after="0"/>
              <w:rPr>
                <w:rFonts w:ascii="Times New Roman" w:hAnsi="Times New Roman"/>
                <w:sz w:val="16"/>
              </w:rPr>
            </w:pPr>
            <w:r>
              <w:rPr>
                <w:rFonts w:ascii="Times New Roman" w:hAnsi="Times New Roman"/>
                <w:sz w:val="16"/>
              </w:rPr>
              <w:t>225 State Street</w:t>
            </w:r>
          </w:p>
          <w:p>
            <w:pPr>
              <w:pStyle w:val="TableContents"/>
              <w:spacing w:before="0" w:after="20"/>
              <w:rPr>
                <w:rFonts w:ascii="Times New Roman" w:hAnsi="Times New Roman"/>
                <w:sz w:val="16"/>
              </w:rPr>
            </w:pPr>
            <w:r>
              <w:rPr>
                <w:rFonts w:ascii="Times New Roman" w:hAnsi="Times New Roman"/>
                <w:sz w:val="16"/>
              </w:rPr>
              <w:t>Boston MA 02109</w:t>
            </w:r>
          </w:p>
        </w:tc>
        <w:tc>
          <w:tcPr>
            <w:tcW w:w="60" w:type="dxa"/>
            <w:tcBorders/>
            <w:shd w:fill="CCEEFF" w:val="clear"/>
            <w:vAlign w:val="center"/>
          </w:tcPr>
          <w:p>
            <w:pPr>
              <w:pStyle w:val="TableContents"/>
              <w:spacing w:before="0" w:after="283"/>
              <w:rPr/>
            </w:pPr>
            <w:r>
              <w:rPr/>
              <w:t> </w:t>
            </w:r>
          </w:p>
        </w:tc>
        <w:tc>
          <w:tcPr>
            <w:tcW w:w="3035" w:type="dxa"/>
            <w:tcBorders/>
            <w:shd w:fill="CCEEFF" w:val="clear"/>
            <w:vAlign w:val="center"/>
          </w:tcPr>
          <w:p>
            <w:pPr>
              <w:pStyle w:val="TableContents"/>
              <w:spacing w:before="0" w:after="283"/>
              <w:jc w:val="center"/>
              <w:rPr/>
            </w:pPr>
            <w:r>
              <w:rPr/>
              <w:t>Personal Products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46" w:type="dxa"/>
            <w:tcBorders/>
            <w:shd w:fill="CCEEFF" w:val="clear"/>
            <w:vAlign w:val="center"/>
          </w:tcPr>
          <w:p>
            <w:pPr>
              <w:pStyle w:val="TableContents"/>
              <w:spacing w:before="0" w:after="283"/>
              <w:jc w:val="center"/>
              <w:rPr/>
            </w:pPr>
            <w:r>
              <w:rPr/>
              <w:t>First Lien Secured Debt(4),</w:t>
              <w:br/>
              <w:t>3M L+575, 11/03/2025</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16,518</w:t>
            </w:r>
          </w:p>
        </w:tc>
        <w:tc>
          <w:tcPr>
            <w:tcW w:w="77" w:type="dxa"/>
            <w:tcBorders/>
            <w:shd w:fill="CCEEFF"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Duraco Specialty Tapes LLC</w:t>
            </w:r>
          </w:p>
          <w:p>
            <w:pPr>
              <w:pStyle w:val="TableContents"/>
              <w:spacing w:before="0" w:after="0"/>
              <w:rPr>
                <w:rFonts w:ascii="Times New Roman" w:hAnsi="Times New Roman"/>
                <w:sz w:val="16"/>
              </w:rPr>
            </w:pPr>
            <w:r>
              <w:rPr>
                <w:rFonts w:ascii="Times New Roman" w:hAnsi="Times New Roman"/>
                <w:sz w:val="16"/>
              </w:rPr>
              <w:t>7400 Industrial Dr.</w:t>
            </w:r>
          </w:p>
          <w:p>
            <w:pPr>
              <w:pStyle w:val="TableContents"/>
              <w:spacing w:before="0" w:after="20"/>
              <w:rPr>
                <w:rFonts w:ascii="Times New Roman" w:hAnsi="Times New Roman"/>
                <w:sz w:val="16"/>
              </w:rPr>
            </w:pPr>
            <w:r>
              <w:rPr>
                <w:rFonts w:ascii="Times New Roman" w:hAnsi="Times New Roman"/>
                <w:sz w:val="16"/>
              </w:rPr>
              <w:t>Forest Park, IL 60130</w:t>
            </w:r>
          </w:p>
        </w:tc>
        <w:tc>
          <w:tcPr>
            <w:tcW w:w="60"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283"/>
              <w:jc w:val="center"/>
              <w:rPr/>
            </w:pPr>
            <w:r>
              <w:rPr/>
              <w:t>Containers and Packaging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jc w:val="center"/>
              <w:rPr/>
            </w:pPr>
            <w:r>
              <w:rPr/>
              <w:t>First Lien Secured Debt,</w:t>
              <w:br/>
              <w:t>3M L+550, 06/30/2024</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1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3,169</w:t>
            </w:r>
          </w:p>
        </w:tc>
        <w:tc>
          <w:tcPr>
            <w:tcW w:w="77" w:type="dxa"/>
            <w:tcBorders/>
            <w:shd w:fill="auto"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ECL Entertainment, LLC</w:t>
            </w:r>
          </w:p>
          <w:p>
            <w:pPr>
              <w:pStyle w:val="TableContents"/>
              <w:spacing w:before="0" w:after="0"/>
              <w:rPr>
                <w:rFonts w:ascii="Times New Roman" w:hAnsi="Times New Roman"/>
                <w:sz w:val="16"/>
              </w:rPr>
            </w:pPr>
            <w:r>
              <w:rPr>
                <w:rFonts w:ascii="Times New Roman" w:hAnsi="Times New Roman"/>
                <w:sz w:val="16"/>
              </w:rPr>
              <w:t>(Kentucky Racing Holdco, LLC(5))</w:t>
            </w:r>
          </w:p>
          <w:p>
            <w:pPr>
              <w:pStyle w:val="TableContents"/>
              <w:spacing w:before="0" w:after="0"/>
              <w:rPr>
                <w:rFonts w:ascii="Times New Roman" w:hAnsi="Times New Roman"/>
                <w:sz w:val="16"/>
              </w:rPr>
            </w:pPr>
            <w:r>
              <w:rPr>
                <w:rFonts w:ascii="Times New Roman" w:hAnsi="Times New Roman"/>
                <w:sz w:val="16"/>
              </w:rPr>
              <w:t>5629 Nashville Road</w:t>
            </w:r>
          </w:p>
          <w:p>
            <w:pPr>
              <w:pStyle w:val="TableContents"/>
              <w:spacing w:before="0" w:after="20"/>
              <w:rPr>
                <w:rFonts w:ascii="Times New Roman" w:hAnsi="Times New Roman"/>
                <w:sz w:val="16"/>
              </w:rPr>
            </w:pPr>
            <w:r>
              <w:rPr>
                <w:rFonts w:ascii="Times New Roman" w:hAnsi="Times New Roman"/>
                <w:sz w:val="16"/>
              </w:rPr>
              <w:t>Franklin, KY 42134</w:t>
            </w:r>
          </w:p>
        </w:tc>
        <w:tc>
          <w:tcPr>
            <w:tcW w:w="60" w:type="dxa"/>
            <w:tcBorders/>
            <w:shd w:fill="CCEEFF" w:val="clear"/>
            <w:vAlign w:val="center"/>
          </w:tcPr>
          <w:p>
            <w:pPr>
              <w:pStyle w:val="TableContents"/>
              <w:spacing w:before="0" w:after="283"/>
              <w:rPr/>
            </w:pPr>
            <w:r>
              <w:rPr/>
              <w:t> </w:t>
            </w:r>
          </w:p>
        </w:tc>
        <w:tc>
          <w:tcPr>
            <w:tcW w:w="3035" w:type="dxa"/>
            <w:tcBorders/>
            <w:shd w:fill="CCEEFF" w:val="clear"/>
            <w:vAlign w:val="center"/>
          </w:tcPr>
          <w:p>
            <w:pPr>
              <w:pStyle w:val="TableContents"/>
              <w:spacing w:before="0" w:after="283"/>
              <w:jc w:val="center"/>
              <w:rPr/>
            </w:pPr>
            <w:r>
              <w:rPr/>
              <w:t>Hotels, Restaurants and Leisure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46"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w:t>
              <w:br/>
              <w:t>1M L+750, 05/01/2028</w:t>
            </w:r>
          </w:p>
          <w:p>
            <w:pPr>
              <w:pStyle w:val="TableContents"/>
              <w:spacing w:before="0" w:after="20"/>
              <w:jc w:val="center"/>
              <w:rPr>
                <w:rFonts w:ascii="Times New Roman" w:hAnsi="Times New Roman"/>
                <w:sz w:val="16"/>
              </w:rPr>
            </w:pPr>
            <w:r>
              <w:rPr>
                <w:rFonts w:ascii="Times New Roman" w:hAnsi="Times New Roman"/>
                <w:sz w:val="16"/>
              </w:rPr>
              <w:t>Warrants</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6,086</w:t>
            </w:r>
          </w:p>
        </w:tc>
        <w:tc>
          <w:tcPr>
            <w:tcW w:w="77" w:type="dxa"/>
            <w:tcBorders/>
            <w:shd w:fill="CCEEFF"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ECM Industries, LLC</w:t>
            </w:r>
          </w:p>
          <w:p>
            <w:pPr>
              <w:pStyle w:val="TableContents"/>
              <w:spacing w:before="0" w:after="0"/>
              <w:rPr>
                <w:rFonts w:ascii="Times New Roman" w:hAnsi="Times New Roman"/>
                <w:sz w:val="16"/>
              </w:rPr>
            </w:pPr>
            <w:r>
              <w:rPr>
                <w:rFonts w:ascii="Times New Roman" w:hAnsi="Times New Roman"/>
                <w:sz w:val="16"/>
              </w:rPr>
              <w:t>(ECM Investors, LLC (5))</w:t>
            </w:r>
          </w:p>
          <w:p>
            <w:pPr>
              <w:pStyle w:val="TableContents"/>
              <w:spacing w:before="0" w:after="0"/>
              <w:rPr>
                <w:rFonts w:ascii="Times New Roman" w:hAnsi="Times New Roman"/>
                <w:sz w:val="16"/>
              </w:rPr>
            </w:pPr>
            <w:r>
              <w:rPr>
                <w:rFonts w:ascii="Times New Roman" w:hAnsi="Times New Roman"/>
                <w:sz w:val="16"/>
              </w:rPr>
              <w:t>16250 W Woods Edge Rd</w:t>
            </w:r>
          </w:p>
          <w:p>
            <w:pPr>
              <w:pStyle w:val="TableContents"/>
              <w:spacing w:before="0" w:after="20"/>
              <w:rPr>
                <w:rFonts w:ascii="Times New Roman" w:hAnsi="Times New Roman"/>
                <w:sz w:val="16"/>
              </w:rPr>
            </w:pPr>
            <w:r>
              <w:rPr>
                <w:rFonts w:ascii="Times New Roman" w:hAnsi="Times New Roman"/>
                <w:sz w:val="16"/>
              </w:rPr>
              <w:t>New Berlin, WI 53151</w:t>
            </w:r>
          </w:p>
        </w:tc>
        <w:tc>
          <w:tcPr>
            <w:tcW w:w="60"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283"/>
              <w:jc w:val="center"/>
              <w:rPr/>
            </w:pPr>
            <w:r>
              <w:rPr/>
              <w:t>Electronic Equipment, Instruments, and Components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jc w:val="center"/>
              <w:rPr/>
            </w:pPr>
            <w:r>
              <w:rPr/>
              <w:t>First Lien Secured Debt(4),</w:t>
              <w:br/>
              <w:t>1M L+475, 12/23/2025</w:t>
              <w:br/>
              <w:t>Common Equity</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14" w:type="dxa"/>
            <w:tcBorders/>
            <w:shd w:fill="auto" w:val="clear"/>
            <w:vAlign w:val="center"/>
          </w:tcPr>
          <w:p>
            <w:pPr>
              <w:pStyle w:val="TableContents"/>
              <w:spacing w:before="0" w:after="283"/>
              <w:jc w:val="right"/>
              <w:rPr/>
            </w:pPr>
            <w:r>
              <w:rPr/>
              <w:t>0.1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1,104</w:t>
            </w:r>
          </w:p>
        </w:tc>
        <w:tc>
          <w:tcPr>
            <w:tcW w:w="77" w:type="dxa"/>
            <w:tcBorders/>
            <w:shd w:fill="auto"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eCommission Financial Services, Inc. (6)</w:t>
            </w:r>
          </w:p>
          <w:p>
            <w:pPr>
              <w:pStyle w:val="TableContents"/>
              <w:spacing w:before="0" w:after="0"/>
              <w:rPr>
                <w:rFonts w:ascii="Times New Roman" w:hAnsi="Times New Roman"/>
                <w:sz w:val="16"/>
              </w:rPr>
            </w:pPr>
            <w:r>
              <w:rPr>
                <w:rFonts w:ascii="Times New Roman" w:hAnsi="Times New Roman"/>
                <w:sz w:val="16"/>
              </w:rPr>
              <w:t>(eCommission Holding Corporation(6))</w:t>
            </w:r>
          </w:p>
          <w:p>
            <w:pPr>
              <w:pStyle w:val="TableContents"/>
              <w:spacing w:before="0" w:after="0"/>
              <w:rPr>
                <w:rFonts w:ascii="Times New Roman" w:hAnsi="Times New Roman"/>
                <w:sz w:val="16"/>
              </w:rPr>
            </w:pPr>
            <w:r>
              <w:rPr>
                <w:rFonts w:ascii="Times New Roman" w:hAnsi="Times New Roman"/>
                <w:sz w:val="16"/>
              </w:rPr>
              <w:t>11612 Bee Caves Road, Building II,</w:t>
            </w:r>
          </w:p>
          <w:p>
            <w:pPr>
              <w:pStyle w:val="TableContents"/>
              <w:spacing w:before="0" w:after="20"/>
              <w:rPr>
                <w:rFonts w:ascii="Times New Roman" w:hAnsi="Times New Roman"/>
                <w:sz w:val="16"/>
              </w:rPr>
            </w:pPr>
            <w:r>
              <w:rPr>
                <w:rFonts w:ascii="Times New Roman" w:hAnsi="Times New Roman"/>
                <w:sz w:val="16"/>
              </w:rPr>
              <w:t>Suite 200 Austin, TX, 78738</w:t>
            </w:r>
          </w:p>
        </w:tc>
        <w:tc>
          <w:tcPr>
            <w:tcW w:w="60" w:type="dxa"/>
            <w:tcBorders/>
            <w:shd w:fill="CCEEFF" w:val="clear"/>
            <w:vAlign w:val="center"/>
          </w:tcPr>
          <w:p>
            <w:pPr>
              <w:pStyle w:val="TableContents"/>
              <w:spacing w:before="0" w:after="283"/>
              <w:rPr/>
            </w:pPr>
            <w:r>
              <w:rPr/>
              <w:t> </w:t>
            </w:r>
          </w:p>
        </w:tc>
        <w:tc>
          <w:tcPr>
            <w:tcW w:w="3035" w:type="dxa"/>
            <w:tcBorders/>
            <w:shd w:fill="CCEEFF" w:val="clear"/>
            <w:vAlign w:val="center"/>
          </w:tcPr>
          <w:p>
            <w:pPr>
              <w:pStyle w:val="TableContents"/>
              <w:spacing w:before="0" w:after="283"/>
              <w:jc w:val="center"/>
              <w:rPr/>
            </w:pPr>
            <w:r>
              <w:rPr/>
              <w:t>Banking, Finance, Insurance &amp; Real Estate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46"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1M L+500, 10/05/2023</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1114" w:type="dxa"/>
            <w:tcBorders/>
            <w:shd w:fill="CCEEFF" w:val="clear"/>
            <w:vAlign w:val="center"/>
          </w:tcPr>
          <w:p>
            <w:pPr>
              <w:pStyle w:val="TableContents"/>
              <w:spacing w:before="0" w:after="283"/>
              <w:jc w:val="right"/>
              <w:rPr/>
            </w:pPr>
            <w:r>
              <w:rPr/>
              <w:t>1.3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1171" w:type="dxa"/>
            <w:tcBorders/>
            <w:shd w:fill="CCEEFF" w:val="clear"/>
            <w:vAlign w:val="center"/>
          </w:tcPr>
          <w:p>
            <w:pPr>
              <w:pStyle w:val="TableContents"/>
              <w:spacing w:before="0" w:after="283"/>
              <w:jc w:val="right"/>
              <w:rPr/>
            </w:pPr>
            <w:r>
              <w:rPr/>
              <w:t>8,685</w:t>
            </w:r>
          </w:p>
        </w:tc>
        <w:tc>
          <w:tcPr>
            <w:tcW w:w="77" w:type="dxa"/>
            <w:tcBorders/>
            <w:shd w:fill="CCEEFF" w:val="clear"/>
            <w:vAlign w:val="center"/>
          </w:tcPr>
          <w:p>
            <w:pPr>
              <w:pStyle w:val="TableContents"/>
              <w:spacing w:before="0" w:after="283"/>
              <w:rPr/>
            </w:pPr>
            <w:r>
              <w:rPr/>
              <w:t> </w:t>
            </w:r>
          </w:p>
        </w:tc>
      </w:tr>
      <w:tr>
        <w:trPr/>
        <w:tc>
          <w:tcPr>
            <w:tcW w:w="1912" w:type="dxa"/>
            <w:tcBorders/>
            <w:shd w:fill="auto" w:val="clear"/>
            <w:vAlign w:val="center"/>
          </w:tcPr>
          <w:p>
            <w:pPr>
              <w:pStyle w:val="TableContents"/>
              <w:spacing w:before="0" w:after="283"/>
              <w:rPr>
                <w:sz w:val="4"/>
                <w:szCs w:val="4"/>
              </w:rPr>
            </w:pPr>
            <w:r>
              <w:rPr>
                <w:sz w:val="4"/>
                <w:szCs w:val="4"/>
              </w:rPr>
            </w:r>
          </w:p>
        </w:tc>
        <w:tc>
          <w:tcPr>
            <w:tcW w:w="3095"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906" w:type="dxa"/>
            <w:gridSpan w:val="2"/>
            <w:tcBorders/>
            <w:shd w:fill="auto" w:val="clear"/>
            <w:vAlign w:val="center"/>
          </w:tcPr>
          <w:p>
            <w:pPr>
              <w:pStyle w:val="TableContents"/>
              <w:spacing w:before="0" w:after="283"/>
              <w:rPr>
                <w:sz w:val="4"/>
                <w:szCs w:val="4"/>
              </w:rPr>
            </w:pPr>
            <w:r>
              <w:rPr>
                <w:sz w:val="4"/>
                <w:szCs w:val="4"/>
              </w:rPr>
            </w:r>
          </w:p>
        </w:tc>
        <w:tc>
          <w:tcPr>
            <w:tcW w:w="162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91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Efficient Collaborative Retail Marketing</w:t>
            </w:r>
          </w:p>
          <w:p>
            <w:pPr>
              <w:pStyle w:val="TableContents"/>
              <w:spacing w:before="0" w:after="0"/>
              <w:rPr>
                <w:rFonts w:ascii="Times New Roman" w:hAnsi="Times New Roman"/>
                <w:sz w:val="16"/>
              </w:rPr>
            </w:pPr>
            <w:r>
              <w:rPr>
                <w:rFonts w:ascii="Times New Roman" w:hAnsi="Times New Roman"/>
                <w:sz w:val="16"/>
              </w:rPr>
              <w:t>Company, LLC</w:t>
            </w:r>
          </w:p>
          <w:p>
            <w:pPr>
              <w:pStyle w:val="TableContents"/>
              <w:spacing w:before="0" w:after="0"/>
              <w:rPr>
                <w:rFonts w:ascii="Times New Roman" w:hAnsi="Times New Roman"/>
                <w:sz w:val="16"/>
              </w:rPr>
            </w:pPr>
            <w:r>
              <w:rPr>
                <w:rFonts w:ascii="Times New Roman" w:hAnsi="Times New Roman"/>
                <w:sz w:val="16"/>
              </w:rPr>
              <w:t>27070 Miles Road</w:t>
            </w:r>
          </w:p>
          <w:p>
            <w:pPr>
              <w:pStyle w:val="TableContents"/>
              <w:spacing w:before="0" w:after="20"/>
              <w:rPr>
                <w:rFonts w:ascii="Times New Roman" w:hAnsi="Times New Roman"/>
                <w:sz w:val="16"/>
              </w:rPr>
            </w:pPr>
            <w:r>
              <w:rPr>
                <w:rFonts w:ascii="Times New Roman" w:hAnsi="Times New Roman"/>
                <w:sz w:val="16"/>
              </w:rPr>
              <w:t>Solon, OH 44139</w:t>
            </w:r>
          </w:p>
        </w:tc>
        <w:tc>
          <w:tcPr>
            <w:tcW w:w="60"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283"/>
              <w:jc w:val="center"/>
              <w:rPr/>
            </w:pPr>
            <w:r>
              <w:rPr/>
              <w:t>Media: Diversified and Production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jc w:val="center"/>
              <w:rPr/>
            </w:pPr>
            <w:r>
              <w:rPr/>
              <w:t>First Lien Secured Debt,</w:t>
              <w:br/>
              <w:t>3M L+675, 06/15/2024</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111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right"/>
              <w:rPr/>
            </w:pPr>
            <w:r>
              <w:rPr/>
              <w:t>6,936</w:t>
            </w:r>
          </w:p>
        </w:tc>
        <w:tc>
          <w:tcPr>
            <w:tcW w:w="77"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1895"/>
        <w:gridCol w:w="60"/>
        <w:gridCol w:w="2911"/>
        <w:gridCol w:w="60"/>
        <w:gridCol w:w="60"/>
        <w:gridCol w:w="60"/>
        <w:gridCol w:w="1961"/>
        <w:gridCol w:w="60"/>
        <w:gridCol w:w="177"/>
        <w:gridCol w:w="1130"/>
        <w:gridCol w:w="275"/>
        <w:gridCol w:w="60"/>
        <w:gridCol w:w="241"/>
        <w:gridCol w:w="1177"/>
        <w:gridCol w:w="78"/>
      </w:tblGrid>
      <w:tr>
        <w:trPr/>
        <w:tc>
          <w:tcPr>
            <w:tcW w:w="18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189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w:t>
              <w:br/>
              <w:t>Address of Portfolio Company</w:t>
            </w:r>
          </w:p>
        </w:tc>
        <w:tc>
          <w:tcPr>
            <w:tcW w:w="60" w:type="dxa"/>
            <w:tcBorders/>
            <w:shd w:fill="auto" w:val="clear"/>
            <w:vAlign w:val="center"/>
          </w:tcPr>
          <w:p>
            <w:pPr>
              <w:pStyle w:val="TableContents"/>
              <w:spacing w:before="0" w:after="283"/>
              <w:rPr/>
            </w:pPr>
            <w:r>
              <w:rPr/>
              <w:t> </w:t>
            </w:r>
          </w:p>
        </w:tc>
        <w:tc>
          <w:tcPr>
            <w:tcW w:w="2911"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Nature of Business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1"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Type of Investment,</w:t>
            </w:r>
          </w:p>
          <w:p>
            <w:pPr>
              <w:pStyle w:val="TableContents"/>
              <w:spacing w:before="0" w:after="20"/>
              <w:jc w:val="center"/>
              <w:rPr>
                <w:rFonts w:ascii="Times New Roman" w:hAnsi="Times New Roman"/>
                <w:b/>
                <w:sz w:val="16"/>
              </w:rPr>
            </w:pPr>
            <w:r>
              <w:rPr>
                <w:rFonts w:ascii="Times New Roman" w:hAnsi="Times New Roman"/>
                <w:b/>
                <w:sz w:val="16"/>
              </w:rPr>
              <w:t>Interest(1), Maturity</w:t>
            </w:r>
          </w:p>
        </w:tc>
        <w:tc>
          <w:tcPr>
            <w:tcW w:w="60" w:type="dxa"/>
            <w:tcBorders/>
            <w:shd w:fill="auto" w:val="clear"/>
            <w:vAlign w:val="center"/>
          </w:tcPr>
          <w:p>
            <w:pPr>
              <w:pStyle w:val="TableContents"/>
              <w:spacing w:before="0" w:after="283"/>
              <w:rPr/>
            </w:pPr>
            <w:r>
              <w:rPr/>
              <w:t> </w:t>
            </w:r>
          </w:p>
        </w:tc>
        <w:tc>
          <w:tcPr>
            <w:tcW w:w="130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Voting</w:t>
              <w:br/>
              <w:t>Percentage</w:t>
              <w:br/>
              <w:t>Ownership(2)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Fair Value</w:t>
              <w:br/>
              <w:t>(in thousands)</w:t>
            </w:r>
          </w:p>
        </w:tc>
        <w:tc>
          <w:tcPr>
            <w:tcW w:w="78" w:type="dxa"/>
            <w:tcBorders/>
            <w:shd w:fill="auto" w:val="clear"/>
            <w:vAlign w:val="center"/>
          </w:tcPr>
          <w:p>
            <w:pPr>
              <w:pStyle w:val="TableContents"/>
              <w:spacing w:before="0" w:after="283"/>
              <w:rPr/>
            </w:pPr>
            <w:r>
              <w:rPr/>
              <w:t> </w:t>
            </w:r>
          </w:p>
        </w:tc>
      </w:tr>
      <w:tr>
        <w:trPr/>
        <w:tc>
          <w:tcPr>
            <w:tcW w:w="189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Exigo Intermediate II, LLC</w:t>
            </w:r>
          </w:p>
          <w:p>
            <w:pPr>
              <w:pStyle w:val="TableContents"/>
              <w:spacing w:before="0" w:after="0"/>
              <w:rPr>
                <w:rFonts w:ascii="Times New Roman" w:hAnsi="Times New Roman"/>
                <w:sz w:val="16"/>
              </w:rPr>
            </w:pPr>
            <w:r>
              <w:rPr>
                <w:rFonts w:ascii="Times New Roman" w:hAnsi="Times New Roman"/>
                <w:sz w:val="16"/>
              </w:rPr>
              <w:t>(Exigo, LLC)</w:t>
            </w:r>
          </w:p>
          <w:p>
            <w:pPr>
              <w:pStyle w:val="TableContents"/>
              <w:spacing w:before="0" w:after="0"/>
              <w:rPr>
                <w:rFonts w:ascii="Times New Roman" w:hAnsi="Times New Roman"/>
                <w:sz w:val="16"/>
              </w:rPr>
            </w:pPr>
            <w:r>
              <w:rPr>
                <w:rFonts w:ascii="Times New Roman" w:hAnsi="Times New Roman"/>
                <w:sz w:val="16"/>
              </w:rPr>
              <w:t>1256 Main Street, Suite 256</w:t>
            </w:r>
          </w:p>
          <w:p>
            <w:pPr>
              <w:pStyle w:val="TableContents"/>
              <w:spacing w:before="0" w:after="20"/>
              <w:rPr>
                <w:rFonts w:ascii="Times New Roman" w:hAnsi="Times New Roman"/>
                <w:sz w:val="16"/>
              </w:rPr>
            </w:pPr>
            <w:r>
              <w:rPr>
                <w:rFonts w:ascii="Times New Roman" w:hAnsi="Times New Roman"/>
                <w:sz w:val="16"/>
              </w:rPr>
              <w:t>Southlake, TX 76092</w:t>
            </w:r>
          </w:p>
        </w:tc>
        <w:tc>
          <w:tcPr>
            <w:tcW w:w="60" w:type="dxa"/>
            <w:tcBorders/>
            <w:shd w:fill="CCEEFF" w:val="clear"/>
            <w:vAlign w:val="center"/>
          </w:tcPr>
          <w:p>
            <w:pPr>
              <w:pStyle w:val="TableContents"/>
              <w:spacing w:before="0" w:after="283"/>
              <w:rPr/>
            </w:pPr>
            <w:r>
              <w:rPr/>
              <w:t> </w:t>
            </w:r>
          </w:p>
        </w:tc>
        <w:tc>
          <w:tcPr>
            <w:tcW w:w="2911" w:type="dxa"/>
            <w:tcBorders/>
            <w:shd w:fill="CCEEFF" w:val="clear"/>
            <w:vAlign w:val="center"/>
          </w:tcPr>
          <w:p>
            <w:pPr>
              <w:pStyle w:val="TableContents"/>
              <w:spacing w:before="0" w:after="283"/>
              <w:jc w:val="center"/>
              <w:rPr/>
            </w:pPr>
            <w:r>
              <w:rPr/>
              <w:t>Software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61"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L+575, 03/15/2027</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w:t>
            </w:r>
          </w:p>
        </w:tc>
        <w:tc>
          <w:tcPr>
            <w:tcW w:w="1177" w:type="dxa"/>
            <w:tcBorders/>
            <w:shd w:fill="CCEEFF" w:val="clear"/>
            <w:vAlign w:val="center"/>
          </w:tcPr>
          <w:p>
            <w:pPr>
              <w:pStyle w:val="TableContents"/>
              <w:spacing w:before="0" w:after="283"/>
              <w:jc w:val="right"/>
              <w:rPr/>
            </w:pPr>
            <w:r>
              <w:rPr/>
              <w:t>559</w:t>
            </w:r>
          </w:p>
        </w:tc>
        <w:tc>
          <w:tcPr>
            <w:tcW w:w="78" w:type="dxa"/>
            <w:tcBorders/>
            <w:shd w:fill="CCEEFF"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Express Wash Topco, LLC</w:t>
            </w:r>
          </w:p>
          <w:p>
            <w:pPr>
              <w:pStyle w:val="TableContents"/>
              <w:spacing w:before="0" w:after="0"/>
              <w:rPr>
                <w:rFonts w:ascii="Times New Roman" w:hAnsi="Times New Roman"/>
                <w:sz w:val="16"/>
              </w:rPr>
            </w:pPr>
            <w:r>
              <w:rPr>
                <w:rFonts w:ascii="Times New Roman" w:hAnsi="Times New Roman"/>
                <w:sz w:val="16"/>
              </w:rPr>
              <w:t>5821 Fairview Road</w:t>
            </w:r>
          </w:p>
          <w:p>
            <w:pPr>
              <w:pStyle w:val="TableContents"/>
              <w:spacing w:before="0" w:after="20"/>
              <w:rPr>
                <w:rFonts w:ascii="Times New Roman" w:hAnsi="Times New Roman"/>
                <w:sz w:val="16"/>
              </w:rPr>
            </w:pPr>
            <w:r>
              <w:rPr>
                <w:rFonts w:ascii="Times New Roman" w:hAnsi="Times New Roman"/>
                <w:sz w:val="16"/>
              </w:rPr>
              <w:t>Charlotte, North Carolina 28209</w:t>
            </w:r>
          </w:p>
        </w:tc>
        <w:tc>
          <w:tcPr>
            <w:tcW w:w="60" w:type="dxa"/>
            <w:tcBorders/>
            <w:shd w:fill="auto" w:val="clear"/>
            <w:vAlign w:val="center"/>
          </w:tcPr>
          <w:p>
            <w:pPr>
              <w:pStyle w:val="TableContents"/>
              <w:spacing w:before="0" w:after="283"/>
              <w:rPr/>
            </w:pPr>
            <w:r>
              <w:rPr/>
              <w:t> </w:t>
            </w:r>
          </w:p>
        </w:tc>
        <w:tc>
          <w:tcPr>
            <w:tcW w:w="2911" w:type="dxa"/>
            <w:tcBorders/>
            <w:shd w:fill="auto" w:val="clear"/>
            <w:vAlign w:val="center"/>
          </w:tcPr>
          <w:p>
            <w:pPr>
              <w:pStyle w:val="TableContents"/>
              <w:spacing w:before="0" w:after="283"/>
              <w:jc w:val="center"/>
              <w:rPr/>
            </w:pPr>
            <w:r>
              <w:rPr/>
              <w:t>Automobiles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61" w:type="dxa"/>
            <w:tcBorders/>
            <w:shd w:fill="auto" w:val="clear"/>
            <w:vAlign w:val="center"/>
          </w:tcPr>
          <w:p>
            <w:pPr>
              <w:pStyle w:val="TableContents"/>
              <w:spacing w:before="0" w:after="283"/>
              <w:jc w:val="center"/>
              <w:rPr/>
            </w:pPr>
            <w:r>
              <w:rPr/>
              <w:t>Common Equity</w:t>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1.3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102</w:t>
            </w:r>
          </w:p>
        </w:tc>
        <w:tc>
          <w:tcPr>
            <w:tcW w:w="78" w:type="dxa"/>
            <w:tcBorders/>
            <w:shd w:fill="auto"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FedHC InvestCo LP(5)</w:t>
            </w:r>
          </w:p>
          <w:p>
            <w:pPr>
              <w:pStyle w:val="TableContents"/>
              <w:spacing w:before="0" w:after="0"/>
              <w:rPr>
                <w:rFonts w:ascii="Times New Roman" w:hAnsi="Times New Roman"/>
                <w:sz w:val="16"/>
              </w:rPr>
            </w:pPr>
            <w:r>
              <w:rPr>
                <w:rFonts w:ascii="Times New Roman" w:hAnsi="Times New Roman"/>
                <w:sz w:val="16"/>
              </w:rPr>
              <w:t>3100 Clarendon Blvd</w:t>
            </w:r>
          </w:p>
          <w:p>
            <w:pPr>
              <w:pStyle w:val="TableContents"/>
              <w:spacing w:before="0" w:after="20"/>
              <w:rPr>
                <w:rFonts w:ascii="Times New Roman" w:hAnsi="Times New Roman"/>
                <w:sz w:val="16"/>
              </w:rPr>
            </w:pPr>
            <w:r>
              <w:rPr>
                <w:rFonts w:ascii="Times New Roman" w:hAnsi="Times New Roman"/>
                <w:sz w:val="16"/>
              </w:rPr>
              <w:t>Arlington, VA 22201</w:t>
            </w:r>
          </w:p>
        </w:tc>
        <w:tc>
          <w:tcPr>
            <w:tcW w:w="60" w:type="dxa"/>
            <w:tcBorders/>
            <w:shd w:fill="CCEEFF" w:val="clear"/>
            <w:vAlign w:val="center"/>
          </w:tcPr>
          <w:p>
            <w:pPr>
              <w:pStyle w:val="TableContents"/>
              <w:spacing w:before="0" w:after="283"/>
              <w:rPr/>
            </w:pPr>
            <w:r>
              <w:rPr/>
              <w:t> </w:t>
            </w:r>
          </w:p>
        </w:tc>
        <w:tc>
          <w:tcPr>
            <w:tcW w:w="2911" w:type="dxa"/>
            <w:tcBorders/>
            <w:shd w:fill="CCEEFF" w:val="clear"/>
            <w:vAlign w:val="center"/>
          </w:tcPr>
          <w:p>
            <w:pPr>
              <w:pStyle w:val="TableContents"/>
              <w:spacing w:before="0" w:after="283"/>
              <w:jc w:val="center"/>
              <w:rPr/>
            </w:pPr>
            <w:r>
              <w:rPr/>
              <w:t>Aerospace and Defense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61" w:type="dxa"/>
            <w:tcBorders/>
            <w:shd w:fill="CCEEFF" w:val="clear"/>
            <w:vAlign w:val="center"/>
          </w:tcPr>
          <w:p>
            <w:pPr>
              <w:pStyle w:val="TableContents"/>
              <w:spacing w:before="0" w:after="283"/>
              <w:jc w:val="center"/>
              <w:rPr/>
            </w:pPr>
            <w:r>
              <w:rPr/>
              <w:t>Common Equity(4)</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1.0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2,142</w:t>
            </w:r>
          </w:p>
        </w:tc>
        <w:tc>
          <w:tcPr>
            <w:tcW w:w="78" w:type="dxa"/>
            <w:tcBorders/>
            <w:shd w:fill="CCEEFF"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Findex Group Limited(6)</w:t>
            </w:r>
          </w:p>
          <w:p>
            <w:pPr>
              <w:pStyle w:val="TableContents"/>
              <w:spacing w:before="0" w:after="0"/>
              <w:rPr>
                <w:rFonts w:ascii="Times New Roman" w:hAnsi="Times New Roman"/>
                <w:sz w:val="16"/>
              </w:rPr>
            </w:pPr>
            <w:r>
              <w:rPr>
                <w:rFonts w:ascii="Times New Roman" w:hAnsi="Times New Roman"/>
                <w:sz w:val="16"/>
              </w:rPr>
              <w:t>1 O’Connell Street</w:t>
            </w:r>
          </w:p>
          <w:p>
            <w:pPr>
              <w:pStyle w:val="TableContents"/>
              <w:spacing w:before="0" w:after="20"/>
              <w:rPr>
                <w:rFonts w:ascii="Times New Roman" w:hAnsi="Times New Roman"/>
                <w:sz w:val="16"/>
              </w:rPr>
            </w:pPr>
            <w:r>
              <w:rPr>
                <w:rFonts w:ascii="Times New Roman" w:hAnsi="Times New Roman"/>
                <w:sz w:val="16"/>
              </w:rPr>
              <w:t>Sydney NSW 2000, Australia</w:t>
            </w:r>
          </w:p>
        </w:tc>
        <w:tc>
          <w:tcPr>
            <w:tcW w:w="60" w:type="dxa"/>
            <w:tcBorders/>
            <w:shd w:fill="auto" w:val="clear"/>
            <w:vAlign w:val="center"/>
          </w:tcPr>
          <w:p>
            <w:pPr>
              <w:pStyle w:val="TableContents"/>
              <w:spacing w:before="0" w:after="283"/>
              <w:rPr/>
            </w:pPr>
            <w:r>
              <w:rPr/>
              <w:t> </w:t>
            </w:r>
          </w:p>
        </w:tc>
        <w:tc>
          <w:tcPr>
            <w:tcW w:w="2911" w:type="dxa"/>
            <w:tcBorders/>
            <w:shd w:fill="auto" w:val="clear"/>
            <w:vAlign w:val="center"/>
          </w:tcPr>
          <w:p>
            <w:pPr>
              <w:pStyle w:val="TableContents"/>
              <w:spacing w:before="0" w:after="283"/>
              <w:jc w:val="center"/>
              <w:rPr/>
            </w:pPr>
            <w:r>
              <w:rPr/>
              <w:t>Diversified Financial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61" w:type="dxa"/>
            <w:tcBorders/>
            <w:shd w:fill="auto" w:val="clear"/>
            <w:vAlign w:val="center"/>
          </w:tcPr>
          <w:p>
            <w:pPr>
              <w:pStyle w:val="TableContents"/>
              <w:spacing w:before="0" w:after="283"/>
              <w:jc w:val="center"/>
              <w:rPr/>
            </w:pPr>
            <w:r>
              <w:rPr/>
              <w:t>First Lien Secured Debt,</w:t>
              <w:br/>
              <w:t>3M L+450, 05/31/2024</w:t>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6,430</w:t>
            </w:r>
          </w:p>
        </w:tc>
        <w:tc>
          <w:tcPr>
            <w:tcW w:w="78" w:type="dxa"/>
            <w:tcBorders/>
            <w:shd w:fill="auto"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Gantech Acquisition Corp.</w:t>
            </w:r>
          </w:p>
          <w:p>
            <w:pPr>
              <w:pStyle w:val="TableContents"/>
              <w:spacing w:before="0" w:after="0"/>
              <w:rPr>
                <w:rFonts w:ascii="Times New Roman" w:hAnsi="Times New Roman"/>
                <w:sz w:val="16"/>
              </w:rPr>
            </w:pPr>
            <w:r>
              <w:rPr>
                <w:rFonts w:ascii="Times New Roman" w:hAnsi="Times New Roman"/>
                <w:sz w:val="16"/>
              </w:rPr>
              <w:t>(GCOM InvestCo LP (5))</w:t>
            </w:r>
          </w:p>
          <w:p>
            <w:pPr>
              <w:pStyle w:val="TableContents"/>
              <w:spacing w:before="0" w:after="0"/>
              <w:rPr>
                <w:rFonts w:ascii="Times New Roman" w:hAnsi="Times New Roman"/>
                <w:sz w:val="16"/>
              </w:rPr>
            </w:pPr>
            <w:r>
              <w:rPr>
                <w:rFonts w:ascii="Times New Roman" w:hAnsi="Times New Roman"/>
                <w:sz w:val="16"/>
              </w:rPr>
              <w:t>9175 Guilford Road, Suite 101</w:t>
            </w:r>
          </w:p>
          <w:p>
            <w:pPr>
              <w:pStyle w:val="TableContents"/>
              <w:spacing w:before="0" w:after="20"/>
              <w:rPr>
                <w:rFonts w:ascii="Times New Roman" w:hAnsi="Times New Roman"/>
                <w:sz w:val="16"/>
              </w:rPr>
            </w:pPr>
            <w:r>
              <w:rPr>
                <w:rFonts w:ascii="Times New Roman" w:hAnsi="Times New Roman"/>
                <w:sz w:val="16"/>
              </w:rPr>
              <w:t>Columbia, MD 21046</w:t>
            </w:r>
          </w:p>
        </w:tc>
        <w:tc>
          <w:tcPr>
            <w:tcW w:w="60" w:type="dxa"/>
            <w:tcBorders/>
            <w:shd w:fill="CCEEFF" w:val="clear"/>
            <w:vAlign w:val="center"/>
          </w:tcPr>
          <w:p>
            <w:pPr>
              <w:pStyle w:val="TableContents"/>
              <w:spacing w:before="0" w:after="283"/>
              <w:rPr/>
            </w:pPr>
            <w:r>
              <w:rPr/>
              <w:t> </w:t>
            </w:r>
          </w:p>
        </w:tc>
        <w:tc>
          <w:tcPr>
            <w:tcW w:w="2911" w:type="dxa"/>
            <w:tcBorders/>
            <w:shd w:fill="CCEEFF" w:val="clear"/>
            <w:vAlign w:val="center"/>
          </w:tcPr>
          <w:p>
            <w:pPr>
              <w:pStyle w:val="TableContents"/>
              <w:spacing w:before="0" w:after="283"/>
              <w:jc w:val="center"/>
              <w:rPr/>
            </w:pPr>
            <w:r>
              <w:rPr/>
              <w:t>IT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61"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1M L+625, 05/14/2026</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3.9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26,085</w:t>
            </w:r>
          </w:p>
        </w:tc>
        <w:tc>
          <w:tcPr>
            <w:tcW w:w="78" w:type="dxa"/>
            <w:tcBorders/>
            <w:shd w:fill="CCEEFF"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Global Holdings InterCo LLC</w:t>
            </w:r>
          </w:p>
          <w:p>
            <w:pPr>
              <w:pStyle w:val="TableContents"/>
              <w:spacing w:before="0" w:after="0"/>
              <w:rPr>
                <w:rFonts w:ascii="Times New Roman" w:hAnsi="Times New Roman"/>
                <w:sz w:val="16"/>
              </w:rPr>
            </w:pPr>
            <w:r>
              <w:rPr>
                <w:rFonts w:ascii="Times New Roman" w:hAnsi="Times New Roman"/>
                <w:sz w:val="16"/>
              </w:rPr>
              <w:t>4343 South 118th East Ave Suite 220</w:t>
            </w:r>
          </w:p>
          <w:p>
            <w:pPr>
              <w:pStyle w:val="TableContents"/>
              <w:spacing w:before="0" w:after="20"/>
              <w:rPr>
                <w:rFonts w:ascii="Times New Roman" w:hAnsi="Times New Roman"/>
                <w:sz w:val="16"/>
              </w:rPr>
            </w:pPr>
            <w:r>
              <w:rPr>
                <w:rFonts w:ascii="Times New Roman" w:hAnsi="Times New Roman"/>
                <w:sz w:val="16"/>
              </w:rPr>
              <w:t>Tulsa, OK 74146</w:t>
            </w:r>
          </w:p>
        </w:tc>
        <w:tc>
          <w:tcPr>
            <w:tcW w:w="60" w:type="dxa"/>
            <w:tcBorders/>
            <w:shd w:fill="auto" w:val="clear"/>
            <w:vAlign w:val="center"/>
          </w:tcPr>
          <w:p>
            <w:pPr>
              <w:pStyle w:val="TableContents"/>
              <w:spacing w:before="0" w:after="283"/>
              <w:rPr/>
            </w:pPr>
            <w:r>
              <w:rPr/>
              <w:t> </w:t>
            </w:r>
          </w:p>
        </w:tc>
        <w:tc>
          <w:tcPr>
            <w:tcW w:w="2911" w:type="dxa"/>
            <w:tcBorders/>
            <w:shd w:fill="auto" w:val="clear"/>
            <w:vAlign w:val="center"/>
          </w:tcPr>
          <w:p>
            <w:pPr>
              <w:pStyle w:val="TableContents"/>
              <w:spacing w:before="0" w:after="283"/>
              <w:jc w:val="center"/>
              <w:rPr/>
            </w:pPr>
            <w:r>
              <w:rPr/>
              <w:t>Diversified Financial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61" w:type="dxa"/>
            <w:tcBorders/>
            <w:shd w:fill="auto" w:val="clear"/>
            <w:vAlign w:val="center"/>
          </w:tcPr>
          <w:p>
            <w:pPr>
              <w:pStyle w:val="TableContents"/>
              <w:spacing w:before="0" w:after="283"/>
              <w:jc w:val="center"/>
              <w:rPr/>
            </w:pPr>
            <w:r>
              <w:rPr/>
              <w:t>First Lien Secured Debt,</w:t>
              <w:br/>
              <w:t>3M L+600, 03/16/2026</w:t>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3,273</w:t>
            </w:r>
          </w:p>
        </w:tc>
        <w:tc>
          <w:tcPr>
            <w:tcW w:w="78" w:type="dxa"/>
            <w:tcBorders/>
            <w:shd w:fill="auto"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Graffiti Buyer, Inc.</w:t>
            </w:r>
          </w:p>
          <w:p>
            <w:pPr>
              <w:pStyle w:val="TableContents"/>
              <w:spacing w:before="0" w:after="0"/>
              <w:rPr>
                <w:rFonts w:ascii="Times New Roman" w:hAnsi="Times New Roman"/>
                <w:sz w:val="16"/>
              </w:rPr>
            </w:pPr>
            <w:r>
              <w:rPr>
                <w:rFonts w:ascii="Times New Roman" w:hAnsi="Times New Roman"/>
                <w:sz w:val="16"/>
              </w:rPr>
              <w:t>25195 Brest Road</w:t>
            </w:r>
          </w:p>
          <w:p>
            <w:pPr>
              <w:pStyle w:val="TableContents"/>
              <w:spacing w:before="0" w:after="20"/>
              <w:rPr>
                <w:rFonts w:ascii="Times New Roman" w:hAnsi="Times New Roman"/>
                <w:sz w:val="16"/>
              </w:rPr>
            </w:pPr>
            <w:r>
              <w:rPr>
                <w:rFonts w:ascii="Times New Roman" w:hAnsi="Times New Roman"/>
                <w:sz w:val="16"/>
              </w:rPr>
              <w:t>Taylor, MI 48180</w:t>
            </w:r>
          </w:p>
        </w:tc>
        <w:tc>
          <w:tcPr>
            <w:tcW w:w="60" w:type="dxa"/>
            <w:tcBorders/>
            <w:shd w:fill="CCEEFF" w:val="clear"/>
            <w:vAlign w:val="center"/>
          </w:tcPr>
          <w:p>
            <w:pPr>
              <w:pStyle w:val="TableContents"/>
              <w:spacing w:before="0" w:after="283"/>
              <w:rPr/>
            </w:pPr>
            <w:r>
              <w:rPr/>
              <w:t> </w:t>
            </w:r>
          </w:p>
        </w:tc>
        <w:tc>
          <w:tcPr>
            <w:tcW w:w="2911" w:type="dxa"/>
            <w:tcBorders/>
            <w:shd w:fill="CCEEFF" w:val="clear"/>
            <w:vAlign w:val="center"/>
          </w:tcPr>
          <w:p>
            <w:pPr>
              <w:pStyle w:val="TableContents"/>
              <w:spacing w:before="0" w:after="283"/>
              <w:jc w:val="center"/>
              <w:rPr/>
            </w:pPr>
            <w:r>
              <w:rPr/>
              <w:t>Trading Companies &amp; Distributors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61" w:type="dxa"/>
            <w:tcBorders/>
            <w:shd w:fill="CCEEFF" w:val="clear"/>
            <w:vAlign w:val="center"/>
          </w:tcPr>
          <w:p>
            <w:pPr>
              <w:pStyle w:val="TableContents"/>
              <w:spacing w:before="0" w:after="283"/>
              <w:jc w:val="center"/>
              <w:rPr/>
            </w:pPr>
            <w:r>
              <w:rPr/>
              <w:t>First Lien Secured Debt(4),</w:t>
              <w:br/>
              <w:t>3M L+575, 08/10/2027</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359</w:t>
            </w:r>
          </w:p>
        </w:tc>
        <w:tc>
          <w:tcPr>
            <w:tcW w:w="78" w:type="dxa"/>
            <w:tcBorders/>
            <w:shd w:fill="CCEEFF"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Hancock Roofing and Construction L.L.C.</w:t>
            </w:r>
          </w:p>
          <w:p>
            <w:pPr>
              <w:pStyle w:val="TableContents"/>
              <w:spacing w:before="0" w:after="0"/>
              <w:rPr>
                <w:rFonts w:ascii="Times New Roman" w:hAnsi="Times New Roman"/>
                <w:sz w:val="16"/>
              </w:rPr>
            </w:pPr>
            <w:r>
              <w:rPr>
                <w:rFonts w:ascii="Times New Roman" w:hAnsi="Times New Roman"/>
                <w:sz w:val="16"/>
              </w:rPr>
              <w:t>(Hancock Claims Consultants</w:t>
            </w:r>
          </w:p>
          <w:p>
            <w:pPr>
              <w:pStyle w:val="TableContents"/>
              <w:spacing w:before="0" w:after="0"/>
              <w:rPr>
                <w:rFonts w:ascii="Times New Roman" w:hAnsi="Times New Roman"/>
                <w:sz w:val="16"/>
              </w:rPr>
            </w:pPr>
            <w:r>
              <w:rPr>
                <w:rFonts w:ascii="Times New Roman" w:hAnsi="Times New Roman"/>
                <w:sz w:val="16"/>
              </w:rPr>
              <w:t>Investors, LLC (5))</w:t>
            </w:r>
          </w:p>
          <w:p>
            <w:pPr>
              <w:pStyle w:val="TableContents"/>
              <w:spacing w:before="0" w:after="0"/>
              <w:rPr>
                <w:rFonts w:ascii="Times New Roman" w:hAnsi="Times New Roman"/>
                <w:sz w:val="16"/>
              </w:rPr>
            </w:pPr>
            <w:r>
              <w:rPr>
                <w:rFonts w:ascii="Times New Roman" w:hAnsi="Times New Roman"/>
                <w:sz w:val="16"/>
              </w:rPr>
              <w:t>6875 Shiloh Rd. East</w:t>
            </w:r>
          </w:p>
          <w:p>
            <w:pPr>
              <w:pStyle w:val="TableContents"/>
              <w:spacing w:before="0" w:after="20"/>
              <w:rPr>
                <w:rFonts w:ascii="Times New Roman" w:hAnsi="Times New Roman"/>
                <w:sz w:val="16"/>
              </w:rPr>
            </w:pPr>
            <w:r>
              <w:rPr>
                <w:rFonts w:ascii="Times New Roman" w:hAnsi="Times New Roman"/>
                <w:sz w:val="16"/>
              </w:rPr>
              <w:t>Alpharetta, GA 30005</w:t>
            </w:r>
          </w:p>
        </w:tc>
        <w:tc>
          <w:tcPr>
            <w:tcW w:w="60" w:type="dxa"/>
            <w:tcBorders/>
            <w:shd w:fill="auto" w:val="clear"/>
            <w:vAlign w:val="center"/>
          </w:tcPr>
          <w:p>
            <w:pPr>
              <w:pStyle w:val="TableContents"/>
              <w:spacing w:before="0" w:after="283"/>
              <w:rPr/>
            </w:pPr>
            <w:r>
              <w:rPr/>
              <w:t> </w:t>
            </w:r>
          </w:p>
        </w:tc>
        <w:tc>
          <w:tcPr>
            <w:tcW w:w="2911" w:type="dxa"/>
            <w:tcBorders/>
            <w:shd w:fill="auto" w:val="clear"/>
            <w:vAlign w:val="center"/>
          </w:tcPr>
          <w:p>
            <w:pPr>
              <w:pStyle w:val="TableContents"/>
              <w:spacing w:before="0" w:after="283"/>
              <w:jc w:val="center"/>
              <w:rPr/>
            </w:pPr>
            <w:r>
              <w:rPr/>
              <w:t>Insurance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61" w:type="dxa"/>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L+500, 12/31/2026</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0.4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5,104</w:t>
            </w:r>
          </w:p>
        </w:tc>
        <w:tc>
          <w:tcPr>
            <w:tcW w:w="78" w:type="dxa"/>
            <w:tcBorders/>
            <w:shd w:fill="auto"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Holdco Sands Intermediate, LLC</w:t>
            </w:r>
          </w:p>
          <w:p>
            <w:pPr>
              <w:pStyle w:val="TableContents"/>
              <w:spacing w:before="0" w:after="0"/>
              <w:rPr>
                <w:rFonts w:ascii="Times New Roman" w:hAnsi="Times New Roman"/>
                <w:sz w:val="16"/>
              </w:rPr>
            </w:pPr>
            <w:r>
              <w:rPr>
                <w:rFonts w:ascii="Times New Roman" w:hAnsi="Times New Roman"/>
                <w:sz w:val="16"/>
              </w:rPr>
              <w:t>(OceanSound Discovery Equity, LP (5))</w:t>
            </w:r>
          </w:p>
          <w:p>
            <w:pPr>
              <w:pStyle w:val="TableContents"/>
              <w:spacing w:before="0" w:after="0"/>
              <w:rPr>
                <w:rFonts w:ascii="Times New Roman" w:hAnsi="Times New Roman"/>
                <w:sz w:val="16"/>
              </w:rPr>
            </w:pPr>
            <w:r>
              <w:rPr>
                <w:rFonts w:ascii="Times New Roman" w:hAnsi="Times New Roman"/>
                <w:sz w:val="16"/>
              </w:rPr>
              <w:t>44150 Smartronix Way, STE 200</w:t>
            </w:r>
          </w:p>
          <w:p>
            <w:pPr>
              <w:pStyle w:val="TableContents"/>
              <w:spacing w:before="0" w:after="20"/>
              <w:rPr>
                <w:rFonts w:ascii="Times New Roman" w:hAnsi="Times New Roman"/>
                <w:sz w:val="16"/>
              </w:rPr>
            </w:pPr>
            <w:r>
              <w:rPr>
                <w:rFonts w:ascii="Times New Roman" w:hAnsi="Times New Roman"/>
                <w:sz w:val="16"/>
              </w:rPr>
              <w:t>Hollywood, MD 20636</w:t>
            </w:r>
          </w:p>
        </w:tc>
        <w:tc>
          <w:tcPr>
            <w:tcW w:w="60" w:type="dxa"/>
            <w:tcBorders/>
            <w:shd w:fill="CCEEFF" w:val="clear"/>
            <w:vAlign w:val="center"/>
          </w:tcPr>
          <w:p>
            <w:pPr>
              <w:pStyle w:val="TableContents"/>
              <w:spacing w:before="0" w:after="283"/>
              <w:rPr/>
            </w:pPr>
            <w:r>
              <w:rPr/>
              <w:t> </w:t>
            </w:r>
          </w:p>
        </w:tc>
        <w:tc>
          <w:tcPr>
            <w:tcW w:w="2911" w:type="dxa"/>
            <w:tcBorders/>
            <w:shd w:fill="CCEEFF" w:val="clear"/>
            <w:vAlign w:val="center"/>
          </w:tcPr>
          <w:p>
            <w:pPr>
              <w:pStyle w:val="TableContents"/>
              <w:spacing w:before="0" w:after="283"/>
              <w:jc w:val="center"/>
              <w:rPr/>
            </w:pPr>
            <w:r>
              <w:rPr/>
              <w:t>Aerospace and Defense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61" w:type="dxa"/>
            <w:tcBorders/>
            <w:shd w:fill="CCEEFF" w:val="clear"/>
            <w:vAlign w:val="center"/>
          </w:tcPr>
          <w:p>
            <w:pPr>
              <w:pStyle w:val="TableContents"/>
              <w:spacing w:before="0" w:after="283"/>
              <w:jc w:val="center"/>
              <w:rPr/>
            </w:pPr>
            <w:r>
              <w:rPr/>
              <w:t>First Lien Secured Debt(4),</w:t>
              <w:br/>
              <w:t>3M L+600, 11/23/2028</w:t>
              <w:br/>
              <w:t>Common Equity</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2.1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7,744</w:t>
            </w:r>
          </w:p>
        </w:tc>
        <w:tc>
          <w:tcPr>
            <w:tcW w:w="78" w:type="dxa"/>
            <w:tcBorders/>
            <w:shd w:fill="CCEEFF"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HV Watterson Holdings, LLC</w:t>
            </w:r>
          </w:p>
          <w:p>
            <w:pPr>
              <w:pStyle w:val="TableContents"/>
              <w:spacing w:before="0" w:after="0"/>
              <w:rPr>
                <w:rFonts w:ascii="Times New Roman" w:hAnsi="Times New Roman"/>
                <w:sz w:val="16"/>
              </w:rPr>
            </w:pPr>
            <w:r>
              <w:rPr>
                <w:rFonts w:ascii="Times New Roman" w:hAnsi="Times New Roman"/>
                <w:sz w:val="16"/>
              </w:rPr>
              <w:t>1821 Walden Office Square Unit 111</w:t>
            </w:r>
          </w:p>
          <w:p>
            <w:pPr>
              <w:pStyle w:val="TableContents"/>
              <w:spacing w:before="0" w:after="20"/>
              <w:rPr>
                <w:rFonts w:ascii="Times New Roman" w:hAnsi="Times New Roman"/>
                <w:sz w:val="16"/>
              </w:rPr>
            </w:pPr>
            <w:r>
              <w:rPr>
                <w:rFonts w:ascii="Times New Roman" w:hAnsi="Times New Roman"/>
                <w:sz w:val="16"/>
              </w:rPr>
              <w:t>Schaumburg, IL 60173</w:t>
            </w:r>
          </w:p>
        </w:tc>
        <w:tc>
          <w:tcPr>
            <w:tcW w:w="60" w:type="dxa"/>
            <w:tcBorders/>
            <w:shd w:fill="auto" w:val="clear"/>
            <w:vAlign w:val="center"/>
          </w:tcPr>
          <w:p>
            <w:pPr>
              <w:pStyle w:val="TableContents"/>
              <w:spacing w:before="0" w:after="283"/>
              <w:rPr/>
            </w:pPr>
            <w:r>
              <w:rPr/>
              <w:t> </w:t>
            </w:r>
          </w:p>
        </w:tc>
        <w:tc>
          <w:tcPr>
            <w:tcW w:w="2911" w:type="dxa"/>
            <w:tcBorders/>
            <w:shd w:fill="auto" w:val="clear"/>
            <w:vAlign w:val="center"/>
          </w:tcPr>
          <w:p>
            <w:pPr>
              <w:pStyle w:val="TableContents"/>
              <w:spacing w:before="0" w:after="283"/>
              <w:jc w:val="center"/>
              <w:rPr/>
            </w:pPr>
            <w:r>
              <w:rPr/>
              <w:t>Professional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61" w:type="dxa"/>
            <w:tcBorders/>
            <w:shd w:fill="auto" w:val="clear"/>
            <w:vAlign w:val="center"/>
          </w:tcPr>
          <w:p>
            <w:pPr>
              <w:pStyle w:val="TableContents"/>
              <w:spacing w:before="0" w:after="283"/>
              <w:jc w:val="center"/>
              <w:rPr/>
            </w:pPr>
            <w:r>
              <w:rPr/>
              <w:t>Common Equity</w:t>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0.1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87</w:t>
            </w:r>
          </w:p>
        </w:tc>
        <w:tc>
          <w:tcPr>
            <w:tcW w:w="78" w:type="dxa"/>
            <w:tcBorders/>
            <w:shd w:fill="auto"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HW Holdco, LLC</w:t>
            </w:r>
          </w:p>
          <w:p>
            <w:pPr>
              <w:pStyle w:val="TableContents"/>
              <w:spacing w:before="0" w:after="0"/>
              <w:rPr>
                <w:rFonts w:ascii="Times New Roman" w:hAnsi="Times New Roman"/>
                <w:sz w:val="16"/>
              </w:rPr>
            </w:pPr>
            <w:r>
              <w:rPr>
                <w:rFonts w:ascii="Times New Roman" w:hAnsi="Times New Roman"/>
                <w:sz w:val="16"/>
              </w:rPr>
              <w:t>4000 MacArthur, Suite 400</w:t>
            </w:r>
          </w:p>
          <w:p>
            <w:pPr>
              <w:pStyle w:val="TableContents"/>
              <w:spacing w:before="0" w:after="20"/>
              <w:rPr>
                <w:rFonts w:ascii="Times New Roman" w:hAnsi="Times New Roman"/>
                <w:sz w:val="16"/>
              </w:rPr>
            </w:pPr>
            <w:r>
              <w:rPr>
                <w:rFonts w:ascii="Times New Roman" w:hAnsi="Times New Roman"/>
                <w:sz w:val="16"/>
              </w:rPr>
              <w:t>Newport Beach, CA 92660</w:t>
            </w:r>
          </w:p>
        </w:tc>
        <w:tc>
          <w:tcPr>
            <w:tcW w:w="60" w:type="dxa"/>
            <w:tcBorders/>
            <w:shd w:fill="CCEEFF" w:val="clear"/>
            <w:vAlign w:val="center"/>
          </w:tcPr>
          <w:p>
            <w:pPr>
              <w:pStyle w:val="TableContents"/>
              <w:spacing w:before="0" w:after="283"/>
              <w:rPr/>
            </w:pPr>
            <w:r>
              <w:rPr/>
              <w:t> </w:t>
            </w:r>
          </w:p>
        </w:tc>
        <w:tc>
          <w:tcPr>
            <w:tcW w:w="2911" w:type="dxa"/>
            <w:tcBorders/>
            <w:shd w:fill="CCEEFF" w:val="clear"/>
            <w:vAlign w:val="center"/>
          </w:tcPr>
          <w:p>
            <w:pPr>
              <w:pStyle w:val="TableContents"/>
              <w:spacing w:before="0" w:after="283"/>
              <w:jc w:val="center"/>
              <w:rPr/>
            </w:pPr>
            <w:r>
              <w:rPr/>
              <w:t>Media</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61" w:type="dxa"/>
            <w:tcBorders/>
            <w:shd w:fill="CCEEFF" w:val="clear"/>
            <w:vAlign w:val="center"/>
          </w:tcPr>
          <w:p>
            <w:pPr>
              <w:pStyle w:val="TableContents"/>
              <w:spacing w:before="0" w:after="283"/>
              <w:jc w:val="center"/>
              <w:rPr/>
            </w:pPr>
            <w:r>
              <w:rPr/>
              <w:t>First Lien Secured Debt(4),</w:t>
              <w:br/>
              <w:t>1M L+500, 12/10/2024</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8,329</w:t>
            </w:r>
          </w:p>
        </w:tc>
        <w:tc>
          <w:tcPr>
            <w:tcW w:w="78" w:type="dxa"/>
            <w:tcBorders/>
            <w:shd w:fill="CCEEFF"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Icon Partners V C, L.P.</w:t>
            </w:r>
          </w:p>
          <w:p>
            <w:pPr>
              <w:pStyle w:val="TableContents"/>
              <w:spacing w:before="0" w:after="0"/>
              <w:rPr>
                <w:rFonts w:ascii="Times New Roman" w:hAnsi="Times New Roman"/>
                <w:sz w:val="16"/>
              </w:rPr>
            </w:pPr>
            <w:r>
              <w:rPr>
                <w:rFonts w:ascii="Times New Roman" w:hAnsi="Times New Roman"/>
                <w:sz w:val="16"/>
              </w:rPr>
              <w:t>315 Capitol St Suite 100</w:t>
            </w:r>
          </w:p>
          <w:p>
            <w:pPr>
              <w:pStyle w:val="TableContents"/>
              <w:spacing w:before="0" w:after="20"/>
              <w:rPr>
                <w:rFonts w:ascii="Times New Roman" w:hAnsi="Times New Roman"/>
                <w:sz w:val="16"/>
              </w:rPr>
            </w:pPr>
            <w:r>
              <w:rPr>
                <w:rFonts w:ascii="Times New Roman" w:hAnsi="Times New Roman"/>
                <w:sz w:val="16"/>
              </w:rPr>
              <w:t>Houston, TX 77002</w:t>
            </w:r>
          </w:p>
        </w:tc>
        <w:tc>
          <w:tcPr>
            <w:tcW w:w="60" w:type="dxa"/>
            <w:tcBorders/>
            <w:shd w:fill="auto" w:val="clear"/>
            <w:vAlign w:val="center"/>
          </w:tcPr>
          <w:p>
            <w:pPr>
              <w:pStyle w:val="TableContents"/>
              <w:spacing w:before="0" w:after="283"/>
              <w:rPr/>
            </w:pPr>
            <w:r>
              <w:rPr/>
              <w:t> </w:t>
            </w:r>
          </w:p>
        </w:tc>
        <w:tc>
          <w:tcPr>
            <w:tcW w:w="2911" w:type="dxa"/>
            <w:tcBorders/>
            <w:shd w:fill="auto" w:val="clear"/>
            <w:vAlign w:val="center"/>
          </w:tcPr>
          <w:p>
            <w:pPr>
              <w:pStyle w:val="TableContents"/>
              <w:spacing w:before="0" w:after="283"/>
              <w:jc w:val="center"/>
              <w:rPr/>
            </w:pPr>
            <w:r>
              <w:rPr/>
              <w:t>Internet Software and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61" w:type="dxa"/>
            <w:tcBorders/>
            <w:shd w:fill="auto" w:val="clear"/>
            <w:vAlign w:val="center"/>
          </w:tcPr>
          <w:p>
            <w:pPr>
              <w:pStyle w:val="TableContents"/>
              <w:spacing w:before="0" w:after="283"/>
              <w:jc w:val="center"/>
              <w:rPr/>
            </w:pPr>
            <w:r>
              <w:rPr/>
              <w:t>Common Equity(4)</w:t>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0.1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1,989</w:t>
            </w:r>
          </w:p>
        </w:tc>
        <w:tc>
          <w:tcPr>
            <w:tcW w:w="78" w:type="dxa"/>
            <w:tcBorders/>
            <w:shd w:fill="auto"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IDC Infusion Services, Inc.</w:t>
            </w:r>
          </w:p>
          <w:p>
            <w:pPr>
              <w:pStyle w:val="TableContents"/>
              <w:spacing w:before="0" w:after="0"/>
              <w:rPr>
                <w:rFonts w:ascii="Times New Roman" w:hAnsi="Times New Roman"/>
                <w:sz w:val="16"/>
              </w:rPr>
            </w:pPr>
            <w:r>
              <w:rPr>
                <w:rFonts w:ascii="Times New Roman" w:hAnsi="Times New Roman"/>
                <w:sz w:val="16"/>
              </w:rPr>
              <w:t>(ITC Infusion Co-Invest, LP)</w:t>
            </w:r>
          </w:p>
          <w:p>
            <w:pPr>
              <w:pStyle w:val="TableContents"/>
              <w:spacing w:before="0" w:after="0"/>
              <w:rPr>
                <w:rFonts w:ascii="Times New Roman" w:hAnsi="Times New Roman"/>
                <w:sz w:val="16"/>
              </w:rPr>
            </w:pPr>
            <w:r>
              <w:rPr>
                <w:rFonts w:ascii="Times New Roman" w:hAnsi="Times New Roman"/>
                <w:sz w:val="16"/>
              </w:rPr>
              <w:t>3609 Park East Drive</w:t>
            </w:r>
          </w:p>
          <w:p>
            <w:pPr>
              <w:pStyle w:val="TableContents"/>
              <w:spacing w:before="0" w:after="20"/>
              <w:rPr>
                <w:rFonts w:ascii="Times New Roman" w:hAnsi="Times New Roman"/>
                <w:sz w:val="16"/>
              </w:rPr>
            </w:pPr>
            <w:r>
              <w:rPr>
                <w:rFonts w:ascii="Times New Roman" w:hAnsi="Times New Roman"/>
                <w:sz w:val="16"/>
              </w:rPr>
              <w:t>Beachwood, OH 44122</w:t>
            </w:r>
          </w:p>
        </w:tc>
        <w:tc>
          <w:tcPr>
            <w:tcW w:w="60" w:type="dxa"/>
            <w:tcBorders/>
            <w:shd w:fill="CCEEFF" w:val="clear"/>
            <w:vAlign w:val="center"/>
          </w:tcPr>
          <w:p>
            <w:pPr>
              <w:pStyle w:val="TableContents"/>
              <w:spacing w:before="0" w:after="283"/>
              <w:rPr/>
            </w:pPr>
            <w:r>
              <w:rPr/>
              <w:t> </w:t>
            </w:r>
          </w:p>
        </w:tc>
        <w:tc>
          <w:tcPr>
            <w:tcW w:w="2911" w:type="dxa"/>
            <w:tcBorders/>
            <w:shd w:fill="CCEEFF" w:val="clear"/>
            <w:vAlign w:val="center"/>
          </w:tcPr>
          <w:p>
            <w:pPr>
              <w:pStyle w:val="TableContents"/>
              <w:spacing w:before="0" w:after="283"/>
              <w:jc w:val="center"/>
              <w:rPr/>
            </w:pPr>
            <w:r>
              <w:rPr/>
              <w:t>Healthcare Equipment and Supplies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61" w:type="dxa"/>
            <w:tcBorders/>
            <w:shd w:fill="CCEEFF" w:val="clear"/>
            <w:vAlign w:val="center"/>
          </w:tcPr>
          <w:p>
            <w:pPr>
              <w:pStyle w:val="TableContents"/>
              <w:spacing w:before="0" w:after="283"/>
              <w:jc w:val="center"/>
              <w:rPr/>
            </w:pPr>
            <w:r>
              <w:rPr/>
              <w:t>First Lien Secured Debt(4),</w:t>
              <w:br/>
              <w:t>3M L+700, 12/30/2026</w:t>
            </w:r>
          </w:p>
        </w:tc>
        <w:tc>
          <w:tcPr>
            <w:tcW w:w="60"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3.4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1" w:type="dxa"/>
            <w:tcBorders/>
            <w:shd w:fill="CCEEFF" w:val="clear"/>
            <w:vAlign w:val="center"/>
          </w:tcPr>
          <w:p>
            <w:pPr>
              <w:pStyle w:val="TableContents"/>
              <w:spacing w:before="0" w:after="283"/>
              <w:rPr/>
            </w:pPr>
            <w:r>
              <w:rPr/>
              <w:t> </w:t>
            </w:r>
          </w:p>
        </w:tc>
        <w:tc>
          <w:tcPr>
            <w:tcW w:w="1177" w:type="dxa"/>
            <w:tcBorders/>
            <w:shd w:fill="CCEEFF" w:val="clear"/>
            <w:vAlign w:val="center"/>
          </w:tcPr>
          <w:p>
            <w:pPr>
              <w:pStyle w:val="TableContents"/>
              <w:spacing w:before="0" w:after="283"/>
              <w:jc w:val="right"/>
              <w:rPr/>
            </w:pPr>
            <w:r>
              <w:rPr/>
              <w:t>6,175</w:t>
            </w:r>
          </w:p>
        </w:tc>
        <w:tc>
          <w:tcPr>
            <w:tcW w:w="78" w:type="dxa"/>
            <w:tcBorders/>
            <w:shd w:fill="CCEEFF"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29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21" w:type="dxa"/>
            <w:gridSpan w:val="2"/>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IG Investments Holdings, LLC</w:t>
            </w:r>
          </w:p>
          <w:p>
            <w:pPr>
              <w:pStyle w:val="TableContents"/>
              <w:spacing w:before="0" w:after="0"/>
              <w:rPr>
                <w:rFonts w:ascii="Times New Roman" w:hAnsi="Times New Roman"/>
                <w:sz w:val="16"/>
              </w:rPr>
            </w:pPr>
            <w:r>
              <w:rPr>
                <w:rFonts w:ascii="Times New Roman" w:hAnsi="Times New Roman"/>
                <w:sz w:val="16"/>
              </w:rPr>
              <w:t>1224 Hammond Drive, Suite 1500</w:t>
            </w:r>
          </w:p>
          <w:p>
            <w:pPr>
              <w:pStyle w:val="TableContents"/>
              <w:spacing w:before="0" w:after="20"/>
              <w:rPr>
                <w:rFonts w:ascii="Times New Roman" w:hAnsi="Times New Roman"/>
                <w:sz w:val="16"/>
              </w:rPr>
            </w:pPr>
            <w:r>
              <w:rPr>
                <w:rFonts w:ascii="Times New Roman" w:hAnsi="Times New Roman"/>
                <w:sz w:val="16"/>
              </w:rPr>
              <w:t>Atlanta, GA 30346</w:t>
            </w:r>
          </w:p>
        </w:tc>
        <w:tc>
          <w:tcPr>
            <w:tcW w:w="60" w:type="dxa"/>
            <w:tcBorders/>
            <w:shd w:fill="auto" w:val="clear"/>
            <w:vAlign w:val="center"/>
          </w:tcPr>
          <w:p>
            <w:pPr>
              <w:pStyle w:val="TableContents"/>
              <w:spacing w:before="0" w:after="283"/>
              <w:rPr/>
            </w:pPr>
            <w:r>
              <w:rPr/>
              <w:t> </w:t>
            </w:r>
          </w:p>
        </w:tc>
        <w:tc>
          <w:tcPr>
            <w:tcW w:w="2911" w:type="dxa"/>
            <w:tcBorders/>
            <w:shd w:fill="auto" w:val="clear"/>
            <w:vAlign w:val="center"/>
          </w:tcPr>
          <w:p>
            <w:pPr>
              <w:pStyle w:val="TableContents"/>
              <w:spacing w:before="0" w:after="283"/>
              <w:jc w:val="center"/>
              <w:rPr/>
            </w:pPr>
            <w:r>
              <w:rPr/>
              <w:t>Professional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61" w:type="dxa"/>
            <w:tcBorders/>
            <w:shd w:fill="auto" w:val="clear"/>
            <w:vAlign w:val="center"/>
          </w:tcPr>
          <w:p>
            <w:pPr>
              <w:pStyle w:val="TableContents"/>
              <w:spacing w:before="0" w:after="283"/>
              <w:jc w:val="center"/>
              <w:rPr/>
            </w:pPr>
            <w:r>
              <w:rPr/>
              <w:t>First Lien Secured Debt(4),</w:t>
              <w:br/>
              <w:t>3M L+600, 09/22/2028</w:t>
            </w:r>
          </w:p>
        </w:tc>
        <w:tc>
          <w:tcPr>
            <w:tcW w:w="60"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4,424</w:t>
            </w:r>
          </w:p>
        </w:tc>
        <w:tc>
          <w:tcPr>
            <w:tcW w:w="78"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2025"/>
        <w:gridCol w:w="60"/>
        <w:gridCol w:w="2571"/>
        <w:gridCol w:w="60"/>
        <w:gridCol w:w="60"/>
        <w:gridCol w:w="60"/>
        <w:gridCol w:w="2132"/>
        <w:gridCol w:w="60"/>
        <w:gridCol w:w="181"/>
        <w:gridCol w:w="1154"/>
        <w:gridCol w:w="275"/>
        <w:gridCol w:w="60"/>
        <w:gridCol w:w="243"/>
        <w:gridCol w:w="1186"/>
        <w:gridCol w:w="78"/>
      </w:tblGrid>
      <w:tr>
        <w:trPr/>
        <w:tc>
          <w:tcPr>
            <w:tcW w:w="2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202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w:t>
              <w:br/>
              <w:t>Address of Portfolio Company</w:t>
            </w:r>
          </w:p>
        </w:tc>
        <w:tc>
          <w:tcPr>
            <w:tcW w:w="60" w:type="dxa"/>
            <w:tcBorders/>
            <w:shd w:fill="auto" w:val="clear"/>
            <w:vAlign w:val="center"/>
          </w:tcPr>
          <w:p>
            <w:pPr>
              <w:pStyle w:val="TableContents"/>
              <w:spacing w:before="0" w:after="283"/>
              <w:rPr/>
            </w:pPr>
            <w:r>
              <w:rPr/>
              <w:t> </w:t>
            </w:r>
          </w:p>
        </w:tc>
        <w:tc>
          <w:tcPr>
            <w:tcW w:w="2571"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Nature of Business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2"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Type of Investment,</w:t>
            </w:r>
          </w:p>
          <w:p>
            <w:pPr>
              <w:pStyle w:val="TableContents"/>
              <w:spacing w:before="0" w:after="20"/>
              <w:jc w:val="center"/>
              <w:rPr>
                <w:rFonts w:ascii="Times New Roman" w:hAnsi="Times New Roman"/>
                <w:b/>
                <w:sz w:val="16"/>
              </w:rPr>
            </w:pPr>
            <w:r>
              <w:rPr>
                <w:rFonts w:ascii="Times New Roman" w:hAnsi="Times New Roman"/>
                <w:b/>
                <w:sz w:val="16"/>
              </w:rPr>
              <w:t>Interest(1), Maturity</w:t>
            </w:r>
          </w:p>
        </w:tc>
        <w:tc>
          <w:tcPr>
            <w:tcW w:w="60" w:type="dxa"/>
            <w:tcBorders/>
            <w:shd w:fill="auto" w:val="clear"/>
            <w:vAlign w:val="center"/>
          </w:tcPr>
          <w:p>
            <w:pPr>
              <w:pStyle w:val="TableContents"/>
              <w:spacing w:before="0" w:after="283"/>
              <w:rPr/>
            </w:pPr>
            <w:r>
              <w:rPr/>
              <w:t> </w:t>
            </w:r>
          </w:p>
        </w:tc>
        <w:tc>
          <w:tcPr>
            <w:tcW w:w="133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Voting</w:t>
              <w:br/>
              <w:t>Percentage</w:t>
              <w:br/>
              <w:t>Ownership(2)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Fair Value</w:t>
              <w:br/>
              <w:t>(in thousands)</w:t>
            </w:r>
          </w:p>
        </w:tc>
        <w:tc>
          <w:tcPr>
            <w:tcW w:w="78" w:type="dxa"/>
            <w:tcBorders/>
            <w:shd w:fill="auto" w:val="clear"/>
            <w:vAlign w:val="center"/>
          </w:tcPr>
          <w:p>
            <w:pPr>
              <w:pStyle w:val="TableContents"/>
              <w:spacing w:before="0" w:after="283"/>
              <w:rPr/>
            </w:pPr>
            <w:r>
              <w:rPr/>
              <w:t> </w:t>
            </w:r>
          </w:p>
        </w:tc>
      </w:tr>
      <w:tr>
        <w:trPr/>
        <w:tc>
          <w:tcPr>
            <w:tcW w:w="20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Imagine Acquisitionco, LLC</w:t>
            </w:r>
          </w:p>
          <w:p>
            <w:pPr>
              <w:pStyle w:val="TableContents"/>
              <w:spacing w:before="0" w:after="0"/>
              <w:rPr>
                <w:rFonts w:ascii="Times New Roman" w:hAnsi="Times New Roman"/>
                <w:sz w:val="16"/>
              </w:rPr>
            </w:pPr>
            <w:r>
              <w:rPr>
                <w:rFonts w:ascii="Times New Roman" w:hAnsi="Times New Roman"/>
                <w:sz w:val="16"/>
              </w:rPr>
              <w:t>(Imagine Topco, LP)</w:t>
            </w:r>
          </w:p>
          <w:p>
            <w:pPr>
              <w:pStyle w:val="TableContents"/>
              <w:spacing w:before="0" w:after="0"/>
              <w:rPr>
                <w:rFonts w:ascii="Times New Roman" w:hAnsi="Times New Roman"/>
                <w:sz w:val="16"/>
              </w:rPr>
            </w:pPr>
            <w:r>
              <w:rPr>
                <w:rFonts w:ascii="Times New Roman" w:hAnsi="Times New Roman"/>
                <w:sz w:val="16"/>
              </w:rPr>
              <w:t>8757 Red Oak Blvd,</w:t>
            </w:r>
          </w:p>
          <w:p>
            <w:pPr>
              <w:pStyle w:val="TableContents"/>
              <w:spacing w:before="0" w:after="20"/>
              <w:rPr>
                <w:rFonts w:ascii="Times New Roman" w:hAnsi="Times New Roman"/>
                <w:sz w:val="16"/>
              </w:rPr>
            </w:pPr>
            <w:r>
              <w:rPr>
                <w:rFonts w:ascii="Times New Roman" w:hAnsi="Times New Roman"/>
                <w:sz w:val="16"/>
              </w:rPr>
              <w:t>Charlotte, NC 28217</w:t>
            </w:r>
          </w:p>
        </w:tc>
        <w:tc>
          <w:tcPr>
            <w:tcW w:w="60" w:type="dxa"/>
            <w:tcBorders/>
            <w:shd w:fill="CCEEFF" w:val="clear"/>
            <w:vAlign w:val="center"/>
          </w:tcPr>
          <w:p>
            <w:pPr>
              <w:pStyle w:val="TableContents"/>
              <w:spacing w:before="0" w:after="283"/>
              <w:rPr/>
            </w:pPr>
            <w:r>
              <w:rPr/>
              <w:t> </w:t>
            </w:r>
          </w:p>
        </w:tc>
        <w:tc>
          <w:tcPr>
            <w:tcW w:w="2571" w:type="dxa"/>
            <w:tcBorders/>
            <w:shd w:fill="CCEEFF" w:val="clear"/>
            <w:vAlign w:val="center"/>
          </w:tcPr>
          <w:p>
            <w:pPr>
              <w:pStyle w:val="TableContents"/>
              <w:spacing w:before="0" w:after="283"/>
              <w:jc w:val="center"/>
              <w:rPr/>
            </w:pPr>
            <w:r>
              <w:rPr/>
              <w:t>Software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32"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L+550, 11/15/2027</w:t>
              <w:br/>
              <w:t>Preferred Equity</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 </w:t>
            </w:r>
          </w:p>
        </w:tc>
        <w:tc>
          <w:tcPr>
            <w:tcW w:w="1154" w:type="dxa"/>
            <w:tcBorders/>
            <w:shd w:fill="CCEEFF" w:val="clear"/>
            <w:vAlign w:val="center"/>
          </w:tcPr>
          <w:p>
            <w:pPr>
              <w:pStyle w:val="TableContents"/>
              <w:spacing w:before="0" w:after="283"/>
              <w:jc w:val="right"/>
              <w:rPr/>
            </w:pPr>
            <w:r>
              <w:rPr/>
              <w:t>0.3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rPr/>
            </w:pPr>
            <w:r>
              <w:rPr/>
              <w:t>$</w:t>
            </w:r>
          </w:p>
        </w:tc>
        <w:tc>
          <w:tcPr>
            <w:tcW w:w="1186" w:type="dxa"/>
            <w:tcBorders/>
            <w:shd w:fill="CCEEFF" w:val="clear"/>
            <w:vAlign w:val="center"/>
          </w:tcPr>
          <w:p>
            <w:pPr>
              <w:pStyle w:val="TableContents"/>
              <w:spacing w:before="0" w:after="283"/>
              <w:jc w:val="right"/>
              <w:rPr/>
            </w:pPr>
            <w:r>
              <w:rPr/>
              <w:t>4,994</w:t>
            </w:r>
          </w:p>
        </w:tc>
        <w:tc>
          <w:tcPr>
            <w:tcW w:w="78" w:type="dxa"/>
            <w:tcBorders/>
            <w:shd w:fill="CCEEFF"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Inception Fertility Ventures, LLC</w:t>
            </w:r>
          </w:p>
          <w:p>
            <w:pPr>
              <w:pStyle w:val="TableContents"/>
              <w:spacing w:before="0" w:after="0"/>
              <w:rPr>
                <w:rFonts w:ascii="Times New Roman" w:hAnsi="Times New Roman"/>
                <w:sz w:val="16"/>
              </w:rPr>
            </w:pPr>
            <w:r>
              <w:rPr>
                <w:rFonts w:ascii="Times New Roman" w:hAnsi="Times New Roman"/>
                <w:sz w:val="16"/>
              </w:rPr>
              <w:t>650 Madison Avenue, 21st Floor</w:t>
            </w:r>
          </w:p>
          <w:p>
            <w:pPr>
              <w:pStyle w:val="TableContents"/>
              <w:spacing w:before="0" w:after="20"/>
              <w:rPr>
                <w:rFonts w:ascii="Times New Roman" w:hAnsi="Times New Roman"/>
                <w:sz w:val="16"/>
              </w:rPr>
            </w:pPr>
            <w:r>
              <w:rPr>
                <w:rFonts w:ascii="Times New Roman" w:hAnsi="Times New Roman"/>
                <w:sz w:val="16"/>
              </w:rPr>
              <w:t>New York, NY 10022</w:t>
            </w:r>
          </w:p>
        </w:tc>
        <w:tc>
          <w:tcPr>
            <w:tcW w:w="60" w:type="dxa"/>
            <w:tcBorders/>
            <w:shd w:fill="auto" w:val="clear"/>
            <w:vAlign w:val="center"/>
          </w:tcPr>
          <w:p>
            <w:pPr>
              <w:pStyle w:val="TableContents"/>
              <w:spacing w:before="0" w:after="283"/>
              <w:rPr/>
            </w:pPr>
            <w:r>
              <w:rPr/>
              <w:t> </w:t>
            </w:r>
          </w:p>
        </w:tc>
        <w:tc>
          <w:tcPr>
            <w:tcW w:w="2571" w:type="dxa"/>
            <w:tcBorders/>
            <w:shd w:fill="auto" w:val="clear"/>
            <w:vAlign w:val="center"/>
          </w:tcPr>
          <w:p>
            <w:pPr>
              <w:pStyle w:val="TableContents"/>
              <w:spacing w:before="0" w:after="283"/>
              <w:jc w:val="center"/>
              <w:rPr/>
            </w:pPr>
            <w:r>
              <w:rPr/>
              <w:t>Healthcare Providers and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32" w:type="dxa"/>
            <w:tcBorders/>
            <w:shd w:fill="auto" w:val="clear"/>
            <w:vAlign w:val="center"/>
          </w:tcPr>
          <w:p>
            <w:pPr>
              <w:pStyle w:val="TableContents"/>
              <w:spacing w:before="0" w:after="283"/>
              <w:jc w:val="center"/>
              <w:rPr/>
            </w:pPr>
            <w:r>
              <w:rPr/>
              <w:t>First Lien Secured Debt,</w:t>
              <w:br/>
              <w:t>3M L+715, 12/07/2023</w:t>
            </w:r>
          </w:p>
        </w:tc>
        <w:tc>
          <w:tcPr>
            <w:tcW w:w="6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115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14,804</w:t>
            </w:r>
          </w:p>
        </w:tc>
        <w:tc>
          <w:tcPr>
            <w:tcW w:w="78" w:type="dxa"/>
            <w:tcBorders/>
            <w:shd w:fill="auto"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Infolinks Media Buyco, LLC</w:t>
            </w:r>
          </w:p>
          <w:p>
            <w:pPr>
              <w:pStyle w:val="TableContents"/>
              <w:spacing w:before="0" w:after="0"/>
              <w:rPr>
                <w:rFonts w:ascii="Times New Roman" w:hAnsi="Times New Roman"/>
                <w:sz w:val="16"/>
              </w:rPr>
            </w:pPr>
            <w:r>
              <w:rPr>
                <w:rFonts w:ascii="Times New Roman" w:hAnsi="Times New Roman"/>
                <w:sz w:val="16"/>
              </w:rPr>
              <w:t>(Tower Arch Infolinks Media, LP (5))</w:t>
            </w:r>
          </w:p>
          <w:p>
            <w:pPr>
              <w:pStyle w:val="TableContents"/>
              <w:spacing w:before="0" w:after="0"/>
              <w:rPr>
                <w:rFonts w:ascii="Times New Roman" w:hAnsi="Times New Roman"/>
                <w:sz w:val="16"/>
              </w:rPr>
            </w:pPr>
            <w:r>
              <w:rPr>
                <w:rFonts w:ascii="Times New Roman" w:hAnsi="Times New Roman"/>
                <w:sz w:val="16"/>
              </w:rPr>
              <w:t>45 North Broad Street</w:t>
            </w:r>
          </w:p>
          <w:p>
            <w:pPr>
              <w:pStyle w:val="TableContents"/>
              <w:spacing w:before="0" w:after="20"/>
              <w:rPr>
                <w:rFonts w:ascii="Times New Roman" w:hAnsi="Times New Roman"/>
                <w:sz w:val="16"/>
              </w:rPr>
            </w:pPr>
            <w:r>
              <w:rPr>
                <w:rFonts w:ascii="Times New Roman" w:hAnsi="Times New Roman"/>
                <w:sz w:val="16"/>
              </w:rPr>
              <w:t>Ridgewood, NJ 07450</w:t>
            </w:r>
          </w:p>
        </w:tc>
        <w:tc>
          <w:tcPr>
            <w:tcW w:w="60" w:type="dxa"/>
            <w:tcBorders/>
            <w:shd w:fill="CCEEFF" w:val="clear"/>
            <w:vAlign w:val="center"/>
          </w:tcPr>
          <w:p>
            <w:pPr>
              <w:pStyle w:val="TableContents"/>
              <w:spacing w:before="0" w:after="283"/>
              <w:rPr/>
            </w:pPr>
            <w:r>
              <w:rPr/>
              <w:t> </w:t>
            </w:r>
          </w:p>
        </w:tc>
        <w:tc>
          <w:tcPr>
            <w:tcW w:w="2571" w:type="dxa"/>
            <w:tcBorders/>
            <w:shd w:fill="CCEEFF" w:val="clear"/>
            <w:vAlign w:val="center"/>
          </w:tcPr>
          <w:p>
            <w:pPr>
              <w:pStyle w:val="TableContents"/>
              <w:spacing w:before="0" w:after="283"/>
              <w:jc w:val="center"/>
              <w:rPr/>
            </w:pPr>
            <w:r>
              <w:rPr/>
              <w:t>Media</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32"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L+575, 11/01/2026</w:t>
            </w:r>
          </w:p>
          <w:p>
            <w:pPr>
              <w:pStyle w:val="TableContents"/>
              <w:spacing w:before="0" w:after="20"/>
              <w:jc w:val="center"/>
              <w:rPr>
                <w:rFonts w:ascii="Times New Roman" w:hAnsi="Times New Roman"/>
                <w:sz w:val="16"/>
              </w:rPr>
            </w:pPr>
            <w:r>
              <w:rPr>
                <w:rFonts w:ascii="Times New Roman" w:hAnsi="Times New Roman"/>
                <w:sz w:val="16"/>
              </w:rPr>
              <w:t>Common Equity(4)</w:t>
            </w:r>
          </w:p>
        </w:tc>
        <w:tc>
          <w:tcPr>
            <w:tcW w:w="6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 </w:t>
            </w:r>
          </w:p>
        </w:tc>
        <w:tc>
          <w:tcPr>
            <w:tcW w:w="1154" w:type="dxa"/>
            <w:tcBorders/>
            <w:shd w:fill="CCEEFF" w:val="clear"/>
            <w:vAlign w:val="center"/>
          </w:tcPr>
          <w:p>
            <w:pPr>
              <w:pStyle w:val="TableContents"/>
              <w:spacing w:before="0" w:after="283"/>
              <w:jc w:val="right"/>
              <w:rPr/>
            </w:pPr>
            <w:r>
              <w:rPr/>
              <w:t>0.4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jc w:val="right"/>
              <w:rPr/>
            </w:pPr>
            <w:r>
              <w:rPr/>
              <w:t>3,000</w:t>
            </w:r>
          </w:p>
        </w:tc>
        <w:tc>
          <w:tcPr>
            <w:tcW w:w="78" w:type="dxa"/>
            <w:tcBorders/>
            <w:shd w:fill="CCEEFF"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Integrative Nutrition, LLC</w:t>
            </w:r>
          </w:p>
          <w:p>
            <w:pPr>
              <w:pStyle w:val="TableContents"/>
              <w:spacing w:before="0" w:after="0"/>
              <w:rPr>
                <w:rFonts w:ascii="Times New Roman" w:hAnsi="Times New Roman"/>
                <w:sz w:val="16"/>
              </w:rPr>
            </w:pPr>
            <w:r>
              <w:rPr>
                <w:rFonts w:ascii="Times New Roman" w:hAnsi="Times New Roman"/>
                <w:sz w:val="16"/>
              </w:rPr>
              <w:t>(IIN Group Holdings, LLC(5))</w:t>
            </w:r>
          </w:p>
          <w:p>
            <w:pPr>
              <w:pStyle w:val="TableContents"/>
              <w:spacing w:before="0" w:after="0"/>
              <w:rPr>
                <w:rFonts w:ascii="Times New Roman" w:hAnsi="Times New Roman"/>
                <w:sz w:val="16"/>
              </w:rPr>
            </w:pPr>
            <w:r>
              <w:rPr>
                <w:rFonts w:ascii="Times New Roman" w:hAnsi="Times New Roman"/>
                <w:sz w:val="16"/>
              </w:rPr>
              <w:t>245 5th Avenue</w:t>
            </w:r>
          </w:p>
          <w:p>
            <w:pPr>
              <w:pStyle w:val="TableContents"/>
              <w:spacing w:before="0" w:after="20"/>
              <w:rPr>
                <w:rFonts w:ascii="Times New Roman" w:hAnsi="Times New Roman"/>
                <w:sz w:val="16"/>
              </w:rPr>
            </w:pPr>
            <w:r>
              <w:rPr>
                <w:rFonts w:ascii="Times New Roman" w:hAnsi="Times New Roman"/>
                <w:sz w:val="16"/>
              </w:rPr>
              <w:t>New York, New York 10016</w:t>
            </w:r>
          </w:p>
        </w:tc>
        <w:tc>
          <w:tcPr>
            <w:tcW w:w="60" w:type="dxa"/>
            <w:tcBorders/>
            <w:shd w:fill="auto" w:val="clear"/>
            <w:vAlign w:val="center"/>
          </w:tcPr>
          <w:p>
            <w:pPr>
              <w:pStyle w:val="TableContents"/>
              <w:spacing w:before="0" w:after="283"/>
              <w:rPr/>
            </w:pPr>
            <w:r>
              <w:rPr/>
              <w:t> </w:t>
            </w:r>
          </w:p>
        </w:tc>
        <w:tc>
          <w:tcPr>
            <w:tcW w:w="2571" w:type="dxa"/>
            <w:tcBorders/>
            <w:shd w:fill="auto" w:val="clear"/>
            <w:vAlign w:val="center"/>
          </w:tcPr>
          <w:p>
            <w:pPr>
              <w:pStyle w:val="TableContents"/>
              <w:spacing w:before="0" w:after="283"/>
              <w:jc w:val="center"/>
              <w:rPr/>
            </w:pPr>
            <w:r>
              <w:rPr/>
              <w:t>Consumer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32" w:type="dxa"/>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L+450, 09/29/2023</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1154" w:type="dxa"/>
            <w:tcBorders/>
            <w:shd w:fill="auto" w:val="clear"/>
            <w:vAlign w:val="center"/>
          </w:tcPr>
          <w:p>
            <w:pPr>
              <w:pStyle w:val="TableContents"/>
              <w:spacing w:before="0" w:after="283"/>
              <w:jc w:val="right"/>
              <w:rPr/>
            </w:pPr>
            <w:r>
              <w:rPr/>
              <w:t>1.4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15,378</w:t>
            </w:r>
          </w:p>
        </w:tc>
        <w:tc>
          <w:tcPr>
            <w:tcW w:w="78" w:type="dxa"/>
            <w:tcBorders/>
            <w:shd w:fill="auto"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Integrity Marketing Acquisition, LLC</w:t>
            </w:r>
          </w:p>
          <w:p>
            <w:pPr>
              <w:pStyle w:val="TableContents"/>
              <w:spacing w:before="0" w:after="0"/>
              <w:rPr>
                <w:rFonts w:ascii="Times New Roman" w:hAnsi="Times New Roman"/>
                <w:sz w:val="16"/>
              </w:rPr>
            </w:pPr>
            <w:r>
              <w:rPr>
                <w:rFonts w:ascii="Times New Roman" w:hAnsi="Times New Roman"/>
                <w:sz w:val="16"/>
              </w:rPr>
              <w:t>1445 Ross Avenue, 22nd Floor</w:t>
            </w:r>
          </w:p>
          <w:p>
            <w:pPr>
              <w:pStyle w:val="TableContents"/>
              <w:spacing w:before="0" w:after="20"/>
              <w:rPr>
                <w:rFonts w:ascii="Times New Roman" w:hAnsi="Times New Roman"/>
                <w:sz w:val="16"/>
              </w:rPr>
            </w:pPr>
            <w:r>
              <w:rPr>
                <w:rFonts w:ascii="Times New Roman" w:hAnsi="Times New Roman"/>
                <w:sz w:val="16"/>
              </w:rPr>
              <w:t>Dallas, TX 75202</w:t>
            </w:r>
          </w:p>
        </w:tc>
        <w:tc>
          <w:tcPr>
            <w:tcW w:w="60" w:type="dxa"/>
            <w:tcBorders/>
            <w:shd w:fill="CCEEFF" w:val="clear"/>
            <w:vAlign w:val="center"/>
          </w:tcPr>
          <w:p>
            <w:pPr>
              <w:pStyle w:val="TableContents"/>
              <w:spacing w:before="0" w:after="283"/>
              <w:rPr/>
            </w:pPr>
            <w:r>
              <w:rPr/>
              <w:t> </w:t>
            </w:r>
          </w:p>
        </w:tc>
        <w:tc>
          <w:tcPr>
            <w:tcW w:w="2571" w:type="dxa"/>
            <w:tcBorders/>
            <w:shd w:fill="CCEEFF" w:val="clear"/>
            <w:vAlign w:val="center"/>
          </w:tcPr>
          <w:p>
            <w:pPr>
              <w:pStyle w:val="TableContents"/>
              <w:spacing w:before="0" w:after="283"/>
              <w:jc w:val="center"/>
              <w:rPr/>
            </w:pPr>
            <w:r>
              <w:rPr/>
              <w:t>Insurance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32" w:type="dxa"/>
            <w:tcBorders/>
            <w:shd w:fill="CCEEFF" w:val="clear"/>
            <w:vAlign w:val="center"/>
          </w:tcPr>
          <w:p>
            <w:pPr>
              <w:pStyle w:val="TableContents"/>
              <w:spacing w:before="0" w:after="283"/>
              <w:jc w:val="center"/>
              <w:rPr/>
            </w:pPr>
            <w:r>
              <w:rPr/>
              <w:t>First Lien Secured Debt,</w:t>
              <w:br/>
              <w:t>SOFR+550, 08/27/2025</w:t>
            </w:r>
          </w:p>
        </w:tc>
        <w:tc>
          <w:tcPr>
            <w:tcW w:w="6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 </w:t>
            </w:r>
          </w:p>
        </w:tc>
        <w:tc>
          <w:tcPr>
            <w:tcW w:w="115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jc w:val="right"/>
              <w:rPr/>
            </w:pPr>
            <w:r>
              <w:rPr/>
              <w:t>15,667</w:t>
            </w:r>
          </w:p>
        </w:tc>
        <w:tc>
          <w:tcPr>
            <w:tcW w:w="78" w:type="dxa"/>
            <w:tcBorders/>
            <w:shd w:fill="CCEEFF"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ITC Rumba, LLC(5)</w:t>
            </w:r>
          </w:p>
          <w:p>
            <w:pPr>
              <w:pStyle w:val="TableContents"/>
              <w:spacing w:before="0" w:after="0"/>
              <w:rPr>
                <w:rFonts w:ascii="Times New Roman" w:hAnsi="Times New Roman"/>
                <w:sz w:val="16"/>
              </w:rPr>
            </w:pPr>
            <w:r>
              <w:rPr>
                <w:rFonts w:ascii="Times New Roman" w:hAnsi="Times New Roman"/>
                <w:sz w:val="16"/>
              </w:rPr>
              <w:t>9725 NW 117th Ave #200,</w:t>
            </w:r>
          </w:p>
          <w:p>
            <w:pPr>
              <w:pStyle w:val="TableContents"/>
              <w:spacing w:before="0" w:after="20"/>
              <w:rPr>
                <w:rFonts w:ascii="Times New Roman" w:hAnsi="Times New Roman"/>
                <w:sz w:val="16"/>
              </w:rPr>
            </w:pPr>
            <w:r>
              <w:rPr>
                <w:rFonts w:ascii="Times New Roman" w:hAnsi="Times New Roman"/>
                <w:sz w:val="16"/>
              </w:rPr>
              <w:t>Miami, FL 33178</w:t>
            </w:r>
          </w:p>
        </w:tc>
        <w:tc>
          <w:tcPr>
            <w:tcW w:w="60" w:type="dxa"/>
            <w:tcBorders/>
            <w:shd w:fill="auto" w:val="clear"/>
            <w:vAlign w:val="center"/>
          </w:tcPr>
          <w:p>
            <w:pPr>
              <w:pStyle w:val="TableContents"/>
              <w:spacing w:before="0" w:after="283"/>
              <w:rPr/>
            </w:pPr>
            <w:r>
              <w:rPr/>
              <w:t> </w:t>
            </w:r>
          </w:p>
        </w:tc>
        <w:tc>
          <w:tcPr>
            <w:tcW w:w="2571" w:type="dxa"/>
            <w:tcBorders/>
            <w:shd w:fill="auto" w:val="clear"/>
            <w:vAlign w:val="center"/>
          </w:tcPr>
          <w:p>
            <w:pPr>
              <w:pStyle w:val="TableContents"/>
              <w:spacing w:before="0" w:after="283"/>
              <w:jc w:val="center"/>
              <w:rPr/>
            </w:pPr>
            <w:r>
              <w:rPr/>
              <w:t>Healthcare and Pharmaceuticals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32" w:type="dxa"/>
            <w:tcBorders/>
            <w:shd w:fill="auto" w:val="clear"/>
            <w:vAlign w:val="center"/>
          </w:tcPr>
          <w:p>
            <w:pPr>
              <w:pStyle w:val="TableContents"/>
              <w:spacing w:before="0" w:after="283"/>
              <w:jc w:val="center"/>
              <w:rPr/>
            </w:pPr>
            <w:r>
              <w:rPr/>
              <w:t>Common Equity</w:t>
            </w:r>
          </w:p>
        </w:tc>
        <w:tc>
          <w:tcPr>
            <w:tcW w:w="6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1154" w:type="dxa"/>
            <w:tcBorders/>
            <w:shd w:fill="auto" w:val="clear"/>
            <w:vAlign w:val="center"/>
          </w:tcPr>
          <w:p>
            <w:pPr>
              <w:pStyle w:val="TableContents"/>
              <w:spacing w:before="0" w:after="283"/>
              <w:jc w:val="right"/>
              <w:rPr/>
            </w:pPr>
            <w:r>
              <w:rPr/>
              <w:t>0.3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5,232</w:t>
            </w:r>
          </w:p>
        </w:tc>
        <w:tc>
          <w:tcPr>
            <w:tcW w:w="78" w:type="dxa"/>
            <w:tcBorders/>
            <w:shd w:fill="auto"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ITI Holdings, Inc.</w:t>
            </w:r>
          </w:p>
          <w:p>
            <w:pPr>
              <w:pStyle w:val="TableContents"/>
              <w:spacing w:before="0" w:after="0"/>
              <w:rPr>
                <w:rFonts w:ascii="Times New Roman" w:hAnsi="Times New Roman"/>
                <w:sz w:val="16"/>
              </w:rPr>
            </w:pPr>
            <w:r>
              <w:rPr>
                <w:rFonts w:ascii="Times New Roman" w:hAnsi="Times New Roman"/>
                <w:sz w:val="16"/>
              </w:rPr>
              <w:t>2980 E. Coliseum Blvd.</w:t>
            </w:r>
          </w:p>
          <w:p>
            <w:pPr>
              <w:pStyle w:val="TableContents"/>
              <w:spacing w:before="0" w:after="20"/>
              <w:rPr>
                <w:rFonts w:ascii="Times New Roman" w:hAnsi="Times New Roman"/>
                <w:sz w:val="16"/>
              </w:rPr>
            </w:pPr>
            <w:r>
              <w:rPr>
                <w:rFonts w:ascii="Times New Roman" w:hAnsi="Times New Roman"/>
                <w:sz w:val="16"/>
              </w:rPr>
              <w:t>Fort Wayne, IN 46805</w:t>
            </w:r>
          </w:p>
        </w:tc>
        <w:tc>
          <w:tcPr>
            <w:tcW w:w="60" w:type="dxa"/>
            <w:tcBorders/>
            <w:shd w:fill="CCEEFF" w:val="clear"/>
            <w:vAlign w:val="center"/>
          </w:tcPr>
          <w:p>
            <w:pPr>
              <w:pStyle w:val="TableContents"/>
              <w:spacing w:before="0" w:after="283"/>
              <w:rPr/>
            </w:pPr>
            <w:r>
              <w:rPr/>
              <w:t> </w:t>
            </w:r>
          </w:p>
        </w:tc>
        <w:tc>
          <w:tcPr>
            <w:tcW w:w="2571" w:type="dxa"/>
            <w:tcBorders/>
            <w:shd w:fill="CCEEFF" w:val="clear"/>
            <w:vAlign w:val="center"/>
          </w:tcPr>
          <w:p>
            <w:pPr>
              <w:pStyle w:val="TableContents"/>
              <w:spacing w:before="0" w:after="283"/>
              <w:jc w:val="center"/>
              <w:rPr/>
            </w:pPr>
            <w:r>
              <w:rPr/>
              <w:t>IT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32" w:type="dxa"/>
            <w:tcBorders/>
            <w:shd w:fill="CCEEFF" w:val="clear"/>
            <w:vAlign w:val="center"/>
          </w:tcPr>
          <w:p>
            <w:pPr>
              <w:pStyle w:val="TableContents"/>
              <w:spacing w:before="0" w:after="283"/>
              <w:jc w:val="center"/>
              <w:rPr/>
            </w:pPr>
            <w:r>
              <w:rPr/>
              <w:t>First Lien Secured Debt(4),</w:t>
              <w:br/>
              <w:t>3M L+550, 03/03/2028</w:t>
            </w:r>
          </w:p>
        </w:tc>
        <w:tc>
          <w:tcPr>
            <w:tcW w:w="6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 </w:t>
            </w:r>
          </w:p>
        </w:tc>
        <w:tc>
          <w:tcPr>
            <w:tcW w:w="115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jc w:val="right"/>
              <w:rPr/>
            </w:pPr>
            <w:r>
              <w:rPr/>
              <w:t>120</w:t>
            </w:r>
          </w:p>
        </w:tc>
        <w:tc>
          <w:tcPr>
            <w:tcW w:w="78" w:type="dxa"/>
            <w:tcBorders/>
            <w:shd w:fill="CCEEFF"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K2 Pure Solutions NoCal, L.P.</w:t>
            </w:r>
          </w:p>
          <w:p>
            <w:pPr>
              <w:pStyle w:val="TableContents"/>
              <w:spacing w:before="0" w:after="0"/>
              <w:rPr>
                <w:rFonts w:ascii="Times New Roman" w:hAnsi="Times New Roman"/>
                <w:sz w:val="16"/>
              </w:rPr>
            </w:pPr>
            <w:r>
              <w:rPr>
                <w:rFonts w:ascii="Times New Roman" w:hAnsi="Times New Roman"/>
                <w:sz w:val="16"/>
              </w:rPr>
              <w:t>3515 Massillion Road, Ste. 290</w:t>
            </w:r>
          </w:p>
          <w:p>
            <w:pPr>
              <w:pStyle w:val="TableContents"/>
              <w:spacing w:before="0" w:after="20"/>
              <w:rPr>
                <w:rFonts w:ascii="Times New Roman" w:hAnsi="Times New Roman"/>
                <w:sz w:val="16"/>
              </w:rPr>
            </w:pPr>
            <w:r>
              <w:rPr>
                <w:rFonts w:ascii="Times New Roman" w:hAnsi="Times New Roman"/>
                <w:sz w:val="16"/>
              </w:rPr>
              <w:t>Uniontown, OH 44685</w:t>
            </w:r>
          </w:p>
        </w:tc>
        <w:tc>
          <w:tcPr>
            <w:tcW w:w="60" w:type="dxa"/>
            <w:tcBorders/>
            <w:shd w:fill="auto" w:val="clear"/>
            <w:vAlign w:val="center"/>
          </w:tcPr>
          <w:p>
            <w:pPr>
              <w:pStyle w:val="TableContents"/>
              <w:spacing w:before="0" w:after="283"/>
              <w:rPr/>
            </w:pPr>
            <w:r>
              <w:rPr/>
              <w:t> </w:t>
            </w:r>
          </w:p>
        </w:tc>
        <w:tc>
          <w:tcPr>
            <w:tcW w:w="2571" w:type="dxa"/>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Chemicals,</w:t>
            </w:r>
          </w:p>
          <w:p>
            <w:pPr>
              <w:pStyle w:val="TableContents"/>
              <w:spacing w:before="0" w:after="20"/>
              <w:jc w:val="center"/>
              <w:rPr>
                <w:rFonts w:ascii="Times New Roman" w:hAnsi="Times New Roman"/>
                <w:sz w:val="16"/>
              </w:rPr>
            </w:pPr>
            <w:r>
              <w:rPr>
                <w:rFonts w:ascii="Times New Roman" w:hAnsi="Times New Roman"/>
                <w:sz w:val="16"/>
              </w:rPr>
              <w:t>Plastics and Rubber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32" w:type="dxa"/>
            <w:tcBorders/>
            <w:shd w:fill="auto" w:val="clear"/>
            <w:vAlign w:val="center"/>
          </w:tcPr>
          <w:p>
            <w:pPr>
              <w:pStyle w:val="TableContents"/>
              <w:spacing w:before="0" w:after="283"/>
              <w:jc w:val="center"/>
              <w:rPr/>
            </w:pPr>
            <w:r>
              <w:rPr/>
              <w:t>First Lien Secured Debt(4),</w:t>
              <w:br/>
              <w:t>—, 12/20/2023</w:t>
            </w:r>
          </w:p>
        </w:tc>
        <w:tc>
          <w:tcPr>
            <w:tcW w:w="6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115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  </w:t>
            </w:r>
          </w:p>
        </w:tc>
        <w:tc>
          <w:tcPr>
            <w:tcW w:w="78" w:type="dxa"/>
            <w:tcBorders/>
            <w:shd w:fill="auto"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Kinetic Purchaser, LLC</w:t>
            </w:r>
          </w:p>
          <w:p>
            <w:pPr>
              <w:pStyle w:val="TableContents"/>
              <w:spacing w:before="0" w:after="0"/>
              <w:rPr>
                <w:rFonts w:ascii="Times New Roman" w:hAnsi="Times New Roman"/>
                <w:sz w:val="16"/>
              </w:rPr>
            </w:pPr>
            <w:r>
              <w:rPr>
                <w:rFonts w:ascii="Times New Roman" w:hAnsi="Times New Roman"/>
                <w:sz w:val="16"/>
              </w:rPr>
              <w:t>12552 S. 125 West</w:t>
            </w:r>
          </w:p>
          <w:p>
            <w:pPr>
              <w:pStyle w:val="TableContents"/>
              <w:spacing w:before="0" w:after="20"/>
              <w:rPr>
                <w:rFonts w:ascii="Times New Roman" w:hAnsi="Times New Roman"/>
                <w:sz w:val="16"/>
              </w:rPr>
            </w:pPr>
            <w:r>
              <w:rPr>
                <w:rFonts w:ascii="Times New Roman" w:hAnsi="Times New Roman"/>
                <w:sz w:val="16"/>
              </w:rPr>
              <w:t>Draper, UT 84020</w:t>
            </w:r>
          </w:p>
        </w:tc>
        <w:tc>
          <w:tcPr>
            <w:tcW w:w="60" w:type="dxa"/>
            <w:tcBorders/>
            <w:shd w:fill="CCEEFF" w:val="clear"/>
            <w:vAlign w:val="center"/>
          </w:tcPr>
          <w:p>
            <w:pPr>
              <w:pStyle w:val="TableContents"/>
              <w:spacing w:before="0" w:after="283"/>
              <w:rPr/>
            </w:pPr>
            <w:r>
              <w:rPr/>
              <w:t> </w:t>
            </w:r>
          </w:p>
        </w:tc>
        <w:tc>
          <w:tcPr>
            <w:tcW w:w="2571" w:type="dxa"/>
            <w:tcBorders/>
            <w:shd w:fill="CCEEFF" w:val="clear"/>
            <w:vAlign w:val="center"/>
          </w:tcPr>
          <w:p>
            <w:pPr>
              <w:pStyle w:val="TableContents"/>
              <w:spacing w:before="0" w:after="283"/>
              <w:jc w:val="center"/>
              <w:rPr/>
            </w:pPr>
            <w:r>
              <w:rPr/>
              <w:t>Personal Products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32"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L+600, 11/10/2027</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 </w:t>
            </w:r>
          </w:p>
        </w:tc>
        <w:tc>
          <w:tcPr>
            <w:tcW w:w="115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jc w:val="right"/>
              <w:rPr/>
            </w:pPr>
            <w:r>
              <w:rPr/>
              <w:t>22,903</w:t>
            </w:r>
          </w:p>
        </w:tc>
        <w:tc>
          <w:tcPr>
            <w:tcW w:w="78" w:type="dxa"/>
            <w:tcBorders/>
            <w:shd w:fill="CCEEFF"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Lash OpCo, LLC</w:t>
            </w:r>
          </w:p>
          <w:p>
            <w:pPr>
              <w:pStyle w:val="TableContents"/>
              <w:spacing w:before="0" w:after="0"/>
              <w:rPr>
                <w:rFonts w:ascii="Times New Roman" w:hAnsi="Times New Roman"/>
                <w:sz w:val="16"/>
              </w:rPr>
            </w:pPr>
            <w:r>
              <w:rPr>
                <w:rFonts w:ascii="Times New Roman" w:hAnsi="Times New Roman"/>
                <w:sz w:val="16"/>
              </w:rPr>
              <w:t>(Gauge Lash Coinvest LLC)</w:t>
            </w:r>
          </w:p>
          <w:p>
            <w:pPr>
              <w:pStyle w:val="TableContents"/>
              <w:spacing w:before="0" w:after="0"/>
              <w:rPr>
                <w:rFonts w:ascii="Times New Roman" w:hAnsi="Times New Roman"/>
                <w:sz w:val="16"/>
              </w:rPr>
            </w:pPr>
            <w:r>
              <w:rPr>
                <w:rFonts w:ascii="Times New Roman" w:hAnsi="Times New Roman"/>
                <w:sz w:val="16"/>
              </w:rPr>
              <w:t>1256 Main Street, Suite 256</w:t>
            </w:r>
          </w:p>
          <w:p>
            <w:pPr>
              <w:pStyle w:val="TableContents"/>
              <w:spacing w:before="0" w:after="20"/>
              <w:rPr>
                <w:rFonts w:ascii="Times New Roman" w:hAnsi="Times New Roman"/>
                <w:sz w:val="16"/>
              </w:rPr>
            </w:pPr>
            <w:r>
              <w:rPr>
                <w:rFonts w:ascii="Times New Roman" w:hAnsi="Times New Roman"/>
                <w:sz w:val="16"/>
              </w:rPr>
              <w:t>Southlake, TX 76092</w:t>
            </w:r>
          </w:p>
        </w:tc>
        <w:tc>
          <w:tcPr>
            <w:tcW w:w="60" w:type="dxa"/>
            <w:tcBorders/>
            <w:shd w:fill="auto" w:val="clear"/>
            <w:vAlign w:val="center"/>
          </w:tcPr>
          <w:p>
            <w:pPr>
              <w:pStyle w:val="TableContents"/>
              <w:spacing w:before="0" w:after="283"/>
              <w:rPr/>
            </w:pPr>
            <w:r>
              <w:rPr/>
              <w:t> </w:t>
            </w:r>
          </w:p>
        </w:tc>
        <w:tc>
          <w:tcPr>
            <w:tcW w:w="2571" w:type="dxa"/>
            <w:tcBorders/>
            <w:shd w:fill="auto" w:val="clear"/>
            <w:vAlign w:val="center"/>
          </w:tcPr>
          <w:p>
            <w:pPr>
              <w:pStyle w:val="TableContents"/>
              <w:spacing w:before="0" w:after="283"/>
              <w:jc w:val="center"/>
              <w:rPr/>
            </w:pPr>
            <w:r>
              <w:rPr/>
              <w:t>Personal Products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32" w:type="dxa"/>
            <w:tcBorders/>
            <w:shd w:fill="auto" w:val="clear"/>
            <w:vAlign w:val="center"/>
          </w:tcPr>
          <w:p>
            <w:pPr>
              <w:pStyle w:val="TableContents"/>
              <w:spacing w:before="0" w:after="283"/>
              <w:jc w:val="center"/>
              <w:rPr/>
            </w:pPr>
            <w:r>
              <w:rPr/>
              <w:t>First Lien Secured Debt(4),</w:t>
              <w:br/>
              <w:t>1M L+700, 02/18/2027</w:t>
              <w:br/>
              <w:t>Common Equity</w:t>
            </w:r>
          </w:p>
        </w:tc>
        <w:tc>
          <w:tcPr>
            <w:tcW w:w="6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1154" w:type="dxa"/>
            <w:tcBorders/>
            <w:shd w:fill="auto" w:val="clear"/>
            <w:vAlign w:val="center"/>
          </w:tcPr>
          <w:p>
            <w:pPr>
              <w:pStyle w:val="TableContents"/>
              <w:spacing w:before="0" w:after="283"/>
              <w:jc w:val="right"/>
              <w:rPr/>
            </w:pPr>
            <w:r>
              <w:rPr/>
              <w:t>1.3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17,891</w:t>
            </w:r>
          </w:p>
        </w:tc>
        <w:tc>
          <w:tcPr>
            <w:tcW w:w="78" w:type="dxa"/>
            <w:tcBorders/>
            <w:shd w:fill="auto"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LAV Gear Holdings, Inc.</w:t>
            </w:r>
          </w:p>
          <w:p>
            <w:pPr>
              <w:pStyle w:val="TableContents"/>
              <w:spacing w:before="0" w:after="0"/>
              <w:rPr>
                <w:rFonts w:ascii="Times New Roman" w:hAnsi="Times New Roman"/>
                <w:sz w:val="16"/>
              </w:rPr>
            </w:pPr>
            <w:r>
              <w:rPr>
                <w:rFonts w:ascii="Times New Roman" w:hAnsi="Times New Roman"/>
                <w:sz w:val="16"/>
              </w:rPr>
              <w:t>3165 W Sunset Rd,</w:t>
            </w:r>
          </w:p>
          <w:p>
            <w:pPr>
              <w:pStyle w:val="TableContents"/>
              <w:spacing w:before="0" w:after="20"/>
              <w:rPr>
                <w:rFonts w:ascii="Times New Roman" w:hAnsi="Times New Roman"/>
                <w:sz w:val="16"/>
              </w:rPr>
            </w:pPr>
            <w:r>
              <w:rPr>
                <w:rFonts w:ascii="Times New Roman" w:hAnsi="Times New Roman"/>
                <w:sz w:val="16"/>
              </w:rPr>
              <w:t>Las Vegas, NV 89118</w:t>
            </w:r>
          </w:p>
        </w:tc>
        <w:tc>
          <w:tcPr>
            <w:tcW w:w="60" w:type="dxa"/>
            <w:tcBorders/>
            <w:shd w:fill="CCEEFF" w:val="clear"/>
            <w:vAlign w:val="center"/>
          </w:tcPr>
          <w:p>
            <w:pPr>
              <w:pStyle w:val="TableContents"/>
              <w:spacing w:before="0" w:after="283"/>
              <w:rPr/>
            </w:pPr>
            <w:r>
              <w:rPr/>
              <w:t> </w:t>
            </w:r>
          </w:p>
        </w:tc>
        <w:tc>
          <w:tcPr>
            <w:tcW w:w="2571" w:type="dxa"/>
            <w:tcBorders/>
            <w:shd w:fill="CCEEFF" w:val="clear"/>
            <w:vAlign w:val="center"/>
          </w:tcPr>
          <w:p>
            <w:pPr>
              <w:pStyle w:val="TableContents"/>
              <w:spacing w:before="0" w:after="283"/>
              <w:jc w:val="center"/>
              <w:rPr/>
            </w:pPr>
            <w:r>
              <w:rPr/>
              <w:t>Capital Equipment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32"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1M L+750 (PIK 5.50%),</w:t>
            </w:r>
          </w:p>
          <w:p>
            <w:pPr>
              <w:pStyle w:val="TableContents"/>
              <w:spacing w:before="0" w:after="20"/>
              <w:jc w:val="center"/>
              <w:rPr>
                <w:rFonts w:ascii="Times New Roman" w:hAnsi="Times New Roman"/>
                <w:sz w:val="16"/>
              </w:rPr>
            </w:pPr>
            <w:r>
              <w:rPr>
                <w:rFonts w:ascii="Times New Roman" w:hAnsi="Times New Roman"/>
                <w:sz w:val="16"/>
              </w:rPr>
              <w:t>10/31/2024</w:t>
            </w:r>
          </w:p>
        </w:tc>
        <w:tc>
          <w:tcPr>
            <w:tcW w:w="6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 </w:t>
            </w:r>
          </w:p>
        </w:tc>
        <w:tc>
          <w:tcPr>
            <w:tcW w:w="115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jc w:val="right"/>
              <w:rPr/>
            </w:pPr>
            <w:r>
              <w:rPr/>
              <w:t>11,027</w:t>
            </w:r>
          </w:p>
        </w:tc>
        <w:tc>
          <w:tcPr>
            <w:tcW w:w="78" w:type="dxa"/>
            <w:tcBorders/>
            <w:shd w:fill="CCEEFF"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Ledge Lounger, Inc.</w:t>
            </w:r>
          </w:p>
          <w:p>
            <w:pPr>
              <w:pStyle w:val="TableContents"/>
              <w:spacing w:before="0" w:after="0"/>
              <w:rPr>
                <w:rFonts w:ascii="Times New Roman" w:hAnsi="Times New Roman"/>
                <w:sz w:val="16"/>
              </w:rPr>
            </w:pPr>
            <w:r>
              <w:rPr>
                <w:rFonts w:ascii="Times New Roman" w:hAnsi="Times New Roman"/>
                <w:sz w:val="16"/>
              </w:rPr>
              <w:t>(SP L2 Holdings, LLC)</w:t>
            </w:r>
          </w:p>
          <w:p>
            <w:pPr>
              <w:pStyle w:val="TableContents"/>
              <w:spacing w:before="0" w:after="0"/>
              <w:rPr>
                <w:rFonts w:ascii="Times New Roman" w:hAnsi="Times New Roman"/>
                <w:sz w:val="16"/>
              </w:rPr>
            </w:pPr>
            <w:r>
              <w:rPr>
                <w:rFonts w:ascii="Times New Roman" w:hAnsi="Times New Roman"/>
                <w:sz w:val="16"/>
              </w:rPr>
              <w:t>616 Cane Island Pkwy Suite 200</w:t>
            </w:r>
          </w:p>
          <w:p>
            <w:pPr>
              <w:pStyle w:val="TableContents"/>
              <w:spacing w:before="0" w:after="20"/>
              <w:rPr>
                <w:rFonts w:ascii="Times New Roman" w:hAnsi="Times New Roman"/>
                <w:sz w:val="16"/>
              </w:rPr>
            </w:pPr>
            <w:r>
              <w:rPr>
                <w:rFonts w:ascii="Times New Roman" w:hAnsi="Times New Roman"/>
                <w:sz w:val="16"/>
              </w:rPr>
              <w:t>Katy, TX 77494</w:t>
            </w:r>
          </w:p>
        </w:tc>
        <w:tc>
          <w:tcPr>
            <w:tcW w:w="60" w:type="dxa"/>
            <w:tcBorders/>
            <w:shd w:fill="auto" w:val="clear"/>
            <w:vAlign w:val="center"/>
          </w:tcPr>
          <w:p>
            <w:pPr>
              <w:pStyle w:val="TableContents"/>
              <w:spacing w:before="0" w:after="283"/>
              <w:rPr/>
            </w:pPr>
            <w:r>
              <w:rPr/>
              <w:t> </w:t>
            </w:r>
          </w:p>
        </w:tc>
        <w:tc>
          <w:tcPr>
            <w:tcW w:w="2571" w:type="dxa"/>
            <w:tcBorders/>
            <w:shd w:fill="auto" w:val="clear"/>
            <w:vAlign w:val="center"/>
          </w:tcPr>
          <w:p>
            <w:pPr>
              <w:pStyle w:val="TableContents"/>
              <w:spacing w:before="0" w:after="283"/>
              <w:jc w:val="center"/>
              <w:rPr/>
            </w:pPr>
            <w:r>
              <w:rPr/>
              <w:t>Leisure Products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32" w:type="dxa"/>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L+625, 11/09/2026</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1154" w:type="dxa"/>
            <w:tcBorders/>
            <w:shd w:fill="auto" w:val="clear"/>
            <w:vAlign w:val="center"/>
          </w:tcPr>
          <w:p>
            <w:pPr>
              <w:pStyle w:val="TableContents"/>
              <w:spacing w:before="0" w:after="283"/>
              <w:jc w:val="right"/>
              <w:rPr/>
            </w:pPr>
            <w:r>
              <w:rPr/>
              <w:t>1.2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4,052</w:t>
            </w:r>
          </w:p>
        </w:tc>
        <w:tc>
          <w:tcPr>
            <w:tcW w:w="78" w:type="dxa"/>
            <w:tcBorders/>
            <w:shd w:fill="auto"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Lightspeed Buyer Inc.</w:t>
            </w:r>
          </w:p>
          <w:p>
            <w:pPr>
              <w:pStyle w:val="TableContents"/>
              <w:spacing w:before="0" w:after="0"/>
              <w:rPr>
                <w:rFonts w:ascii="Times New Roman" w:hAnsi="Times New Roman"/>
                <w:sz w:val="16"/>
              </w:rPr>
            </w:pPr>
            <w:r>
              <w:rPr>
                <w:rFonts w:ascii="Times New Roman" w:hAnsi="Times New Roman"/>
                <w:sz w:val="16"/>
              </w:rPr>
              <w:t>(Lightspeed Investment Holdco LLC)</w:t>
            </w:r>
          </w:p>
          <w:p>
            <w:pPr>
              <w:pStyle w:val="TableContents"/>
              <w:spacing w:before="0" w:after="0"/>
              <w:rPr>
                <w:rFonts w:ascii="Times New Roman" w:hAnsi="Times New Roman"/>
                <w:sz w:val="16"/>
              </w:rPr>
            </w:pPr>
            <w:r>
              <w:rPr>
                <w:rFonts w:ascii="Times New Roman" w:hAnsi="Times New Roman"/>
                <w:sz w:val="16"/>
              </w:rPr>
              <w:t>1457 East 40th Street</w:t>
            </w:r>
          </w:p>
          <w:p>
            <w:pPr>
              <w:pStyle w:val="TableContents"/>
              <w:spacing w:before="0" w:after="20"/>
              <w:rPr>
                <w:rFonts w:ascii="Times New Roman" w:hAnsi="Times New Roman"/>
                <w:sz w:val="16"/>
              </w:rPr>
            </w:pPr>
            <w:r>
              <w:rPr>
                <w:rFonts w:ascii="Times New Roman" w:hAnsi="Times New Roman"/>
                <w:sz w:val="16"/>
              </w:rPr>
              <w:t>Cleveland, OH 44103</w:t>
            </w:r>
          </w:p>
        </w:tc>
        <w:tc>
          <w:tcPr>
            <w:tcW w:w="60" w:type="dxa"/>
            <w:tcBorders/>
            <w:shd w:fill="CCEEFF" w:val="clear"/>
            <w:vAlign w:val="center"/>
          </w:tcPr>
          <w:p>
            <w:pPr>
              <w:pStyle w:val="TableContents"/>
              <w:spacing w:before="0" w:after="283"/>
              <w:rPr/>
            </w:pPr>
            <w:r>
              <w:rPr/>
              <w:t> </w:t>
            </w:r>
          </w:p>
        </w:tc>
        <w:tc>
          <w:tcPr>
            <w:tcW w:w="2571" w:type="dxa"/>
            <w:tcBorders/>
            <w:shd w:fill="CCEEFF" w:val="clear"/>
            <w:vAlign w:val="center"/>
          </w:tcPr>
          <w:p>
            <w:pPr>
              <w:pStyle w:val="TableContents"/>
              <w:spacing w:before="0" w:after="283"/>
              <w:jc w:val="center"/>
              <w:rPr/>
            </w:pPr>
            <w:r>
              <w:rPr/>
              <w:t>Healthcare Technology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32"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1M L+575, 02/03/2026</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 </w:t>
            </w:r>
          </w:p>
        </w:tc>
        <w:tc>
          <w:tcPr>
            <w:tcW w:w="1154" w:type="dxa"/>
            <w:tcBorders/>
            <w:shd w:fill="CCEEFF" w:val="clear"/>
            <w:vAlign w:val="center"/>
          </w:tcPr>
          <w:p>
            <w:pPr>
              <w:pStyle w:val="TableContents"/>
              <w:spacing w:before="0" w:after="283"/>
              <w:jc w:val="right"/>
              <w:rPr/>
            </w:pPr>
            <w:r>
              <w:rPr/>
              <w:t>0.2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3"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jc w:val="right"/>
              <w:rPr/>
            </w:pPr>
            <w:r>
              <w:rPr/>
              <w:t>25,367</w:t>
            </w:r>
          </w:p>
        </w:tc>
        <w:tc>
          <w:tcPr>
            <w:tcW w:w="78" w:type="dxa"/>
            <w:tcBorders/>
            <w:shd w:fill="CCEEFF" w:val="clear"/>
            <w:vAlign w:val="center"/>
          </w:tcPr>
          <w:p>
            <w:pPr>
              <w:pStyle w:val="TableContents"/>
              <w:spacing w:before="0" w:after="283"/>
              <w:rPr/>
            </w:pPr>
            <w:r>
              <w:rPr/>
              <w:t> </w:t>
            </w:r>
          </w:p>
        </w:tc>
      </w:tr>
      <w:tr>
        <w:trPr/>
        <w:tc>
          <w:tcPr>
            <w:tcW w:w="2025" w:type="dxa"/>
            <w:tcBorders/>
            <w:shd w:fill="auto" w:val="clear"/>
            <w:vAlign w:val="center"/>
          </w:tcPr>
          <w:p>
            <w:pPr>
              <w:pStyle w:val="TableContents"/>
              <w:spacing w:before="0" w:after="283"/>
              <w:rPr>
                <w:sz w:val="4"/>
                <w:szCs w:val="4"/>
              </w:rPr>
            </w:pPr>
            <w:r>
              <w:rPr>
                <w:sz w:val="4"/>
                <w:szCs w:val="4"/>
              </w:rPr>
            </w:r>
          </w:p>
        </w:tc>
        <w:tc>
          <w:tcPr>
            <w:tcW w:w="263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192" w:type="dxa"/>
            <w:gridSpan w:val="2"/>
            <w:tcBorders/>
            <w:shd w:fill="auto" w:val="clear"/>
            <w:vAlign w:val="center"/>
          </w:tcPr>
          <w:p>
            <w:pPr>
              <w:pStyle w:val="TableContents"/>
              <w:spacing w:before="0" w:after="283"/>
              <w:rPr>
                <w:sz w:val="4"/>
                <w:szCs w:val="4"/>
              </w:rPr>
            </w:pPr>
            <w:r>
              <w:rPr>
                <w:sz w:val="4"/>
                <w:szCs w:val="4"/>
              </w:rPr>
            </w:r>
          </w:p>
        </w:tc>
        <w:tc>
          <w:tcPr>
            <w:tcW w:w="1670" w:type="dxa"/>
            <w:gridSpan w:val="4"/>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r>
      <w:tr>
        <w:trPr/>
        <w:tc>
          <w:tcPr>
            <w:tcW w:w="2025"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Lucky Bucks, LLC</w:t>
            </w:r>
          </w:p>
          <w:p>
            <w:pPr>
              <w:pStyle w:val="TableContents"/>
              <w:spacing w:before="0" w:after="0"/>
              <w:rPr>
                <w:rFonts w:ascii="Times New Roman" w:hAnsi="Times New Roman"/>
                <w:sz w:val="16"/>
              </w:rPr>
            </w:pPr>
            <w:r>
              <w:rPr>
                <w:rFonts w:ascii="Times New Roman" w:hAnsi="Times New Roman"/>
                <w:sz w:val="16"/>
              </w:rPr>
              <w:t>5820 Live Oak Parkway #300</w:t>
            </w:r>
          </w:p>
          <w:p>
            <w:pPr>
              <w:pStyle w:val="TableContents"/>
              <w:spacing w:before="0" w:after="20"/>
              <w:rPr>
                <w:rFonts w:ascii="Times New Roman" w:hAnsi="Times New Roman"/>
                <w:sz w:val="16"/>
              </w:rPr>
            </w:pPr>
            <w:r>
              <w:rPr>
                <w:rFonts w:ascii="Times New Roman" w:hAnsi="Times New Roman"/>
                <w:sz w:val="16"/>
              </w:rPr>
              <w:t>Norcross, GA 30093</w:t>
            </w:r>
          </w:p>
        </w:tc>
        <w:tc>
          <w:tcPr>
            <w:tcW w:w="60" w:type="dxa"/>
            <w:tcBorders/>
            <w:shd w:fill="auto" w:val="clear"/>
            <w:vAlign w:val="center"/>
          </w:tcPr>
          <w:p>
            <w:pPr>
              <w:pStyle w:val="TableContents"/>
              <w:spacing w:before="0" w:after="283"/>
              <w:rPr/>
            </w:pPr>
            <w:r>
              <w:rPr/>
              <w:t> </w:t>
            </w:r>
          </w:p>
        </w:tc>
        <w:tc>
          <w:tcPr>
            <w:tcW w:w="2571" w:type="dxa"/>
            <w:tcBorders/>
            <w:shd w:fill="auto" w:val="clear"/>
            <w:vAlign w:val="center"/>
          </w:tcPr>
          <w:p>
            <w:pPr>
              <w:pStyle w:val="TableContents"/>
              <w:spacing w:before="0" w:after="283"/>
              <w:jc w:val="center"/>
              <w:rPr/>
            </w:pPr>
            <w:r>
              <w:rPr/>
              <w:t>Hotels, Restaurants and Leisure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32" w:type="dxa"/>
            <w:tcBorders/>
            <w:shd w:fill="auto" w:val="clear"/>
            <w:vAlign w:val="center"/>
          </w:tcPr>
          <w:p>
            <w:pPr>
              <w:pStyle w:val="TableContents"/>
              <w:spacing w:before="0" w:after="283"/>
              <w:jc w:val="center"/>
              <w:rPr/>
            </w:pPr>
            <w:r>
              <w:rPr/>
              <w:t>First Lien Secured Debt,</w:t>
              <w:br/>
              <w:t>3M L+550, 07/20/2027</w:t>
            </w:r>
          </w:p>
        </w:tc>
        <w:tc>
          <w:tcPr>
            <w:tcW w:w="6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115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right"/>
              <w:rPr/>
            </w:pPr>
            <w:r>
              <w:rPr/>
              <w:t>3,183</w:t>
            </w:r>
          </w:p>
        </w:tc>
        <w:tc>
          <w:tcPr>
            <w:tcW w:w="78"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1757"/>
        <w:gridCol w:w="60"/>
        <w:gridCol w:w="2716"/>
        <w:gridCol w:w="60"/>
        <w:gridCol w:w="60"/>
        <w:gridCol w:w="60"/>
        <w:gridCol w:w="1991"/>
        <w:gridCol w:w="60"/>
        <w:gridCol w:w="123"/>
        <w:gridCol w:w="1189"/>
        <w:gridCol w:w="474"/>
        <w:gridCol w:w="60"/>
        <w:gridCol w:w="284"/>
        <w:gridCol w:w="1136"/>
        <w:gridCol w:w="175"/>
      </w:tblGrid>
      <w:tr>
        <w:trPr/>
        <w:tc>
          <w:tcPr>
            <w:tcW w:w="17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757"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w:t>
              <w:br/>
              <w:t>Address of Portfolio Company</w:t>
            </w:r>
          </w:p>
        </w:tc>
        <w:tc>
          <w:tcPr>
            <w:tcW w:w="60" w:type="dxa"/>
            <w:tcBorders/>
            <w:shd w:fill="auto" w:val="clear"/>
            <w:vAlign w:val="center"/>
          </w:tcPr>
          <w:p>
            <w:pPr>
              <w:pStyle w:val="TableContents"/>
              <w:spacing w:before="0" w:after="283"/>
              <w:rPr/>
            </w:pPr>
            <w:r>
              <w:rPr/>
              <w:t> </w:t>
            </w:r>
          </w:p>
        </w:tc>
        <w:tc>
          <w:tcPr>
            <w:tcW w:w="2716"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Nature of Business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1"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Type of Investment,</w:t>
            </w:r>
          </w:p>
          <w:p>
            <w:pPr>
              <w:pStyle w:val="TableContents"/>
              <w:spacing w:before="0" w:after="20"/>
              <w:jc w:val="center"/>
              <w:rPr>
                <w:rFonts w:ascii="Times New Roman" w:hAnsi="Times New Roman"/>
                <w:b/>
                <w:sz w:val="16"/>
              </w:rPr>
            </w:pPr>
            <w:r>
              <w:rPr>
                <w:rFonts w:ascii="Times New Roman" w:hAnsi="Times New Roman"/>
                <w:b/>
                <w:sz w:val="16"/>
              </w:rPr>
              <w:t>Interest(1), Maturity</w:t>
            </w:r>
          </w:p>
        </w:tc>
        <w:tc>
          <w:tcPr>
            <w:tcW w:w="60" w:type="dxa"/>
            <w:tcBorders/>
            <w:shd w:fill="auto" w:val="clear"/>
            <w:vAlign w:val="center"/>
          </w:tcPr>
          <w:p>
            <w:pPr>
              <w:pStyle w:val="TableContents"/>
              <w:spacing w:before="0" w:after="283"/>
              <w:rPr/>
            </w:pPr>
            <w:r>
              <w:rPr/>
              <w:t> </w:t>
            </w:r>
          </w:p>
        </w:tc>
        <w:tc>
          <w:tcPr>
            <w:tcW w:w="1312"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Voting</w:t>
              <w:br/>
              <w:t>Percentage</w:t>
              <w:br/>
              <w:t>Ownership(2)</w:t>
            </w:r>
          </w:p>
        </w:tc>
        <w:tc>
          <w:tcPr>
            <w:tcW w:w="4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Fair Value</w:t>
              <w:br/>
              <w:t>(in thousands)</w:t>
            </w:r>
          </w:p>
        </w:tc>
        <w:tc>
          <w:tcPr>
            <w:tcW w:w="175" w:type="dxa"/>
            <w:tcBorders/>
            <w:shd w:fill="auto" w:val="clear"/>
            <w:vAlign w:val="center"/>
          </w:tcPr>
          <w:p>
            <w:pPr>
              <w:pStyle w:val="TableContents"/>
              <w:spacing w:before="0" w:after="283"/>
              <w:rPr/>
            </w:pPr>
            <w:r>
              <w:rPr/>
              <w:t> </w:t>
            </w:r>
          </w:p>
        </w:tc>
      </w:tr>
      <w:tr>
        <w:trPr/>
        <w:tc>
          <w:tcPr>
            <w:tcW w:w="1757"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MailSouth, Inc.</w:t>
            </w:r>
          </w:p>
          <w:p>
            <w:pPr>
              <w:pStyle w:val="TableContents"/>
              <w:spacing w:before="0" w:after="0"/>
              <w:rPr>
                <w:rFonts w:ascii="Times New Roman" w:hAnsi="Times New Roman"/>
                <w:sz w:val="16"/>
              </w:rPr>
            </w:pPr>
            <w:r>
              <w:rPr>
                <w:rFonts w:ascii="Times New Roman" w:hAnsi="Times New Roman"/>
                <w:sz w:val="16"/>
              </w:rPr>
              <w:t>(MSpark, LLC)</w:t>
            </w:r>
          </w:p>
          <w:p>
            <w:pPr>
              <w:pStyle w:val="TableContents"/>
              <w:spacing w:before="0" w:after="0"/>
              <w:rPr>
                <w:rFonts w:ascii="Times New Roman" w:hAnsi="Times New Roman"/>
                <w:sz w:val="16"/>
              </w:rPr>
            </w:pPr>
            <w:r>
              <w:rPr>
                <w:rFonts w:ascii="Times New Roman" w:hAnsi="Times New Roman"/>
                <w:sz w:val="16"/>
              </w:rPr>
              <w:t>5901 Highway 52 East</w:t>
            </w:r>
          </w:p>
          <w:p>
            <w:pPr>
              <w:pStyle w:val="TableContents"/>
              <w:spacing w:before="0" w:after="20"/>
              <w:rPr>
                <w:rFonts w:ascii="Times New Roman" w:hAnsi="Times New Roman"/>
                <w:sz w:val="16"/>
              </w:rPr>
            </w:pPr>
            <w:r>
              <w:rPr>
                <w:rFonts w:ascii="Times New Roman" w:hAnsi="Times New Roman"/>
                <w:sz w:val="16"/>
              </w:rPr>
              <w:t>Helena, AL 35080</w:t>
            </w:r>
          </w:p>
        </w:tc>
        <w:tc>
          <w:tcPr>
            <w:tcW w:w="60" w:type="dxa"/>
            <w:tcBorders/>
            <w:shd w:fill="CCEEFF" w:val="clear"/>
            <w:vAlign w:val="center"/>
          </w:tcPr>
          <w:p>
            <w:pPr>
              <w:pStyle w:val="TableContents"/>
              <w:spacing w:before="0" w:after="283"/>
              <w:rPr/>
            </w:pPr>
            <w:r>
              <w:rPr/>
              <w:t> </w:t>
            </w:r>
          </w:p>
        </w:tc>
        <w:tc>
          <w:tcPr>
            <w:tcW w:w="2716" w:type="dxa"/>
            <w:tcBorders/>
            <w:shd w:fill="CCEEFF" w:val="clear"/>
            <w:vAlign w:val="center"/>
          </w:tcPr>
          <w:p>
            <w:pPr>
              <w:pStyle w:val="TableContents"/>
              <w:spacing w:before="0" w:after="283"/>
              <w:jc w:val="center"/>
              <w:rPr/>
            </w:pPr>
            <w:r>
              <w:rPr/>
              <w:t>Media: Advertising, Printing and Publishing</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91"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Second Lien Secured Debt,</w:t>
              <w:br/>
              <w:t>—(PIK 15.0%), 04/23/2025</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189" w:type="dxa"/>
            <w:tcBorders/>
            <w:shd w:fill="CCEEFF" w:val="clear"/>
            <w:vAlign w:val="center"/>
          </w:tcPr>
          <w:p>
            <w:pPr>
              <w:pStyle w:val="TableContents"/>
              <w:spacing w:before="0" w:after="283"/>
              <w:jc w:val="right"/>
              <w:rPr/>
            </w:pPr>
            <w:r>
              <w:rPr/>
              <w:t>4.0</w:t>
            </w:r>
          </w:p>
        </w:tc>
        <w:tc>
          <w:tcPr>
            <w:tcW w:w="474"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rPr/>
            </w:pPr>
            <w:r>
              <w:rPr/>
              <w:t>$</w:t>
            </w:r>
          </w:p>
        </w:tc>
        <w:tc>
          <w:tcPr>
            <w:tcW w:w="1136" w:type="dxa"/>
            <w:tcBorders/>
            <w:shd w:fill="CCEEFF" w:val="clear"/>
            <w:vAlign w:val="center"/>
          </w:tcPr>
          <w:p>
            <w:pPr>
              <w:pStyle w:val="TableContents"/>
              <w:spacing w:before="0" w:after="283"/>
              <w:jc w:val="right"/>
              <w:rPr/>
            </w:pPr>
            <w:r>
              <w:rPr/>
              <w:t>—  </w:t>
            </w:r>
          </w:p>
        </w:tc>
        <w:tc>
          <w:tcPr>
            <w:tcW w:w="175" w:type="dxa"/>
            <w:tcBorders/>
            <w:shd w:fill="CCEEFF" w:val="clear"/>
            <w:vAlign w:val="center"/>
          </w:tcPr>
          <w:p>
            <w:pPr>
              <w:pStyle w:val="TableContents"/>
              <w:spacing w:before="0" w:after="283"/>
              <w:rPr/>
            </w:pPr>
            <w:r>
              <w:rPr/>
              <w:t> </w:t>
            </w:r>
          </w:p>
        </w:tc>
      </w:tr>
      <w:tr>
        <w:trPr/>
        <w:tc>
          <w:tcPr>
            <w:tcW w:w="1757" w:type="dxa"/>
            <w:tcBorders/>
            <w:shd w:fill="auto" w:val="clear"/>
            <w:vAlign w:val="center"/>
          </w:tcPr>
          <w:p>
            <w:pPr>
              <w:pStyle w:val="TableContents"/>
              <w:spacing w:before="0" w:after="283"/>
              <w:rPr>
                <w:sz w:val="4"/>
                <w:szCs w:val="4"/>
              </w:rPr>
            </w:pPr>
            <w:r>
              <w:rPr>
                <w:sz w:val="4"/>
                <w:szCs w:val="4"/>
              </w:rPr>
            </w:r>
          </w:p>
        </w:tc>
        <w:tc>
          <w:tcPr>
            <w:tcW w:w="2776"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51" w:type="dxa"/>
            <w:gridSpan w:val="2"/>
            <w:tcBorders/>
            <w:shd w:fill="auto" w:val="clear"/>
            <w:vAlign w:val="center"/>
          </w:tcPr>
          <w:p>
            <w:pPr>
              <w:pStyle w:val="TableContents"/>
              <w:spacing w:before="0" w:after="283"/>
              <w:rPr>
                <w:sz w:val="4"/>
                <w:szCs w:val="4"/>
              </w:rPr>
            </w:pPr>
            <w:r>
              <w:rPr>
                <w:sz w:val="4"/>
                <w:szCs w:val="4"/>
              </w:rPr>
            </w:r>
          </w:p>
        </w:tc>
        <w:tc>
          <w:tcPr>
            <w:tcW w:w="1846"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r>
      <w:tr>
        <w:trPr/>
        <w:tc>
          <w:tcPr>
            <w:tcW w:w="1757"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MAG DS Corp.</w:t>
            </w:r>
          </w:p>
          <w:p>
            <w:pPr>
              <w:pStyle w:val="TableContents"/>
              <w:spacing w:before="0" w:after="0"/>
              <w:rPr>
                <w:rFonts w:ascii="Times New Roman" w:hAnsi="Times New Roman"/>
                <w:sz w:val="16"/>
              </w:rPr>
            </w:pPr>
            <w:r>
              <w:rPr>
                <w:rFonts w:ascii="Times New Roman" w:hAnsi="Times New Roman"/>
                <w:sz w:val="16"/>
              </w:rPr>
              <w:t>12730 Fair Lakes Cir Suite 600</w:t>
            </w:r>
          </w:p>
          <w:p>
            <w:pPr>
              <w:pStyle w:val="TableContents"/>
              <w:spacing w:before="0" w:after="20"/>
              <w:rPr>
                <w:rFonts w:ascii="Times New Roman" w:hAnsi="Times New Roman"/>
                <w:sz w:val="16"/>
              </w:rPr>
            </w:pPr>
            <w:r>
              <w:rPr>
                <w:rFonts w:ascii="Times New Roman" w:hAnsi="Times New Roman"/>
                <w:sz w:val="16"/>
              </w:rPr>
              <w:t>Fairfax, VA 22033</w:t>
            </w:r>
          </w:p>
        </w:tc>
        <w:tc>
          <w:tcPr>
            <w:tcW w:w="60" w:type="dxa"/>
            <w:tcBorders/>
            <w:shd w:fill="auto" w:val="clear"/>
            <w:vAlign w:val="center"/>
          </w:tcPr>
          <w:p>
            <w:pPr>
              <w:pStyle w:val="TableContents"/>
              <w:spacing w:before="0" w:after="283"/>
              <w:rPr/>
            </w:pPr>
            <w:r>
              <w:rPr/>
              <w:t> </w:t>
            </w:r>
          </w:p>
        </w:tc>
        <w:tc>
          <w:tcPr>
            <w:tcW w:w="2716" w:type="dxa"/>
            <w:tcBorders/>
            <w:shd w:fill="auto" w:val="clear"/>
            <w:vAlign w:val="center"/>
          </w:tcPr>
          <w:p>
            <w:pPr>
              <w:pStyle w:val="TableContents"/>
              <w:spacing w:before="0" w:after="283"/>
              <w:jc w:val="center"/>
              <w:rPr/>
            </w:pPr>
            <w:r>
              <w:rPr/>
              <w:t>Aerospace and Defense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91" w:type="dxa"/>
            <w:tcBorders/>
            <w:shd w:fill="auto" w:val="clear"/>
            <w:vAlign w:val="center"/>
          </w:tcPr>
          <w:p>
            <w:pPr>
              <w:pStyle w:val="TableContents"/>
              <w:spacing w:before="0" w:after="283"/>
              <w:jc w:val="center"/>
              <w:rPr/>
            </w:pPr>
            <w:r>
              <w:rPr/>
              <w:t>First Lien Secured Debt,</w:t>
              <w:br/>
              <w:t>1M L+550, 04/01/2027</w:t>
            </w:r>
          </w:p>
        </w:tc>
        <w:tc>
          <w:tcPr>
            <w:tcW w:w="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189" w:type="dxa"/>
            <w:tcBorders/>
            <w:shd w:fill="auto" w:val="clear"/>
            <w:vAlign w:val="center"/>
          </w:tcPr>
          <w:p>
            <w:pPr>
              <w:pStyle w:val="TableContents"/>
              <w:spacing w:before="0" w:after="283"/>
              <w:jc w:val="right"/>
              <w:rPr/>
            </w:pPr>
            <w:r>
              <w:rPr/>
              <w:t>—  </w:t>
            </w:r>
          </w:p>
        </w:tc>
        <w:tc>
          <w:tcPr>
            <w:tcW w:w="4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3,379</w:t>
            </w:r>
          </w:p>
        </w:tc>
        <w:tc>
          <w:tcPr>
            <w:tcW w:w="175" w:type="dxa"/>
            <w:tcBorders/>
            <w:shd w:fill="auto" w:val="clear"/>
            <w:vAlign w:val="center"/>
          </w:tcPr>
          <w:p>
            <w:pPr>
              <w:pStyle w:val="TableContents"/>
              <w:spacing w:before="0" w:after="283"/>
              <w:rPr/>
            </w:pPr>
            <w:r>
              <w:rPr/>
              <w:t> </w:t>
            </w:r>
          </w:p>
        </w:tc>
      </w:tr>
      <w:tr>
        <w:trPr/>
        <w:tc>
          <w:tcPr>
            <w:tcW w:w="1757" w:type="dxa"/>
            <w:tcBorders/>
            <w:shd w:fill="auto" w:val="clear"/>
            <w:vAlign w:val="center"/>
          </w:tcPr>
          <w:p>
            <w:pPr>
              <w:pStyle w:val="TableContents"/>
              <w:spacing w:before="0" w:after="283"/>
              <w:rPr>
                <w:sz w:val="4"/>
                <w:szCs w:val="4"/>
              </w:rPr>
            </w:pPr>
            <w:r>
              <w:rPr>
                <w:sz w:val="4"/>
                <w:szCs w:val="4"/>
              </w:rPr>
            </w:r>
          </w:p>
        </w:tc>
        <w:tc>
          <w:tcPr>
            <w:tcW w:w="2776"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51" w:type="dxa"/>
            <w:gridSpan w:val="2"/>
            <w:tcBorders/>
            <w:shd w:fill="auto" w:val="clear"/>
            <w:vAlign w:val="center"/>
          </w:tcPr>
          <w:p>
            <w:pPr>
              <w:pStyle w:val="TableContents"/>
              <w:spacing w:before="0" w:after="283"/>
              <w:rPr>
                <w:sz w:val="4"/>
                <w:szCs w:val="4"/>
              </w:rPr>
            </w:pPr>
            <w:r>
              <w:rPr>
                <w:sz w:val="4"/>
                <w:szCs w:val="4"/>
              </w:rPr>
            </w:r>
          </w:p>
        </w:tc>
        <w:tc>
          <w:tcPr>
            <w:tcW w:w="1846"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r>
      <w:tr>
        <w:trPr/>
        <w:tc>
          <w:tcPr>
            <w:tcW w:w="1757"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Mars Acquisition Holdings Corp.</w:t>
            </w:r>
          </w:p>
          <w:p>
            <w:pPr>
              <w:pStyle w:val="TableContents"/>
              <w:spacing w:before="0" w:after="0"/>
              <w:rPr>
                <w:rFonts w:ascii="Times New Roman" w:hAnsi="Times New Roman"/>
                <w:sz w:val="16"/>
              </w:rPr>
            </w:pPr>
            <w:r>
              <w:rPr>
                <w:rFonts w:ascii="Times New Roman" w:hAnsi="Times New Roman"/>
                <w:sz w:val="16"/>
              </w:rPr>
              <w:t>(Mars Intermediate Holdings II, Inc.)</w:t>
            </w:r>
          </w:p>
          <w:p>
            <w:pPr>
              <w:pStyle w:val="TableContents"/>
              <w:spacing w:before="0" w:after="0"/>
              <w:rPr>
                <w:rFonts w:ascii="Times New Roman" w:hAnsi="Times New Roman"/>
                <w:sz w:val="16"/>
              </w:rPr>
            </w:pPr>
            <w:r>
              <w:rPr>
                <w:rFonts w:ascii="Times New Roman" w:hAnsi="Times New Roman"/>
                <w:sz w:val="16"/>
              </w:rPr>
              <w:t>25200 Telegraph Rd., 5th Floor</w:t>
            </w:r>
          </w:p>
          <w:p>
            <w:pPr>
              <w:pStyle w:val="TableContents"/>
              <w:spacing w:before="0" w:after="20"/>
              <w:rPr>
                <w:rFonts w:ascii="Times New Roman" w:hAnsi="Times New Roman"/>
                <w:sz w:val="16"/>
              </w:rPr>
            </w:pPr>
            <w:r>
              <w:rPr>
                <w:rFonts w:ascii="Times New Roman" w:hAnsi="Times New Roman"/>
                <w:sz w:val="16"/>
              </w:rPr>
              <w:t>Southfield, MI 48033</w:t>
            </w:r>
          </w:p>
        </w:tc>
        <w:tc>
          <w:tcPr>
            <w:tcW w:w="60" w:type="dxa"/>
            <w:tcBorders/>
            <w:shd w:fill="CCEEFF" w:val="clear"/>
            <w:vAlign w:val="center"/>
          </w:tcPr>
          <w:p>
            <w:pPr>
              <w:pStyle w:val="TableContents"/>
              <w:spacing w:before="0" w:after="283"/>
              <w:rPr/>
            </w:pPr>
            <w:r>
              <w:rPr/>
              <w:t> </w:t>
            </w:r>
          </w:p>
        </w:tc>
        <w:tc>
          <w:tcPr>
            <w:tcW w:w="2716" w:type="dxa"/>
            <w:tcBorders/>
            <w:shd w:fill="CCEEFF" w:val="clear"/>
            <w:vAlign w:val="center"/>
          </w:tcPr>
          <w:p>
            <w:pPr>
              <w:pStyle w:val="TableContents"/>
              <w:spacing w:before="0" w:after="283"/>
              <w:jc w:val="center"/>
              <w:rPr/>
            </w:pPr>
            <w:r>
              <w:rPr/>
              <w:t>Media</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91"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L+550, 05/14/2026</w:t>
              <w:br/>
              <w:t>Preferred Equity</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189" w:type="dxa"/>
            <w:tcBorders/>
            <w:shd w:fill="CCEEFF" w:val="clear"/>
            <w:vAlign w:val="center"/>
          </w:tcPr>
          <w:p>
            <w:pPr>
              <w:pStyle w:val="TableContents"/>
              <w:spacing w:before="0" w:after="283"/>
              <w:jc w:val="right"/>
              <w:rPr/>
            </w:pPr>
            <w:r>
              <w:rPr/>
              <w:t>—  </w:t>
            </w:r>
          </w:p>
        </w:tc>
        <w:tc>
          <w:tcPr>
            <w:tcW w:w="47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7,244</w:t>
            </w:r>
          </w:p>
        </w:tc>
        <w:tc>
          <w:tcPr>
            <w:tcW w:w="175" w:type="dxa"/>
            <w:tcBorders/>
            <w:shd w:fill="CCEEFF" w:val="clear"/>
            <w:vAlign w:val="center"/>
          </w:tcPr>
          <w:p>
            <w:pPr>
              <w:pStyle w:val="TableContents"/>
              <w:spacing w:before="0" w:after="283"/>
              <w:rPr/>
            </w:pPr>
            <w:r>
              <w:rPr/>
              <w:t> </w:t>
            </w:r>
          </w:p>
        </w:tc>
      </w:tr>
      <w:tr>
        <w:trPr/>
        <w:tc>
          <w:tcPr>
            <w:tcW w:w="1757" w:type="dxa"/>
            <w:tcBorders/>
            <w:shd w:fill="auto" w:val="clear"/>
            <w:vAlign w:val="center"/>
          </w:tcPr>
          <w:p>
            <w:pPr>
              <w:pStyle w:val="TableContents"/>
              <w:spacing w:before="0" w:after="283"/>
              <w:rPr>
                <w:sz w:val="4"/>
                <w:szCs w:val="4"/>
              </w:rPr>
            </w:pPr>
            <w:r>
              <w:rPr>
                <w:sz w:val="4"/>
                <w:szCs w:val="4"/>
              </w:rPr>
            </w:r>
          </w:p>
        </w:tc>
        <w:tc>
          <w:tcPr>
            <w:tcW w:w="2776"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51" w:type="dxa"/>
            <w:gridSpan w:val="2"/>
            <w:tcBorders/>
            <w:shd w:fill="auto" w:val="clear"/>
            <w:vAlign w:val="center"/>
          </w:tcPr>
          <w:p>
            <w:pPr>
              <w:pStyle w:val="TableContents"/>
              <w:spacing w:before="0" w:after="283"/>
              <w:rPr>
                <w:sz w:val="4"/>
                <w:szCs w:val="4"/>
              </w:rPr>
            </w:pPr>
            <w:r>
              <w:rPr>
                <w:sz w:val="4"/>
                <w:szCs w:val="4"/>
              </w:rPr>
            </w:r>
          </w:p>
        </w:tc>
        <w:tc>
          <w:tcPr>
            <w:tcW w:w="1846"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r>
      <w:tr>
        <w:trPr/>
        <w:tc>
          <w:tcPr>
            <w:tcW w:w="1757"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MBS Holdings, Inc.</w:t>
            </w:r>
          </w:p>
          <w:p>
            <w:pPr>
              <w:pStyle w:val="TableContents"/>
              <w:spacing w:before="0" w:after="0"/>
              <w:rPr>
                <w:rFonts w:ascii="Times New Roman" w:hAnsi="Times New Roman"/>
                <w:sz w:val="16"/>
              </w:rPr>
            </w:pPr>
            <w:r>
              <w:rPr>
                <w:rFonts w:ascii="Times New Roman" w:hAnsi="Times New Roman"/>
                <w:sz w:val="16"/>
              </w:rPr>
              <w:t>880 Montclair Road Suite 400</w:t>
            </w:r>
          </w:p>
          <w:p>
            <w:pPr>
              <w:pStyle w:val="TableContents"/>
              <w:spacing w:before="0" w:after="20"/>
              <w:rPr>
                <w:rFonts w:ascii="Times New Roman" w:hAnsi="Times New Roman"/>
                <w:sz w:val="16"/>
              </w:rPr>
            </w:pPr>
            <w:r>
              <w:rPr>
                <w:rFonts w:ascii="Times New Roman" w:hAnsi="Times New Roman"/>
                <w:sz w:val="16"/>
              </w:rPr>
              <w:t>Birmingham, AL 35213</w:t>
            </w:r>
          </w:p>
        </w:tc>
        <w:tc>
          <w:tcPr>
            <w:tcW w:w="60" w:type="dxa"/>
            <w:tcBorders/>
            <w:shd w:fill="auto" w:val="clear"/>
            <w:vAlign w:val="center"/>
          </w:tcPr>
          <w:p>
            <w:pPr>
              <w:pStyle w:val="TableContents"/>
              <w:spacing w:before="0" w:after="283"/>
              <w:rPr/>
            </w:pPr>
            <w:r>
              <w:rPr/>
              <w:t> </w:t>
            </w:r>
          </w:p>
        </w:tc>
        <w:tc>
          <w:tcPr>
            <w:tcW w:w="2716" w:type="dxa"/>
            <w:tcBorders/>
            <w:shd w:fill="auto" w:val="clear"/>
            <w:vAlign w:val="center"/>
          </w:tcPr>
          <w:p>
            <w:pPr>
              <w:pStyle w:val="TableContents"/>
              <w:spacing w:before="0" w:after="283"/>
              <w:jc w:val="center"/>
              <w:rPr/>
            </w:pPr>
            <w:r>
              <w:rPr/>
              <w:t>Internet Software and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91" w:type="dxa"/>
            <w:tcBorders/>
            <w:shd w:fill="auto" w:val="clear"/>
            <w:vAlign w:val="center"/>
          </w:tcPr>
          <w:p>
            <w:pPr>
              <w:pStyle w:val="TableContents"/>
              <w:spacing w:before="0" w:after="283"/>
              <w:jc w:val="center"/>
              <w:rPr/>
            </w:pPr>
            <w:r>
              <w:rPr/>
              <w:t>First Lien Secured Debt(4),</w:t>
              <w:br/>
              <w:t>—, 04/16/2027</w:t>
            </w:r>
          </w:p>
        </w:tc>
        <w:tc>
          <w:tcPr>
            <w:tcW w:w="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189" w:type="dxa"/>
            <w:tcBorders/>
            <w:shd w:fill="auto" w:val="clear"/>
            <w:vAlign w:val="center"/>
          </w:tcPr>
          <w:p>
            <w:pPr>
              <w:pStyle w:val="TableContents"/>
              <w:spacing w:before="0" w:after="283"/>
              <w:jc w:val="right"/>
              <w:rPr/>
            </w:pPr>
            <w:r>
              <w:rPr/>
              <w:t>—  </w:t>
            </w:r>
          </w:p>
        </w:tc>
        <w:tc>
          <w:tcPr>
            <w:tcW w:w="4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(12</w:t>
            </w:r>
          </w:p>
        </w:tc>
        <w:tc>
          <w:tcPr>
            <w:tcW w:w="175" w:type="dxa"/>
            <w:tcBorders/>
            <w:shd w:fill="auto" w:val="clear"/>
            <w:vAlign w:val="center"/>
          </w:tcPr>
          <w:p>
            <w:pPr>
              <w:pStyle w:val="TableContents"/>
              <w:spacing w:before="0" w:after="283"/>
              <w:rPr/>
            </w:pPr>
            <w:r>
              <w:rPr/>
              <w:t>) </w:t>
            </w:r>
          </w:p>
        </w:tc>
      </w:tr>
      <w:tr>
        <w:trPr/>
        <w:tc>
          <w:tcPr>
            <w:tcW w:w="1757" w:type="dxa"/>
            <w:tcBorders/>
            <w:shd w:fill="auto" w:val="clear"/>
            <w:vAlign w:val="center"/>
          </w:tcPr>
          <w:p>
            <w:pPr>
              <w:pStyle w:val="TableContents"/>
              <w:spacing w:before="0" w:after="283"/>
              <w:rPr>
                <w:sz w:val="4"/>
                <w:szCs w:val="4"/>
              </w:rPr>
            </w:pPr>
            <w:r>
              <w:rPr>
                <w:sz w:val="4"/>
                <w:szCs w:val="4"/>
              </w:rPr>
            </w:r>
          </w:p>
        </w:tc>
        <w:tc>
          <w:tcPr>
            <w:tcW w:w="2776"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51" w:type="dxa"/>
            <w:gridSpan w:val="2"/>
            <w:tcBorders/>
            <w:shd w:fill="auto" w:val="clear"/>
            <w:vAlign w:val="center"/>
          </w:tcPr>
          <w:p>
            <w:pPr>
              <w:pStyle w:val="TableContents"/>
              <w:spacing w:before="0" w:after="283"/>
              <w:rPr>
                <w:sz w:val="4"/>
                <w:szCs w:val="4"/>
              </w:rPr>
            </w:pPr>
            <w:r>
              <w:rPr>
                <w:sz w:val="4"/>
                <w:szCs w:val="4"/>
              </w:rPr>
            </w:r>
          </w:p>
        </w:tc>
        <w:tc>
          <w:tcPr>
            <w:tcW w:w="1846"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r>
      <w:tr>
        <w:trPr/>
        <w:tc>
          <w:tcPr>
            <w:tcW w:w="1757"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MDI Buyer, Inc.</w:t>
            </w:r>
          </w:p>
          <w:p>
            <w:pPr>
              <w:pStyle w:val="TableContents"/>
              <w:spacing w:before="0" w:after="0"/>
              <w:rPr>
                <w:rFonts w:ascii="Times New Roman" w:hAnsi="Times New Roman"/>
                <w:sz w:val="16"/>
              </w:rPr>
            </w:pPr>
            <w:r>
              <w:rPr>
                <w:rFonts w:ascii="Times New Roman" w:hAnsi="Times New Roman"/>
                <w:sz w:val="16"/>
              </w:rPr>
              <w:t>(MDI Aggregator, LP)</w:t>
            </w:r>
          </w:p>
          <w:p>
            <w:pPr>
              <w:pStyle w:val="TableContents"/>
              <w:spacing w:before="0" w:after="0"/>
              <w:rPr>
                <w:rFonts w:ascii="Times New Roman" w:hAnsi="Times New Roman"/>
                <w:sz w:val="16"/>
              </w:rPr>
            </w:pPr>
            <w:r>
              <w:rPr>
                <w:rFonts w:ascii="Times New Roman" w:hAnsi="Times New Roman"/>
                <w:sz w:val="16"/>
              </w:rPr>
              <w:t>740 W Knox Road</w:t>
            </w:r>
          </w:p>
          <w:p>
            <w:pPr>
              <w:pStyle w:val="TableContents"/>
              <w:spacing w:before="0" w:after="20"/>
              <w:rPr>
                <w:rFonts w:ascii="Times New Roman" w:hAnsi="Times New Roman"/>
                <w:sz w:val="16"/>
              </w:rPr>
            </w:pPr>
            <w:r>
              <w:rPr>
                <w:rFonts w:ascii="Times New Roman" w:hAnsi="Times New Roman"/>
                <w:sz w:val="16"/>
              </w:rPr>
              <w:t>Tempe, AZ 85284</w:t>
            </w:r>
          </w:p>
        </w:tc>
        <w:tc>
          <w:tcPr>
            <w:tcW w:w="60" w:type="dxa"/>
            <w:tcBorders/>
            <w:shd w:fill="CCEEFF" w:val="clear"/>
            <w:vAlign w:val="center"/>
          </w:tcPr>
          <w:p>
            <w:pPr>
              <w:pStyle w:val="TableContents"/>
              <w:spacing w:before="0" w:after="283"/>
              <w:rPr/>
            </w:pPr>
            <w:r>
              <w:rPr/>
              <w:t> </w:t>
            </w:r>
          </w:p>
        </w:tc>
        <w:tc>
          <w:tcPr>
            <w:tcW w:w="2716" w:type="dxa"/>
            <w:tcBorders/>
            <w:shd w:fill="CCEEFF" w:val="clear"/>
            <w:vAlign w:val="center"/>
          </w:tcPr>
          <w:p>
            <w:pPr>
              <w:pStyle w:val="TableContents"/>
              <w:spacing w:before="0" w:after="283"/>
              <w:jc w:val="center"/>
              <w:rPr/>
            </w:pPr>
            <w:r>
              <w:rPr/>
              <w:t>Commodity Chemicals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91"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 07/25/2028</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189" w:type="dxa"/>
            <w:tcBorders/>
            <w:shd w:fill="CCEEFF" w:val="clear"/>
            <w:vAlign w:val="center"/>
          </w:tcPr>
          <w:p>
            <w:pPr>
              <w:pStyle w:val="TableContents"/>
              <w:spacing w:before="0" w:after="283"/>
              <w:jc w:val="right"/>
              <w:rPr/>
            </w:pPr>
            <w:r>
              <w:rPr/>
              <w:t>0.6</w:t>
            </w:r>
          </w:p>
        </w:tc>
        <w:tc>
          <w:tcPr>
            <w:tcW w:w="47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643</w:t>
            </w:r>
          </w:p>
        </w:tc>
        <w:tc>
          <w:tcPr>
            <w:tcW w:w="175" w:type="dxa"/>
            <w:tcBorders/>
            <w:shd w:fill="CCEEFF" w:val="clear"/>
            <w:vAlign w:val="center"/>
          </w:tcPr>
          <w:p>
            <w:pPr>
              <w:pStyle w:val="TableContents"/>
              <w:spacing w:before="0" w:after="283"/>
              <w:rPr/>
            </w:pPr>
            <w:r>
              <w:rPr/>
              <w:t> </w:t>
            </w:r>
          </w:p>
        </w:tc>
      </w:tr>
      <w:tr>
        <w:trPr/>
        <w:tc>
          <w:tcPr>
            <w:tcW w:w="1757" w:type="dxa"/>
            <w:tcBorders/>
            <w:shd w:fill="auto" w:val="clear"/>
            <w:vAlign w:val="center"/>
          </w:tcPr>
          <w:p>
            <w:pPr>
              <w:pStyle w:val="TableContents"/>
              <w:spacing w:before="0" w:after="283"/>
              <w:rPr>
                <w:sz w:val="4"/>
                <w:szCs w:val="4"/>
              </w:rPr>
            </w:pPr>
            <w:r>
              <w:rPr>
                <w:sz w:val="4"/>
                <w:szCs w:val="4"/>
              </w:rPr>
            </w:r>
          </w:p>
        </w:tc>
        <w:tc>
          <w:tcPr>
            <w:tcW w:w="2776"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51" w:type="dxa"/>
            <w:gridSpan w:val="2"/>
            <w:tcBorders/>
            <w:shd w:fill="auto" w:val="clear"/>
            <w:vAlign w:val="center"/>
          </w:tcPr>
          <w:p>
            <w:pPr>
              <w:pStyle w:val="TableContents"/>
              <w:spacing w:before="0" w:after="283"/>
              <w:rPr>
                <w:sz w:val="4"/>
                <w:szCs w:val="4"/>
              </w:rPr>
            </w:pPr>
            <w:r>
              <w:rPr>
                <w:sz w:val="4"/>
                <w:szCs w:val="4"/>
              </w:rPr>
            </w:r>
          </w:p>
        </w:tc>
        <w:tc>
          <w:tcPr>
            <w:tcW w:w="1846"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r>
      <w:tr>
        <w:trPr/>
        <w:tc>
          <w:tcPr>
            <w:tcW w:w="1757"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Meadowlark Acquirer, LLC</w:t>
            </w:r>
          </w:p>
          <w:p>
            <w:pPr>
              <w:pStyle w:val="TableContents"/>
              <w:spacing w:before="0" w:after="0"/>
              <w:rPr>
                <w:rFonts w:ascii="Times New Roman" w:hAnsi="Times New Roman"/>
                <w:sz w:val="16"/>
              </w:rPr>
            </w:pPr>
            <w:r>
              <w:rPr>
                <w:rFonts w:ascii="Times New Roman" w:hAnsi="Times New Roman"/>
                <w:sz w:val="16"/>
              </w:rPr>
              <w:t>(Meadowlark Title, LLC)</w:t>
            </w:r>
          </w:p>
          <w:p>
            <w:pPr>
              <w:pStyle w:val="TableContents"/>
              <w:spacing w:before="0" w:after="0"/>
              <w:rPr>
                <w:rFonts w:ascii="Times New Roman" w:hAnsi="Times New Roman"/>
                <w:sz w:val="16"/>
              </w:rPr>
            </w:pPr>
            <w:r>
              <w:rPr>
                <w:rFonts w:ascii="Times New Roman" w:hAnsi="Times New Roman"/>
                <w:sz w:val="16"/>
              </w:rPr>
              <w:t>888 Boylston, Ste. 1600,</w:t>
            </w:r>
          </w:p>
          <w:p>
            <w:pPr>
              <w:pStyle w:val="TableContents"/>
              <w:spacing w:before="0" w:after="20"/>
              <w:rPr>
                <w:rFonts w:ascii="Times New Roman" w:hAnsi="Times New Roman"/>
                <w:sz w:val="16"/>
              </w:rPr>
            </w:pPr>
            <w:r>
              <w:rPr>
                <w:rFonts w:ascii="Times New Roman" w:hAnsi="Times New Roman"/>
                <w:sz w:val="16"/>
              </w:rPr>
              <w:t>Boston, MA, 02199</w:t>
            </w:r>
          </w:p>
        </w:tc>
        <w:tc>
          <w:tcPr>
            <w:tcW w:w="60" w:type="dxa"/>
            <w:tcBorders/>
            <w:shd w:fill="auto" w:val="clear"/>
            <w:vAlign w:val="center"/>
          </w:tcPr>
          <w:p>
            <w:pPr>
              <w:pStyle w:val="TableContents"/>
              <w:spacing w:before="0" w:after="283"/>
              <w:rPr/>
            </w:pPr>
            <w:r>
              <w:rPr/>
              <w:t> </w:t>
            </w:r>
          </w:p>
        </w:tc>
        <w:tc>
          <w:tcPr>
            <w:tcW w:w="2716" w:type="dxa"/>
            <w:tcBorders/>
            <w:shd w:fill="auto" w:val="clear"/>
            <w:vAlign w:val="center"/>
          </w:tcPr>
          <w:p>
            <w:pPr>
              <w:pStyle w:val="TableContents"/>
              <w:spacing w:before="0" w:after="283"/>
              <w:jc w:val="center"/>
              <w:rPr/>
            </w:pPr>
            <w:r>
              <w:rPr/>
              <w:t>Professional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91" w:type="dxa"/>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L+550, 12/10/2027</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189" w:type="dxa"/>
            <w:tcBorders/>
            <w:shd w:fill="auto" w:val="clear"/>
            <w:vAlign w:val="center"/>
          </w:tcPr>
          <w:p>
            <w:pPr>
              <w:pStyle w:val="TableContents"/>
              <w:spacing w:before="0" w:after="283"/>
              <w:jc w:val="right"/>
              <w:rPr/>
            </w:pPr>
            <w:r>
              <w:rPr/>
              <w:t>0.8</w:t>
            </w:r>
          </w:p>
        </w:tc>
        <w:tc>
          <w:tcPr>
            <w:tcW w:w="474"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2,190</w:t>
            </w:r>
          </w:p>
        </w:tc>
        <w:tc>
          <w:tcPr>
            <w:tcW w:w="175" w:type="dxa"/>
            <w:tcBorders/>
            <w:shd w:fill="auto" w:val="clear"/>
            <w:vAlign w:val="center"/>
          </w:tcPr>
          <w:p>
            <w:pPr>
              <w:pStyle w:val="TableContents"/>
              <w:spacing w:before="0" w:after="283"/>
              <w:rPr/>
            </w:pPr>
            <w:r>
              <w:rPr/>
              <w:t> </w:t>
            </w:r>
          </w:p>
        </w:tc>
      </w:tr>
      <w:tr>
        <w:trPr/>
        <w:tc>
          <w:tcPr>
            <w:tcW w:w="1757" w:type="dxa"/>
            <w:tcBorders/>
            <w:shd w:fill="auto" w:val="clear"/>
            <w:vAlign w:val="center"/>
          </w:tcPr>
          <w:p>
            <w:pPr>
              <w:pStyle w:val="TableContents"/>
              <w:spacing w:before="0" w:after="283"/>
              <w:rPr>
                <w:sz w:val="4"/>
                <w:szCs w:val="4"/>
              </w:rPr>
            </w:pPr>
            <w:r>
              <w:rPr>
                <w:sz w:val="4"/>
                <w:szCs w:val="4"/>
              </w:rPr>
            </w:r>
          </w:p>
        </w:tc>
        <w:tc>
          <w:tcPr>
            <w:tcW w:w="2776"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51" w:type="dxa"/>
            <w:gridSpan w:val="2"/>
            <w:tcBorders/>
            <w:shd w:fill="auto" w:val="clear"/>
            <w:vAlign w:val="center"/>
          </w:tcPr>
          <w:p>
            <w:pPr>
              <w:pStyle w:val="TableContents"/>
              <w:spacing w:before="0" w:after="283"/>
              <w:rPr>
                <w:sz w:val="4"/>
                <w:szCs w:val="4"/>
              </w:rPr>
            </w:pPr>
            <w:r>
              <w:rPr>
                <w:sz w:val="4"/>
                <w:szCs w:val="4"/>
              </w:rPr>
            </w:r>
          </w:p>
        </w:tc>
        <w:tc>
          <w:tcPr>
            <w:tcW w:w="1846"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r>
      <w:tr>
        <w:trPr/>
        <w:tc>
          <w:tcPr>
            <w:tcW w:w="1757"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Mission Critical Electronics, Inc.</w:t>
            </w:r>
          </w:p>
          <w:p>
            <w:pPr>
              <w:pStyle w:val="TableContents"/>
              <w:spacing w:before="0" w:after="0"/>
              <w:rPr>
                <w:rFonts w:ascii="Times New Roman" w:hAnsi="Times New Roman"/>
                <w:sz w:val="16"/>
              </w:rPr>
            </w:pPr>
            <w:r>
              <w:rPr>
                <w:rFonts w:ascii="Times New Roman" w:hAnsi="Times New Roman"/>
                <w:sz w:val="16"/>
              </w:rPr>
              <w:t>15272 Newsboy Circle</w:t>
            </w:r>
          </w:p>
          <w:p>
            <w:pPr>
              <w:pStyle w:val="TableContents"/>
              <w:spacing w:before="0" w:after="20"/>
              <w:rPr>
                <w:rFonts w:ascii="Times New Roman" w:hAnsi="Times New Roman"/>
                <w:sz w:val="16"/>
              </w:rPr>
            </w:pPr>
            <w:r>
              <w:rPr>
                <w:rFonts w:ascii="Times New Roman" w:hAnsi="Times New Roman"/>
                <w:sz w:val="16"/>
              </w:rPr>
              <w:t>Huntington, CA 92649</w:t>
            </w:r>
          </w:p>
        </w:tc>
        <w:tc>
          <w:tcPr>
            <w:tcW w:w="60" w:type="dxa"/>
            <w:tcBorders/>
            <w:shd w:fill="CCEEFF" w:val="clear"/>
            <w:vAlign w:val="center"/>
          </w:tcPr>
          <w:p>
            <w:pPr>
              <w:pStyle w:val="TableContents"/>
              <w:spacing w:before="0" w:after="283"/>
              <w:rPr/>
            </w:pPr>
            <w:r>
              <w:rPr/>
              <w:t> </w:t>
            </w:r>
          </w:p>
        </w:tc>
        <w:tc>
          <w:tcPr>
            <w:tcW w:w="2716" w:type="dxa"/>
            <w:tcBorders/>
            <w:shd w:fill="CCEEFF" w:val="clear"/>
            <w:vAlign w:val="center"/>
          </w:tcPr>
          <w:p>
            <w:pPr>
              <w:pStyle w:val="TableContents"/>
              <w:spacing w:before="0" w:after="283"/>
              <w:jc w:val="center"/>
              <w:rPr/>
            </w:pPr>
            <w:r>
              <w:rPr/>
              <w:t>Capital Equipment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91" w:type="dxa"/>
            <w:tcBorders/>
            <w:shd w:fill="CCEEFF" w:val="clear"/>
            <w:vAlign w:val="center"/>
          </w:tcPr>
          <w:p>
            <w:pPr>
              <w:pStyle w:val="TableContents"/>
              <w:spacing w:before="0" w:after="283"/>
              <w:jc w:val="center"/>
              <w:rPr/>
            </w:pPr>
            <w:r>
              <w:rPr/>
              <w:t>First Lien Secured Debt(4),</w:t>
              <w:br/>
              <w:t>SOFR+500, 03/28/2024</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189" w:type="dxa"/>
            <w:tcBorders/>
            <w:shd w:fill="CCEEFF" w:val="clear"/>
            <w:vAlign w:val="center"/>
          </w:tcPr>
          <w:p>
            <w:pPr>
              <w:pStyle w:val="TableContents"/>
              <w:spacing w:before="0" w:after="283"/>
              <w:jc w:val="right"/>
              <w:rPr/>
            </w:pPr>
            <w:r>
              <w:rPr/>
              <w:t>—  </w:t>
            </w:r>
          </w:p>
        </w:tc>
        <w:tc>
          <w:tcPr>
            <w:tcW w:w="47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3,922</w:t>
            </w:r>
          </w:p>
        </w:tc>
        <w:tc>
          <w:tcPr>
            <w:tcW w:w="175" w:type="dxa"/>
            <w:tcBorders/>
            <w:shd w:fill="CCEEFF" w:val="clear"/>
            <w:vAlign w:val="center"/>
          </w:tcPr>
          <w:p>
            <w:pPr>
              <w:pStyle w:val="TableContents"/>
              <w:spacing w:before="0" w:after="283"/>
              <w:rPr/>
            </w:pPr>
            <w:r>
              <w:rPr/>
              <w:t> </w:t>
            </w:r>
          </w:p>
        </w:tc>
      </w:tr>
      <w:tr>
        <w:trPr/>
        <w:tc>
          <w:tcPr>
            <w:tcW w:w="1757" w:type="dxa"/>
            <w:tcBorders/>
            <w:shd w:fill="auto" w:val="clear"/>
            <w:vAlign w:val="center"/>
          </w:tcPr>
          <w:p>
            <w:pPr>
              <w:pStyle w:val="TableContents"/>
              <w:spacing w:before="0" w:after="283"/>
              <w:rPr>
                <w:sz w:val="4"/>
                <w:szCs w:val="4"/>
              </w:rPr>
            </w:pPr>
            <w:r>
              <w:rPr>
                <w:sz w:val="4"/>
                <w:szCs w:val="4"/>
              </w:rPr>
            </w:r>
          </w:p>
        </w:tc>
        <w:tc>
          <w:tcPr>
            <w:tcW w:w="2776"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51" w:type="dxa"/>
            <w:gridSpan w:val="2"/>
            <w:tcBorders/>
            <w:shd w:fill="auto" w:val="clear"/>
            <w:vAlign w:val="center"/>
          </w:tcPr>
          <w:p>
            <w:pPr>
              <w:pStyle w:val="TableContents"/>
              <w:spacing w:before="0" w:after="283"/>
              <w:rPr>
                <w:sz w:val="4"/>
                <w:szCs w:val="4"/>
              </w:rPr>
            </w:pPr>
            <w:r>
              <w:rPr>
                <w:sz w:val="4"/>
                <w:szCs w:val="4"/>
              </w:rPr>
            </w:r>
          </w:p>
        </w:tc>
        <w:tc>
          <w:tcPr>
            <w:tcW w:w="1846"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r>
      <w:tr>
        <w:trPr/>
        <w:tc>
          <w:tcPr>
            <w:tcW w:w="1757"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Municipal Emergency Services, Inc.</w:t>
            </w:r>
          </w:p>
          <w:p>
            <w:pPr>
              <w:pStyle w:val="TableContents"/>
              <w:spacing w:before="0" w:after="0"/>
              <w:rPr>
                <w:rFonts w:ascii="Times New Roman" w:hAnsi="Times New Roman"/>
                <w:sz w:val="16"/>
              </w:rPr>
            </w:pPr>
            <w:r>
              <w:rPr>
                <w:rFonts w:ascii="Times New Roman" w:hAnsi="Times New Roman"/>
                <w:sz w:val="16"/>
              </w:rPr>
              <w:t>12 Turnberry Ln</w:t>
            </w:r>
          </w:p>
          <w:p>
            <w:pPr>
              <w:pStyle w:val="TableContents"/>
              <w:spacing w:before="0" w:after="20"/>
              <w:rPr>
                <w:rFonts w:ascii="Times New Roman" w:hAnsi="Times New Roman"/>
                <w:sz w:val="16"/>
              </w:rPr>
            </w:pPr>
            <w:r>
              <w:rPr>
                <w:rFonts w:ascii="Times New Roman" w:hAnsi="Times New Roman"/>
                <w:sz w:val="16"/>
              </w:rPr>
              <w:t>Sandy Hook, CT 06482</w:t>
            </w:r>
          </w:p>
        </w:tc>
        <w:tc>
          <w:tcPr>
            <w:tcW w:w="60" w:type="dxa"/>
            <w:tcBorders/>
            <w:shd w:fill="auto" w:val="clear"/>
            <w:vAlign w:val="center"/>
          </w:tcPr>
          <w:p>
            <w:pPr>
              <w:pStyle w:val="TableContents"/>
              <w:spacing w:before="0" w:after="283"/>
              <w:rPr/>
            </w:pPr>
            <w:r>
              <w:rPr/>
              <w:t> </w:t>
            </w:r>
          </w:p>
        </w:tc>
        <w:tc>
          <w:tcPr>
            <w:tcW w:w="2716" w:type="dxa"/>
            <w:tcBorders/>
            <w:shd w:fill="auto" w:val="clear"/>
            <w:vAlign w:val="center"/>
          </w:tcPr>
          <w:p>
            <w:pPr>
              <w:pStyle w:val="TableContents"/>
              <w:spacing w:before="0" w:after="283"/>
              <w:jc w:val="center"/>
              <w:rPr/>
            </w:pPr>
            <w:r>
              <w:rPr/>
              <w:t>Distributors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91" w:type="dxa"/>
            <w:tcBorders/>
            <w:shd w:fill="auto" w:val="clear"/>
            <w:vAlign w:val="center"/>
          </w:tcPr>
          <w:p>
            <w:pPr>
              <w:pStyle w:val="TableContents"/>
              <w:spacing w:before="0" w:after="283"/>
              <w:jc w:val="center"/>
              <w:rPr/>
            </w:pPr>
            <w:r>
              <w:rPr/>
              <w:t>First Lien Secured Debt(4),</w:t>
              <w:br/>
              <w:t>3M L+500, 09/28/2027</w:t>
              <w:br/>
              <w:t>Common Equity</w:t>
            </w:r>
          </w:p>
        </w:tc>
        <w:tc>
          <w:tcPr>
            <w:tcW w:w="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189" w:type="dxa"/>
            <w:tcBorders/>
            <w:shd w:fill="auto" w:val="clear"/>
            <w:vAlign w:val="center"/>
          </w:tcPr>
          <w:p>
            <w:pPr>
              <w:pStyle w:val="TableContents"/>
              <w:spacing w:before="0" w:after="283"/>
              <w:jc w:val="right"/>
              <w:rPr/>
            </w:pPr>
            <w:r>
              <w:rPr/>
              <w:t>2.1</w:t>
            </w:r>
          </w:p>
        </w:tc>
        <w:tc>
          <w:tcPr>
            <w:tcW w:w="4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1,897</w:t>
            </w:r>
          </w:p>
        </w:tc>
        <w:tc>
          <w:tcPr>
            <w:tcW w:w="175" w:type="dxa"/>
            <w:tcBorders/>
            <w:shd w:fill="auto" w:val="clear"/>
            <w:vAlign w:val="center"/>
          </w:tcPr>
          <w:p>
            <w:pPr>
              <w:pStyle w:val="TableContents"/>
              <w:spacing w:before="0" w:after="283"/>
              <w:rPr/>
            </w:pPr>
            <w:r>
              <w:rPr/>
              <w:t> </w:t>
            </w:r>
          </w:p>
        </w:tc>
      </w:tr>
      <w:tr>
        <w:trPr/>
        <w:tc>
          <w:tcPr>
            <w:tcW w:w="1757" w:type="dxa"/>
            <w:tcBorders/>
            <w:shd w:fill="auto" w:val="clear"/>
            <w:vAlign w:val="center"/>
          </w:tcPr>
          <w:p>
            <w:pPr>
              <w:pStyle w:val="TableContents"/>
              <w:spacing w:before="0" w:after="283"/>
              <w:rPr>
                <w:sz w:val="4"/>
                <w:szCs w:val="4"/>
              </w:rPr>
            </w:pPr>
            <w:r>
              <w:rPr>
                <w:sz w:val="4"/>
                <w:szCs w:val="4"/>
              </w:rPr>
            </w:r>
          </w:p>
        </w:tc>
        <w:tc>
          <w:tcPr>
            <w:tcW w:w="2776"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51" w:type="dxa"/>
            <w:gridSpan w:val="2"/>
            <w:tcBorders/>
            <w:shd w:fill="auto" w:val="clear"/>
            <w:vAlign w:val="center"/>
          </w:tcPr>
          <w:p>
            <w:pPr>
              <w:pStyle w:val="TableContents"/>
              <w:spacing w:before="0" w:after="283"/>
              <w:rPr>
                <w:sz w:val="4"/>
                <w:szCs w:val="4"/>
              </w:rPr>
            </w:pPr>
            <w:r>
              <w:rPr>
                <w:sz w:val="4"/>
                <w:szCs w:val="4"/>
              </w:rPr>
            </w:r>
          </w:p>
        </w:tc>
        <w:tc>
          <w:tcPr>
            <w:tcW w:w="1846"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r>
      <w:tr>
        <w:trPr/>
        <w:tc>
          <w:tcPr>
            <w:tcW w:w="1757"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NBH Group LLC</w:t>
            </w:r>
          </w:p>
          <w:p>
            <w:pPr>
              <w:pStyle w:val="TableContents"/>
              <w:spacing w:before="0" w:after="0"/>
              <w:rPr>
                <w:rFonts w:ascii="Times New Roman" w:hAnsi="Times New Roman"/>
                <w:sz w:val="16"/>
              </w:rPr>
            </w:pPr>
            <w:r>
              <w:rPr>
                <w:rFonts w:ascii="Times New Roman" w:hAnsi="Times New Roman"/>
                <w:sz w:val="16"/>
              </w:rPr>
              <w:t>3035 S Maryland Pkwy #110</w:t>
            </w:r>
          </w:p>
          <w:p>
            <w:pPr>
              <w:pStyle w:val="TableContents"/>
              <w:spacing w:before="0" w:after="20"/>
              <w:rPr>
                <w:rFonts w:ascii="Times New Roman" w:hAnsi="Times New Roman"/>
                <w:sz w:val="16"/>
              </w:rPr>
            </w:pPr>
            <w:r>
              <w:rPr>
                <w:rFonts w:ascii="Times New Roman" w:hAnsi="Times New Roman"/>
                <w:sz w:val="16"/>
              </w:rPr>
              <w:t>Las Vegas, NV 89109</w:t>
            </w:r>
          </w:p>
        </w:tc>
        <w:tc>
          <w:tcPr>
            <w:tcW w:w="60" w:type="dxa"/>
            <w:tcBorders/>
            <w:shd w:fill="CCEEFF" w:val="clear"/>
            <w:vAlign w:val="center"/>
          </w:tcPr>
          <w:p>
            <w:pPr>
              <w:pStyle w:val="TableContents"/>
              <w:spacing w:before="0" w:after="283"/>
              <w:rPr/>
            </w:pPr>
            <w:r>
              <w:rPr/>
              <w:t> </w:t>
            </w:r>
          </w:p>
        </w:tc>
        <w:tc>
          <w:tcPr>
            <w:tcW w:w="2716" w:type="dxa"/>
            <w:tcBorders/>
            <w:shd w:fill="CCEEFF" w:val="clear"/>
            <w:vAlign w:val="center"/>
          </w:tcPr>
          <w:p>
            <w:pPr>
              <w:pStyle w:val="TableContents"/>
              <w:spacing w:before="0" w:after="283"/>
              <w:jc w:val="center"/>
              <w:rPr/>
            </w:pPr>
            <w:r>
              <w:rPr/>
              <w:t>Healthcare Equipment and Supplies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91" w:type="dxa"/>
            <w:tcBorders/>
            <w:shd w:fill="CCEEFF" w:val="clear"/>
            <w:vAlign w:val="center"/>
          </w:tcPr>
          <w:p>
            <w:pPr>
              <w:pStyle w:val="TableContents"/>
              <w:spacing w:before="0" w:after="283"/>
              <w:jc w:val="center"/>
              <w:rPr/>
            </w:pPr>
            <w:r>
              <w:rPr/>
              <w:t>First Lien Secured Debt(4),</w:t>
              <w:br/>
              <w:t>—, 08/19/2026</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189" w:type="dxa"/>
            <w:tcBorders/>
            <w:shd w:fill="CCEEFF" w:val="clear"/>
            <w:vAlign w:val="center"/>
          </w:tcPr>
          <w:p>
            <w:pPr>
              <w:pStyle w:val="TableContents"/>
              <w:spacing w:before="0" w:after="283"/>
              <w:jc w:val="right"/>
              <w:rPr/>
            </w:pPr>
            <w:r>
              <w:rPr/>
              <w:t>—  </w:t>
            </w:r>
          </w:p>
        </w:tc>
        <w:tc>
          <w:tcPr>
            <w:tcW w:w="47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  </w:t>
            </w:r>
          </w:p>
        </w:tc>
        <w:tc>
          <w:tcPr>
            <w:tcW w:w="175" w:type="dxa"/>
            <w:tcBorders/>
            <w:shd w:fill="CCEEFF" w:val="clear"/>
            <w:vAlign w:val="center"/>
          </w:tcPr>
          <w:p>
            <w:pPr>
              <w:pStyle w:val="TableContents"/>
              <w:spacing w:before="0" w:after="283"/>
              <w:rPr/>
            </w:pPr>
            <w:r>
              <w:rPr/>
              <w:t> </w:t>
            </w:r>
          </w:p>
        </w:tc>
      </w:tr>
      <w:tr>
        <w:trPr/>
        <w:tc>
          <w:tcPr>
            <w:tcW w:w="1757" w:type="dxa"/>
            <w:tcBorders/>
            <w:shd w:fill="auto" w:val="clear"/>
            <w:vAlign w:val="center"/>
          </w:tcPr>
          <w:p>
            <w:pPr>
              <w:pStyle w:val="TableContents"/>
              <w:spacing w:before="0" w:after="283"/>
              <w:rPr>
                <w:sz w:val="4"/>
                <w:szCs w:val="4"/>
              </w:rPr>
            </w:pPr>
            <w:r>
              <w:rPr>
                <w:sz w:val="4"/>
                <w:szCs w:val="4"/>
              </w:rPr>
            </w:r>
          </w:p>
        </w:tc>
        <w:tc>
          <w:tcPr>
            <w:tcW w:w="2776"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51" w:type="dxa"/>
            <w:gridSpan w:val="2"/>
            <w:tcBorders/>
            <w:shd w:fill="auto" w:val="clear"/>
            <w:vAlign w:val="center"/>
          </w:tcPr>
          <w:p>
            <w:pPr>
              <w:pStyle w:val="TableContents"/>
              <w:spacing w:before="0" w:after="283"/>
              <w:rPr>
                <w:sz w:val="4"/>
                <w:szCs w:val="4"/>
              </w:rPr>
            </w:pPr>
            <w:r>
              <w:rPr>
                <w:sz w:val="4"/>
                <w:szCs w:val="4"/>
              </w:rPr>
            </w:r>
          </w:p>
        </w:tc>
        <w:tc>
          <w:tcPr>
            <w:tcW w:w="1846"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r>
      <w:tr>
        <w:trPr/>
        <w:tc>
          <w:tcPr>
            <w:tcW w:w="1757"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OHCP V BC COI, L.P.(5)</w:t>
            </w:r>
          </w:p>
          <w:p>
            <w:pPr>
              <w:pStyle w:val="TableContents"/>
              <w:spacing w:before="0" w:after="0"/>
              <w:rPr>
                <w:rFonts w:ascii="Times New Roman" w:hAnsi="Times New Roman"/>
                <w:sz w:val="16"/>
              </w:rPr>
            </w:pPr>
            <w:r>
              <w:rPr>
                <w:rFonts w:ascii="Times New Roman" w:hAnsi="Times New Roman"/>
                <w:sz w:val="16"/>
              </w:rPr>
              <w:t>525 West Monroe Street</w:t>
            </w:r>
          </w:p>
          <w:p>
            <w:pPr>
              <w:pStyle w:val="TableContents"/>
              <w:spacing w:before="0" w:after="20"/>
              <w:rPr>
                <w:rFonts w:ascii="Times New Roman" w:hAnsi="Times New Roman"/>
                <w:sz w:val="16"/>
              </w:rPr>
            </w:pPr>
            <w:r>
              <w:rPr>
                <w:rFonts w:ascii="Times New Roman" w:hAnsi="Times New Roman"/>
                <w:sz w:val="16"/>
              </w:rPr>
              <w:t>Chicago, IL 60661</w:t>
            </w:r>
          </w:p>
        </w:tc>
        <w:tc>
          <w:tcPr>
            <w:tcW w:w="60" w:type="dxa"/>
            <w:tcBorders/>
            <w:shd w:fill="auto" w:val="clear"/>
            <w:vAlign w:val="center"/>
          </w:tcPr>
          <w:p>
            <w:pPr>
              <w:pStyle w:val="TableContents"/>
              <w:spacing w:before="0" w:after="283"/>
              <w:rPr/>
            </w:pPr>
            <w:r>
              <w:rPr/>
              <w:t> </w:t>
            </w:r>
          </w:p>
        </w:tc>
        <w:tc>
          <w:tcPr>
            <w:tcW w:w="2716" w:type="dxa"/>
            <w:tcBorders/>
            <w:shd w:fill="auto" w:val="clear"/>
            <w:vAlign w:val="center"/>
          </w:tcPr>
          <w:p>
            <w:pPr>
              <w:pStyle w:val="TableContents"/>
              <w:spacing w:before="0" w:after="283"/>
              <w:jc w:val="center"/>
              <w:rPr/>
            </w:pPr>
            <w:r>
              <w:rPr/>
              <w:t>Distributors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91" w:type="dxa"/>
            <w:tcBorders/>
            <w:shd w:fill="auto" w:val="clear"/>
            <w:vAlign w:val="center"/>
          </w:tcPr>
          <w:p>
            <w:pPr>
              <w:pStyle w:val="TableContents"/>
              <w:spacing w:before="0" w:after="283"/>
              <w:jc w:val="center"/>
              <w:rPr/>
            </w:pPr>
            <w:r>
              <w:rPr/>
              <w:t>Common Equity(4)</w:t>
            </w:r>
          </w:p>
        </w:tc>
        <w:tc>
          <w:tcPr>
            <w:tcW w:w="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189" w:type="dxa"/>
            <w:tcBorders/>
            <w:shd w:fill="auto" w:val="clear"/>
            <w:vAlign w:val="center"/>
          </w:tcPr>
          <w:p>
            <w:pPr>
              <w:pStyle w:val="TableContents"/>
              <w:spacing w:before="0" w:after="283"/>
              <w:jc w:val="center"/>
              <w:rPr/>
            </w:pPr>
            <w:r>
              <w:rPr/>
              <w:t>—  </w:t>
            </w:r>
            <w:r>
              <w:rPr/>
              <w:t>(7)</w:t>
            </w:r>
          </w:p>
        </w:tc>
        <w:tc>
          <w:tcPr>
            <w:tcW w:w="4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563</w:t>
            </w:r>
          </w:p>
        </w:tc>
        <w:tc>
          <w:tcPr>
            <w:tcW w:w="175" w:type="dxa"/>
            <w:tcBorders/>
            <w:shd w:fill="auto" w:val="clear"/>
            <w:vAlign w:val="center"/>
          </w:tcPr>
          <w:p>
            <w:pPr>
              <w:pStyle w:val="TableContents"/>
              <w:spacing w:before="0" w:after="283"/>
              <w:rPr/>
            </w:pPr>
            <w:r>
              <w:rPr/>
              <w:t> </w:t>
            </w:r>
          </w:p>
        </w:tc>
      </w:tr>
      <w:tr>
        <w:trPr/>
        <w:tc>
          <w:tcPr>
            <w:tcW w:w="1757" w:type="dxa"/>
            <w:tcBorders/>
            <w:shd w:fill="auto" w:val="clear"/>
            <w:vAlign w:val="center"/>
          </w:tcPr>
          <w:p>
            <w:pPr>
              <w:pStyle w:val="TableContents"/>
              <w:spacing w:before="0" w:after="283"/>
              <w:rPr>
                <w:sz w:val="4"/>
                <w:szCs w:val="4"/>
              </w:rPr>
            </w:pPr>
            <w:r>
              <w:rPr>
                <w:sz w:val="4"/>
                <w:szCs w:val="4"/>
              </w:rPr>
            </w:r>
          </w:p>
        </w:tc>
        <w:tc>
          <w:tcPr>
            <w:tcW w:w="2776"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51" w:type="dxa"/>
            <w:gridSpan w:val="2"/>
            <w:tcBorders/>
            <w:shd w:fill="auto" w:val="clear"/>
            <w:vAlign w:val="center"/>
          </w:tcPr>
          <w:p>
            <w:pPr>
              <w:pStyle w:val="TableContents"/>
              <w:spacing w:before="0" w:after="283"/>
              <w:rPr>
                <w:sz w:val="4"/>
                <w:szCs w:val="4"/>
              </w:rPr>
            </w:pPr>
            <w:r>
              <w:rPr>
                <w:sz w:val="4"/>
                <w:szCs w:val="4"/>
              </w:rPr>
            </w:r>
          </w:p>
        </w:tc>
        <w:tc>
          <w:tcPr>
            <w:tcW w:w="1846"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r>
      <w:tr>
        <w:trPr/>
        <w:tc>
          <w:tcPr>
            <w:tcW w:w="1757"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OIS Management Services, LLC</w:t>
            </w:r>
          </w:p>
          <w:p>
            <w:pPr>
              <w:pStyle w:val="TableContents"/>
              <w:spacing w:before="0" w:after="0"/>
              <w:rPr>
                <w:rFonts w:ascii="Times New Roman" w:hAnsi="Times New Roman"/>
                <w:sz w:val="16"/>
              </w:rPr>
            </w:pPr>
            <w:r>
              <w:rPr>
                <w:rFonts w:ascii="Times New Roman" w:hAnsi="Times New Roman"/>
                <w:sz w:val="16"/>
              </w:rPr>
              <w:t>(Oral Surgery (ITC) Holdings,</w:t>
            </w:r>
          </w:p>
          <w:p>
            <w:pPr>
              <w:pStyle w:val="TableContents"/>
              <w:spacing w:before="0" w:after="0"/>
              <w:rPr>
                <w:rFonts w:ascii="Times New Roman" w:hAnsi="Times New Roman"/>
                <w:sz w:val="16"/>
              </w:rPr>
            </w:pPr>
            <w:r>
              <w:rPr>
                <w:rFonts w:ascii="Times New Roman" w:hAnsi="Times New Roman"/>
                <w:sz w:val="16"/>
              </w:rPr>
              <w:t>LLC (5))</w:t>
            </w:r>
          </w:p>
          <w:p>
            <w:pPr>
              <w:pStyle w:val="TableContents"/>
              <w:spacing w:before="0" w:after="0"/>
              <w:rPr>
                <w:rFonts w:ascii="Times New Roman" w:hAnsi="Times New Roman"/>
                <w:sz w:val="16"/>
              </w:rPr>
            </w:pPr>
            <w:r>
              <w:rPr>
                <w:rFonts w:ascii="Times New Roman" w:hAnsi="Times New Roman"/>
                <w:sz w:val="16"/>
              </w:rPr>
              <w:t>2600 S 56th Street A</w:t>
            </w:r>
          </w:p>
          <w:p>
            <w:pPr>
              <w:pStyle w:val="TableContents"/>
              <w:spacing w:before="0" w:after="20"/>
              <w:rPr>
                <w:rFonts w:ascii="Times New Roman" w:hAnsi="Times New Roman"/>
                <w:sz w:val="16"/>
              </w:rPr>
            </w:pPr>
            <w:r>
              <w:rPr>
                <w:rFonts w:ascii="Times New Roman" w:hAnsi="Times New Roman"/>
                <w:sz w:val="16"/>
              </w:rPr>
              <w:t>Lincoln, NE 68506</w:t>
            </w:r>
          </w:p>
        </w:tc>
        <w:tc>
          <w:tcPr>
            <w:tcW w:w="60" w:type="dxa"/>
            <w:tcBorders/>
            <w:shd w:fill="CCEEFF" w:val="clear"/>
            <w:vAlign w:val="center"/>
          </w:tcPr>
          <w:p>
            <w:pPr>
              <w:pStyle w:val="TableContents"/>
              <w:spacing w:before="0" w:after="283"/>
              <w:rPr/>
            </w:pPr>
            <w:r>
              <w:rPr/>
              <w:t> </w:t>
            </w:r>
          </w:p>
        </w:tc>
        <w:tc>
          <w:tcPr>
            <w:tcW w:w="2716" w:type="dxa"/>
            <w:tcBorders/>
            <w:shd w:fill="CCEEFF" w:val="clear"/>
            <w:vAlign w:val="center"/>
          </w:tcPr>
          <w:p>
            <w:pPr>
              <w:pStyle w:val="TableContents"/>
              <w:spacing w:before="0" w:after="283"/>
              <w:jc w:val="center"/>
              <w:rPr/>
            </w:pPr>
            <w:r>
              <w:rPr/>
              <w:t>Healthcare Equipment and Supplies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91"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r>
          </w:p>
          <w:p>
            <w:pPr>
              <w:pStyle w:val="TableContents"/>
              <w:spacing w:before="0" w:after="0"/>
              <w:jc w:val="center"/>
              <w:rPr>
                <w:rFonts w:ascii="Times New Roman" w:hAnsi="Times New Roman"/>
                <w:sz w:val="16"/>
              </w:rPr>
            </w:pPr>
            <w:r>
              <w:rPr>
                <w:rFonts w:ascii="Times New Roman" w:hAnsi="Times New Roman"/>
                <w:sz w:val="16"/>
              </w:rPr>
              <w:t>SOFR+575, 07/09/2026</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189" w:type="dxa"/>
            <w:tcBorders/>
            <w:shd w:fill="CCEEFF" w:val="clear"/>
            <w:vAlign w:val="center"/>
          </w:tcPr>
          <w:p>
            <w:pPr>
              <w:pStyle w:val="TableContents"/>
              <w:spacing w:before="0" w:after="283"/>
              <w:jc w:val="right"/>
              <w:rPr/>
            </w:pPr>
            <w:r>
              <w:rPr/>
              <w:t>0.1</w:t>
            </w:r>
          </w:p>
        </w:tc>
        <w:tc>
          <w:tcPr>
            <w:tcW w:w="47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2,206</w:t>
            </w:r>
          </w:p>
        </w:tc>
        <w:tc>
          <w:tcPr>
            <w:tcW w:w="175" w:type="dxa"/>
            <w:tcBorders/>
            <w:shd w:fill="CCEEFF" w:val="clear"/>
            <w:vAlign w:val="center"/>
          </w:tcPr>
          <w:p>
            <w:pPr>
              <w:pStyle w:val="TableContents"/>
              <w:spacing w:before="0" w:after="283"/>
              <w:rPr/>
            </w:pPr>
            <w:r>
              <w:rPr/>
              <w:t> </w:t>
            </w:r>
          </w:p>
        </w:tc>
      </w:tr>
      <w:tr>
        <w:trPr/>
        <w:tc>
          <w:tcPr>
            <w:tcW w:w="1757" w:type="dxa"/>
            <w:tcBorders/>
            <w:shd w:fill="auto" w:val="clear"/>
            <w:vAlign w:val="center"/>
          </w:tcPr>
          <w:p>
            <w:pPr>
              <w:pStyle w:val="TableContents"/>
              <w:spacing w:before="0" w:after="283"/>
              <w:rPr>
                <w:sz w:val="4"/>
                <w:szCs w:val="4"/>
              </w:rPr>
            </w:pPr>
            <w:r>
              <w:rPr>
                <w:sz w:val="4"/>
                <w:szCs w:val="4"/>
              </w:rPr>
            </w:r>
          </w:p>
        </w:tc>
        <w:tc>
          <w:tcPr>
            <w:tcW w:w="2776"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51" w:type="dxa"/>
            <w:gridSpan w:val="2"/>
            <w:tcBorders/>
            <w:shd w:fill="auto" w:val="clear"/>
            <w:vAlign w:val="center"/>
          </w:tcPr>
          <w:p>
            <w:pPr>
              <w:pStyle w:val="TableContents"/>
              <w:spacing w:before="0" w:after="283"/>
              <w:rPr>
                <w:sz w:val="4"/>
                <w:szCs w:val="4"/>
              </w:rPr>
            </w:pPr>
            <w:r>
              <w:rPr>
                <w:sz w:val="4"/>
                <w:szCs w:val="4"/>
              </w:rPr>
            </w:r>
          </w:p>
        </w:tc>
        <w:tc>
          <w:tcPr>
            <w:tcW w:w="1846"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r>
      <w:tr>
        <w:trPr/>
        <w:tc>
          <w:tcPr>
            <w:tcW w:w="1757"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One Stop Mailing, LLC</w:t>
            </w:r>
          </w:p>
          <w:p>
            <w:pPr>
              <w:pStyle w:val="TableContents"/>
              <w:spacing w:before="0" w:after="0"/>
              <w:rPr>
                <w:rFonts w:ascii="Times New Roman" w:hAnsi="Times New Roman"/>
                <w:sz w:val="16"/>
              </w:rPr>
            </w:pPr>
            <w:r>
              <w:rPr>
                <w:rFonts w:ascii="Times New Roman" w:hAnsi="Times New Roman"/>
                <w:sz w:val="16"/>
              </w:rPr>
              <w:t>601 Regency Drive</w:t>
            </w:r>
          </w:p>
          <w:p>
            <w:pPr>
              <w:pStyle w:val="TableContents"/>
              <w:spacing w:before="0" w:after="20"/>
              <w:rPr>
                <w:rFonts w:ascii="Times New Roman" w:hAnsi="Times New Roman"/>
                <w:sz w:val="16"/>
              </w:rPr>
            </w:pPr>
            <w:r>
              <w:rPr>
                <w:rFonts w:ascii="Times New Roman" w:hAnsi="Times New Roman"/>
                <w:sz w:val="16"/>
              </w:rPr>
              <w:t>Glendale Heights, IL 60139</w:t>
            </w:r>
          </w:p>
        </w:tc>
        <w:tc>
          <w:tcPr>
            <w:tcW w:w="60" w:type="dxa"/>
            <w:tcBorders/>
            <w:shd w:fill="auto" w:val="clear"/>
            <w:vAlign w:val="center"/>
          </w:tcPr>
          <w:p>
            <w:pPr>
              <w:pStyle w:val="TableContents"/>
              <w:spacing w:before="0" w:after="283"/>
              <w:rPr/>
            </w:pPr>
            <w:r>
              <w:rPr/>
              <w:t> </w:t>
            </w:r>
          </w:p>
        </w:tc>
        <w:tc>
          <w:tcPr>
            <w:tcW w:w="2716" w:type="dxa"/>
            <w:tcBorders/>
            <w:shd w:fill="auto" w:val="clear"/>
            <w:vAlign w:val="center"/>
          </w:tcPr>
          <w:p>
            <w:pPr>
              <w:pStyle w:val="TableContents"/>
              <w:spacing w:before="0" w:after="283"/>
              <w:jc w:val="center"/>
              <w:rPr/>
            </w:pPr>
            <w:r>
              <w:rPr/>
              <w:t>Air Freight and Logistics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91" w:type="dxa"/>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w:t>
            </w:r>
          </w:p>
          <w:p>
            <w:pPr>
              <w:pStyle w:val="TableContents"/>
              <w:spacing w:before="0" w:after="20"/>
              <w:jc w:val="center"/>
              <w:rPr>
                <w:rFonts w:ascii="Times New Roman" w:hAnsi="Times New Roman"/>
                <w:sz w:val="16"/>
              </w:rPr>
            </w:pPr>
            <w:r>
              <w:rPr>
                <w:rFonts w:ascii="Times New Roman" w:hAnsi="Times New Roman"/>
                <w:sz w:val="16"/>
              </w:rPr>
              <w:t>3M L+625, 05/07/2027</w:t>
            </w:r>
          </w:p>
        </w:tc>
        <w:tc>
          <w:tcPr>
            <w:tcW w:w="60"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1189" w:type="dxa"/>
            <w:tcBorders/>
            <w:shd w:fill="auto" w:val="clear"/>
            <w:vAlign w:val="center"/>
          </w:tcPr>
          <w:p>
            <w:pPr>
              <w:pStyle w:val="TableContents"/>
              <w:spacing w:before="0" w:after="283"/>
              <w:jc w:val="right"/>
              <w:rPr/>
            </w:pPr>
            <w:r>
              <w:rPr/>
              <w:t>—</w:t>
            </w:r>
          </w:p>
        </w:tc>
        <w:tc>
          <w:tcPr>
            <w:tcW w:w="4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4" w:type="dxa"/>
            <w:tcBorders/>
            <w:shd w:fill="auto" w:val="clear"/>
            <w:vAlign w:val="center"/>
          </w:tcPr>
          <w:p>
            <w:pPr>
              <w:pStyle w:val="TableContents"/>
              <w:spacing w:before="0" w:after="283"/>
              <w:rPr/>
            </w:pPr>
            <w:r>
              <w:rPr/>
              <w:t> </w:t>
            </w:r>
          </w:p>
        </w:tc>
        <w:tc>
          <w:tcPr>
            <w:tcW w:w="1136" w:type="dxa"/>
            <w:tcBorders/>
            <w:shd w:fill="auto" w:val="clear"/>
            <w:vAlign w:val="center"/>
          </w:tcPr>
          <w:p>
            <w:pPr>
              <w:pStyle w:val="TableContents"/>
              <w:spacing w:before="0" w:after="283"/>
              <w:jc w:val="right"/>
              <w:rPr/>
            </w:pPr>
            <w:r>
              <w:rPr/>
              <w:t>8,496</w:t>
            </w:r>
          </w:p>
        </w:tc>
        <w:tc>
          <w:tcPr>
            <w:tcW w:w="175" w:type="dxa"/>
            <w:tcBorders/>
            <w:shd w:fill="auto" w:val="clear"/>
            <w:vAlign w:val="center"/>
          </w:tcPr>
          <w:p>
            <w:pPr>
              <w:pStyle w:val="TableContents"/>
              <w:spacing w:before="0" w:after="283"/>
              <w:rPr/>
            </w:pPr>
            <w:r>
              <w:rPr/>
              <w:t> </w:t>
            </w:r>
          </w:p>
        </w:tc>
      </w:tr>
      <w:tr>
        <w:trPr/>
        <w:tc>
          <w:tcPr>
            <w:tcW w:w="1757" w:type="dxa"/>
            <w:tcBorders/>
            <w:shd w:fill="auto" w:val="clear"/>
            <w:vAlign w:val="center"/>
          </w:tcPr>
          <w:p>
            <w:pPr>
              <w:pStyle w:val="TableContents"/>
              <w:spacing w:before="0" w:after="283"/>
              <w:rPr>
                <w:sz w:val="4"/>
                <w:szCs w:val="4"/>
              </w:rPr>
            </w:pPr>
            <w:r>
              <w:rPr>
                <w:sz w:val="4"/>
                <w:szCs w:val="4"/>
              </w:rPr>
            </w:r>
          </w:p>
        </w:tc>
        <w:tc>
          <w:tcPr>
            <w:tcW w:w="2776"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051" w:type="dxa"/>
            <w:gridSpan w:val="2"/>
            <w:tcBorders/>
            <w:shd w:fill="auto" w:val="clear"/>
            <w:vAlign w:val="center"/>
          </w:tcPr>
          <w:p>
            <w:pPr>
              <w:pStyle w:val="TableContents"/>
              <w:spacing w:before="0" w:after="283"/>
              <w:rPr>
                <w:sz w:val="4"/>
                <w:szCs w:val="4"/>
              </w:rPr>
            </w:pPr>
            <w:r>
              <w:rPr>
                <w:sz w:val="4"/>
                <w:szCs w:val="4"/>
              </w:rPr>
            </w:r>
          </w:p>
        </w:tc>
        <w:tc>
          <w:tcPr>
            <w:tcW w:w="1846" w:type="dxa"/>
            <w:gridSpan w:val="4"/>
            <w:tcBorders/>
            <w:shd w:fill="auto" w:val="clear"/>
            <w:vAlign w:val="center"/>
          </w:tcPr>
          <w:p>
            <w:pPr>
              <w:pStyle w:val="TableContents"/>
              <w:spacing w:before="0" w:after="283"/>
              <w:rPr>
                <w:sz w:val="4"/>
                <w:szCs w:val="4"/>
              </w:rPr>
            </w:pPr>
            <w:r>
              <w:rPr>
                <w:sz w:val="4"/>
                <w:szCs w:val="4"/>
              </w:rPr>
            </w:r>
          </w:p>
        </w:tc>
        <w:tc>
          <w:tcPr>
            <w:tcW w:w="1655" w:type="dxa"/>
            <w:gridSpan w:val="4"/>
            <w:tcBorders/>
            <w:shd w:fill="auto" w:val="clear"/>
            <w:vAlign w:val="center"/>
          </w:tcPr>
          <w:p>
            <w:pPr>
              <w:pStyle w:val="TableContents"/>
              <w:spacing w:before="0" w:after="283"/>
              <w:rPr>
                <w:sz w:val="4"/>
                <w:szCs w:val="4"/>
              </w:rPr>
            </w:pPr>
            <w:r>
              <w:rPr>
                <w:sz w:val="4"/>
                <w:szCs w:val="4"/>
              </w:rPr>
            </w:r>
          </w:p>
        </w:tc>
      </w:tr>
      <w:tr>
        <w:trPr/>
        <w:tc>
          <w:tcPr>
            <w:tcW w:w="1757"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ORL Acquisition, Inc.</w:t>
            </w:r>
          </w:p>
          <w:p>
            <w:pPr>
              <w:pStyle w:val="TableContents"/>
              <w:spacing w:before="0" w:after="0"/>
              <w:rPr>
                <w:rFonts w:ascii="Times New Roman" w:hAnsi="Times New Roman"/>
                <w:sz w:val="16"/>
              </w:rPr>
            </w:pPr>
            <w:r>
              <w:rPr>
                <w:rFonts w:ascii="Times New Roman" w:hAnsi="Times New Roman"/>
                <w:sz w:val="16"/>
              </w:rPr>
              <w:t>(ORL Holdco, Inc.)</w:t>
            </w:r>
          </w:p>
          <w:p>
            <w:pPr>
              <w:pStyle w:val="TableContents"/>
              <w:spacing w:before="0" w:after="0"/>
              <w:rPr>
                <w:rFonts w:ascii="Times New Roman" w:hAnsi="Times New Roman"/>
                <w:sz w:val="16"/>
              </w:rPr>
            </w:pPr>
            <w:r>
              <w:rPr>
                <w:rFonts w:ascii="Times New Roman" w:hAnsi="Times New Roman"/>
                <w:sz w:val="16"/>
              </w:rPr>
              <w:t>5555 N Beach St #4100,</w:t>
            </w:r>
          </w:p>
          <w:p>
            <w:pPr>
              <w:pStyle w:val="TableContents"/>
              <w:spacing w:before="0" w:after="20"/>
              <w:rPr>
                <w:rFonts w:ascii="Times New Roman" w:hAnsi="Times New Roman"/>
                <w:sz w:val="16"/>
              </w:rPr>
            </w:pPr>
            <w:r>
              <w:rPr>
                <w:rFonts w:ascii="Times New Roman" w:hAnsi="Times New Roman"/>
                <w:sz w:val="16"/>
              </w:rPr>
              <w:t>Fort Worth, TX 76137</w:t>
            </w:r>
          </w:p>
        </w:tc>
        <w:tc>
          <w:tcPr>
            <w:tcW w:w="60" w:type="dxa"/>
            <w:tcBorders/>
            <w:shd w:fill="CCEEFF" w:val="clear"/>
            <w:vAlign w:val="center"/>
          </w:tcPr>
          <w:p>
            <w:pPr>
              <w:pStyle w:val="TableContents"/>
              <w:spacing w:before="0" w:after="283"/>
              <w:rPr/>
            </w:pPr>
            <w:r>
              <w:rPr/>
              <w:t> </w:t>
            </w:r>
          </w:p>
        </w:tc>
        <w:tc>
          <w:tcPr>
            <w:tcW w:w="2716" w:type="dxa"/>
            <w:tcBorders/>
            <w:shd w:fill="CCEEFF" w:val="clear"/>
            <w:vAlign w:val="center"/>
          </w:tcPr>
          <w:p>
            <w:pPr>
              <w:pStyle w:val="TableContents"/>
              <w:spacing w:before="0" w:after="283"/>
              <w:jc w:val="center"/>
              <w:rPr/>
            </w:pPr>
            <w:r>
              <w:rPr/>
              <w:t>Consumer Finance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991" w:type="dxa"/>
            <w:tcBorders/>
            <w:shd w:fill="CCEEFF" w:val="clear"/>
            <w:vAlign w:val="center"/>
          </w:tcPr>
          <w:p>
            <w:pPr>
              <w:pStyle w:val="TableContents"/>
              <w:spacing w:before="0" w:after="283"/>
              <w:jc w:val="center"/>
              <w:rPr/>
            </w:pPr>
            <w:r>
              <w:rPr/>
              <w:t>First Lien Secured Debt(4),</w:t>
              <w:br/>
              <w:t>3M L+525, 09/03/2027</w:t>
              <w:br/>
              <w:t>Preferred Equity</w:t>
              <w:br/>
              <w:t>Common Equity</w:t>
            </w:r>
          </w:p>
        </w:tc>
        <w:tc>
          <w:tcPr>
            <w:tcW w:w="60"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1189" w:type="dxa"/>
            <w:tcBorders/>
            <w:shd w:fill="CCEEFF" w:val="clear"/>
            <w:vAlign w:val="center"/>
          </w:tcPr>
          <w:p>
            <w:pPr>
              <w:pStyle w:val="TableContents"/>
              <w:spacing w:before="0" w:after="283"/>
              <w:jc w:val="right"/>
              <w:rPr/>
            </w:pPr>
            <w:r>
              <w:rPr/>
              <w:t>0.3</w:t>
            </w:r>
          </w:p>
        </w:tc>
        <w:tc>
          <w:tcPr>
            <w:tcW w:w="47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84" w:type="dxa"/>
            <w:tcBorders/>
            <w:shd w:fill="CCEEFF" w:val="clear"/>
            <w:vAlign w:val="center"/>
          </w:tcPr>
          <w:p>
            <w:pPr>
              <w:pStyle w:val="TableContents"/>
              <w:spacing w:before="0" w:after="283"/>
              <w:rPr/>
            </w:pPr>
            <w:r>
              <w:rPr/>
              <w:t> </w:t>
            </w:r>
          </w:p>
        </w:tc>
        <w:tc>
          <w:tcPr>
            <w:tcW w:w="1136" w:type="dxa"/>
            <w:tcBorders/>
            <w:shd w:fill="CCEEFF" w:val="clear"/>
            <w:vAlign w:val="center"/>
          </w:tcPr>
          <w:p>
            <w:pPr>
              <w:pStyle w:val="TableContents"/>
              <w:spacing w:before="0" w:after="283"/>
              <w:jc w:val="right"/>
              <w:rPr/>
            </w:pPr>
            <w:r>
              <w:rPr/>
              <w:t>7,600</w:t>
            </w:r>
          </w:p>
        </w:tc>
        <w:tc>
          <w:tcPr>
            <w:tcW w:w="175" w:type="dxa"/>
            <w:tcBorders/>
            <w:shd w:fill="CCEEFF"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1892"/>
        <w:gridCol w:w="60"/>
        <w:gridCol w:w="2570"/>
        <w:gridCol w:w="60"/>
        <w:gridCol w:w="60"/>
        <w:gridCol w:w="60"/>
        <w:gridCol w:w="2177"/>
        <w:gridCol w:w="60"/>
        <w:gridCol w:w="153"/>
        <w:gridCol w:w="1130"/>
        <w:gridCol w:w="434"/>
        <w:gridCol w:w="60"/>
        <w:gridCol w:w="239"/>
        <w:gridCol w:w="1169"/>
        <w:gridCol w:w="81"/>
      </w:tblGrid>
      <w:tr>
        <w:trPr/>
        <w:tc>
          <w:tcPr>
            <w:tcW w:w="18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r>
      <w:tr>
        <w:trPr/>
        <w:tc>
          <w:tcPr>
            <w:tcW w:w="1892"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w:t>
              <w:br/>
              <w:t>Address of Portfolio Company</w:t>
            </w:r>
          </w:p>
        </w:tc>
        <w:tc>
          <w:tcPr>
            <w:tcW w:w="60" w:type="dxa"/>
            <w:tcBorders/>
            <w:shd w:fill="auto" w:val="clear"/>
            <w:vAlign w:val="center"/>
          </w:tcPr>
          <w:p>
            <w:pPr>
              <w:pStyle w:val="TableContents"/>
              <w:spacing w:before="0" w:after="283"/>
              <w:rPr/>
            </w:pPr>
            <w:r>
              <w:rPr/>
              <w:t> </w:t>
            </w:r>
          </w:p>
        </w:tc>
        <w:tc>
          <w:tcPr>
            <w:tcW w:w="257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Nature of Business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77"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Type of Investment,</w:t>
            </w:r>
          </w:p>
          <w:p>
            <w:pPr>
              <w:pStyle w:val="TableContents"/>
              <w:spacing w:before="0" w:after="20"/>
              <w:jc w:val="center"/>
              <w:rPr>
                <w:rFonts w:ascii="Times New Roman" w:hAnsi="Times New Roman"/>
                <w:b/>
                <w:sz w:val="16"/>
              </w:rPr>
            </w:pPr>
            <w:r>
              <w:rPr>
                <w:rFonts w:ascii="Times New Roman" w:hAnsi="Times New Roman"/>
                <w:b/>
                <w:sz w:val="16"/>
              </w:rPr>
              <w:t>Interest(1), Maturity</w:t>
            </w:r>
          </w:p>
        </w:tc>
        <w:tc>
          <w:tcPr>
            <w:tcW w:w="60" w:type="dxa"/>
            <w:tcBorders/>
            <w:shd w:fill="auto" w:val="clear"/>
            <w:vAlign w:val="center"/>
          </w:tcPr>
          <w:p>
            <w:pPr>
              <w:pStyle w:val="TableContents"/>
              <w:spacing w:before="0" w:after="283"/>
              <w:rPr/>
            </w:pPr>
            <w:r>
              <w:rPr/>
              <w:t> </w:t>
            </w:r>
          </w:p>
        </w:tc>
        <w:tc>
          <w:tcPr>
            <w:tcW w:w="1283"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Voting</w:t>
              <w:br/>
              <w:t>Percentage</w:t>
              <w:br/>
              <w:t>Ownership(2)</w:t>
            </w:r>
          </w:p>
        </w:tc>
        <w:tc>
          <w:tcPr>
            <w:tcW w:w="4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Fair Value</w:t>
              <w:br/>
              <w:t>(in thousands)</w:t>
            </w:r>
          </w:p>
        </w:tc>
        <w:tc>
          <w:tcPr>
            <w:tcW w:w="81" w:type="dxa"/>
            <w:tcBorders/>
            <w:shd w:fill="auto" w:val="clear"/>
            <w:vAlign w:val="center"/>
          </w:tcPr>
          <w:p>
            <w:pPr>
              <w:pStyle w:val="TableContents"/>
              <w:spacing w:before="0" w:after="283"/>
              <w:rPr/>
            </w:pPr>
            <w:r>
              <w:rPr/>
              <w:t> </w:t>
            </w:r>
          </w:p>
        </w:tc>
      </w:tr>
      <w:tr>
        <w:trPr/>
        <w:tc>
          <w:tcPr>
            <w:tcW w:w="189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Output Services Group, Inc.</w:t>
            </w:r>
          </w:p>
          <w:p>
            <w:pPr>
              <w:pStyle w:val="TableContents"/>
              <w:spacing w:before="0" w:after="0"/>
              <w:rPr>
                <w:rFonts w:ascii="Times New Roman" w:hAnsi="Times New Roman"/>
                <w:sz w:val="16"/>
              </w:rPr>
            </w:pPr>
            <w:r>
              <w:rPr>
                <w:rFonts w:ascii="Times New Roman" w:hAnsi="Times New Roman"/>
                <w:sz w:val="16"/>
              </w:rPr>
              <w:t>775 Washington Ave</w:t>
            </w:r>
          </w:p>
          <w:p>
            <w:pPr>
              <w:pStyle w:val="TableContents"/>
              <w:spacing w:before="0" w:after="20"/>
              <w:rPr>
                <w:rFonts w:ascii="Times New Roman" w:hAnsi="Times New Roman"/>
                <w:sz w:val="16"/>
              </w:rPr>
            </w:pPr>
            <w:r>
              <w:rPr>
                <w:rFonts w:ascii="Times New Roman" w:hAnsi="Times New Roman"/>
                <w:sz w:val="16"/>
              </w:rPr>
              <w:t>Carlstadt, NJ 07072</w:t>
            </w:r>
          </w:p>
        </w:tc>
        <w:tc>
          <w:tcPr>
            <w:tcW w:w="60" w:type="dxa"/>
            <w:tcBorders/>
            <w:shd w:fill="CCEEFF" w:val="clear"/>
            <w:vAlign w:val="center"/>
          </w:tcPr>
          <w:p>
            <w:pPr>
              <w:pStyle w:val="TableContents"/>
              <w:spacing w:before="0" w:after="283"/>
              <w:rPr/>
            </w:pPr>
            <w:r>
              <w:rPr/>
              <w:t> </w:t>
            </w:r>
          </w:p>
        </w:tc>
        <w:tc>
          <w:tcPr>
            <w:tcW w:w="2570" w:type="dxa"/>
            <w:tcBorders/>
            <w:shd w:fill="CCEEFF" w:val="clear"/>
            <w:vAlign w:val="center"/>
          </w:tcPr>
          <w:p>
            <w:pPr>
              <w:pStyle w:val="TableContents"/>
              <w:spacing w:before="0" w:after="283"/>
              <w:jc w:val="center"/>
              <w:rPr/>
            </w:pPr>
            <w:r>
              <w:rPr/>
              <w:t>Business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77" w:type="dxa"/>
            <w:tcBorders/>
            <w:shd w:fill="CCEEFF" w:val="clear"/>
            <w:vAlign w:val="center"/>
          </w:tcPr>
          <w:p>
            <w:pPr>
              <w:pStyle w:val="TableContents"/>
              <w:spacing w:before="0" w:after="283"/>
              <w:jc w:val="center"/>
              <w:rPr/>
            </w:pPr>
            <w:r>
              <w:rPr/>
              <w:t>First Lien Secured Debt,</w:t>
              <w:br/>
              <w:t>1M L+675, 03/27/2024</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  </w:t>
            </w:r>
          </w:p>
        </w:tc>
        <w:tc>
          <w:tcPr>
            <w:tcW w:w="4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w:t>
            </w:r>
          </w:p>
        </w:tc>
        <w:tc>
          <w:tcPr>
            <w:tcW w:w="1169" w:type="dxa"/>
            <w:tcBorders/>
            <w:shd w:fill="CCEEFF" w:val="clear"/>
            <w:vAlign w:val="center"/>
          </w:tcPr>
          <w:p>
            <w:pPr>
              <w:pStyle w:val="TableContents"/>
              <w:spacing w:before="0" w:after="283"/>
              <w:jc w:val="right"/>
              <w:rPr/>
            </w:pPr>
            <w:r>
              <w:rPr/>
              <w:t>3,704</w:t>
            </w:r>
          </w:p>
        </w:tc>
        <w:tc>
          <w:tcPr>
            <w:tcW w:w="81" w:type="dxa"/>
            <w:tcBorders/>
            <w:shd w:fill="CCEEFF"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Owl Acquisition, LLC</w:t>
            </w:r>
          </w:p>
          <w:p>
            <w:pPr>
              <w:pStyle w:val="TableContents"/>
              <w:spacing w:before="0" w:after="0"/>
              <w:rPr>
                <w:rFonts w:ascii="Times New Roman" w:hAnsi="Times New Roman"/>
                <w:sz w:val="16"/>
              </w:rPr>
            </w:pPr>
            <w:r>
              <w:rPr>
                <w:rFonts w:ascii="Times New Roman" w:hAnsi="Times New Roman"/>
                <w:sz w:val="16"/>
              </w:rPr>
              <w:t>47 Old Webster Road</w:t>
            </w:r>
          </w:p>
          <w:p>
            <w:pPr>
              <w:pStyle w:val="TableContents"/>
              <w:spacing w:before="0" w:after="20"/>
              <w:rPr>
                <w:rFonts w:ascii="Times New Roman" w:hAnsi="Times New Roman"/>
                <w:sz w:val="16"/>
              </w:rPr>
            </w:pPr>
            <w:r>
              <w:rPr>
                <w:rFonts w:ascii="Times New Roman" w:hAnsi="Times New Roman"/>
                <w:sz w:val="16"/>
              </w:rPr>
              <w:t>Oxford, MA 01540</w:t>
            </w:r>
          </w:p>
        </w:tc>
        <w:tc>
          <w:tcPr>
            <w:tcW w:w="6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Professional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77" w:type="dxa"/>
            <w:tcBorders/>
            <w:shd w:fill="auto" w:val="clear"/>
            <w:vAlign w:val="center"/>
          </w:tcPr>
          <w:p>
            <w:pPr>
              <w:pStyle w:val="TableContents"/>
              <w:spacing w:before="0" w:after="283"/>
              <w:jc w:val="center"/>
              <w:rPr/>
            </w:pPr>
            <w:r>
              <w:rPr/>
              <w:t>First Lien Secured Debt,</w:t>
              <w:br/>
              <w:t>3M L+575, 02/04/2028</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  </w:t>
            </w:r>
          </w:p>
        </w:tc>
        <w:tc>
          <w:tcPr>
            <w:tcW w:w="4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9" w:type="dxa"/>
            <w:tcBorders/>
            <w:shd w:fill="auto" w:val="clear"/>
            <w:vAlign w:val="center"/>
          </w:tcPr>
          <w:p>
            <w:pPr>
              <w:pStyle w:val="TableContents"/>
              <w:spacing w:before="0" w:after="283"/>
              <w:jc w:val="right"/>
              <w:rPr/>
            </w:pPr>
            <w:r>
              <w:rPr/>
              <w:t>3,890</w:t>
            </w:r>
          </w:p>
        </w:tc>
        <w:tc>
          <w:tcPr>
            <w:tcW w:w="81" w:type="dxa"/>
            <w:tcBorders/>
            <w:shd w:fill="auto"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Ox Two, LLC</w:t>
            </w:r>
          </w:p>
          <w:p>
            <w:pPr>
              <w:pStyle w:val="TableContents"/>
              <w:spacing w:before="0" w:after="0"/>
              <w:rPr>
                <w:rFonts w:ascii="Times New Roman" w:hAnsi="Times New Roman"/>
                <w:sz w:val="16"/>
              </w:rPr>
            </w:pPr>
            <w:r>
              <w:rPr>
                <w:rFonts w:ascii="Times New Roman" w:hAnsi="Times New Roman"/>
                <w:sz w:val="16"/>
              </w:rPr>
              <w:t>22260 Haggerty Road #365</w:t>
            </w:r>
          </w:p>
          <w:p>
            <w:pPr>
              <w:pStyle w:val="TableContents"/>
              <w:spacing w:before="0" w:after="20"/>
              <w:rPr>
                <w:rFonts w:ascii="Times New Roman" w:hAnsi="Times New Roman"/>
                <w:sz w:val="16"/>
              </w:rPr>
            </w:pPr>
            <w:r>
              <w:rPr>
                <w:rFonts w:ascii="Times New Roman" w:hAnsi="Times New Roman"/>
                <w:sz w:val="16"/>
              </w:rPr>
              <w:t>Northville, MI 48167</w:t>
            </w:r>
          </w:p>
        </w:tc>
        <w:tc>
          <w:tcPr>
            <w:tcW w:w="60" w:type="dxa"/>
            <w:tcBorders/>
            <w:shd w:fill="CCEEFF" w:val="clear"/>
            <w:vAlign w:val="center"/>
          </w:tcPr>
          <w:p>
            <w:pPr>
              <w:pStyle w:val="TableContents"/>
              <w:spacing w:before="0" w:after="283"/>
              <w:rPr/>
            </w:pPr>
            <w:r>
              <w:rPr/>
              <w:t> </w:t>
            </w:r>
          </w:p>
        </w:tc>
        <w:tc>
          <w:tcPr>
            <w:tcW w:w="2570" w:type="dxa"/>
            <w:tcBorders/>
            <w:shd w:fill="CCEEFF" w:val="clear"/>
            <w:vAlign w:val="center"/>
          </w:tcPr>
          <w:p>
            <w:pPr>
              <w:pStyle w:val="TableContents"/>
              <w:spacing w:before="0" w:after="283"/>
              <w:jc w:val="center"/>
              <w:rPr/>
            </w:pPr>
            <w:r>
              <w:rPr/>
              <w:t>Construction and Building</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77" w:type="dxa"/>
            <w:tcBorders/>
            <w:shd w:fill="CCEEFF" w:val="clear"/>
            <w:vAlign w:val="center"/>
          </w:tcPr>
          <w:p>
            <w:pPr>
              <w:pStyle w:val="TableContents"/>
              <w:spacing w:before="0" w:after="283"/>
              <w:jc w:val="center"/>
              <w:rPr/>
            </w:pPr>
            <w:r>
              <w:rPr/>
              <w:t>First Lien Secured Debt(4),</w:t>
              <w:br/>
              <w:t>1M L+700, 05/18/2026</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  </w:t>
            </w:r>
          </w:p>
        </w:tc>
        <w:tc>
          <w:tcPr>
            <w:tcW w:w="4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9" w:type="dxa"/>
            <w:tcBorders/>
            <w:shd w:fill="CCEEFF" w:val="clear"/>
            <w:vAlign w:val="center"/>
          </w:tcPr>
          <w:p>
            <w:pPr>
              <w:pStyle w:val="TableContents"/>
              <w:spacing w:before="0" w:after="283"/>
              <w:jc w:val="right"/>
              <w:rPr/>
            </w:pPr>
            <w:r>
              <w:rPr/>
              <w:t>27,673</w:t>
            </w:r>
          </w:p>
        </w:tc>
        <w:tc>
          <w:tcPr>
            <w:tcW w:w="81" w:type="dxa"/>
            <w:tcBorders/>
            <w:shd w:fill="CCEEFF"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PennantPark-TSO Senior Loan Fund, LP</w:t>
            </w:r>
          </w:p>
          <w:p>
            <w:pPr>
              <w:pStyle w:val="TableContents"/>
              <w:spacing w:before="0" w:after="0"/>
              <w:rPr>
                <w:rFonts w:ascii="Times New Roman" w:hAnsi="Times New Roman"/>
                <w:sz w:val="16"/>
              </w:rPr>
            </w:pPr>
            <w:r>
              <w:rPr>
                <w:rFonts w:ascii="Times New Roman" w:hAnsi="Times New Roman"/>
                <w:sz w:val="16"/>
              </w:rPr>
              <w:t>1691 Michigan Avenue</w:t>
            </w:r>
          </w:p>
          <w:p>
            <w:pPr>
              <w:pStyle w:val="TableContents"/>
              <w:spacing w:before="0" w:after="20"/>
              <w:rPr>
                <w:rFonts w:ascii="Times New Roman" w:hAnsi="Times New Roman"/>
                <w:sz w:val="16"/>
              </w:rPr>
            </w:pPr>
            <w:r>
              <w:rPr>
                <w:rFonts w:ascii="Times New Roman" w:hAnsi="Times New Roman"/>
                <w:sz w:val="16"/>
              </w:rPr>
              <w:t>Miami, FL 33139</w:t>
            </w:r>
          </w:p>
        </w:tc>
        <w:tc>
          <w:tcPr>
            <w:tcW w:w="6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Financial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77" w:type="dxa"/>
            <w:tcBorders/>
            <w:shd w:fill="auto" w:val="clear"/>
            <w:vAlign w:val="center"/>
          </w:tcPr>
          <w:p>
            <w:pPr>
              <w:pStyle w:val="TableContents"/>
              <w:spacing w:before="0" w:after="283"/>
              <w:jc w:val="center"/>
              <w:rPr/>
            </w:pPr>
            <w:r>
              <w:rPr/>
              <w:t>Common Equity</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4.99</w:t>
            </w:r>
          </w:p>
        </w:tc>
        <w:tc>
          <w:tcPr>
            <w:tcW w:w="434" w:type="dxa"/>
            <w:tcBorders/>
            <w:shd w:fill="auto" w:val="clear"/>
            <w:vAlign w:val="center"/>
          </w:tcPr>
          <w:p>
            <w:pPr>
              <w:pStyle w:val="TableContents"/>
              <w:spacing w:before="0" w:after="283"/>
              <w:rPr/>
            </w:pPr>
            <w:r>
              <w:rPr/>
              <w:t>%(3)</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9" w:type="dxa"/>
            <w:tcBorders/>
            <w:shd w:fill="auto" w:val="clear"/>
            <w:vAlign w:val="center"/>
          </w:tcPr>
          <w:p>
            <w:pPr>
              <w:pStyle w:val="TableContents"/>
              <w:spacing w:before="0" w:after="283"/>
              <w:jc w:val="right"/>
              <w:rPr/>
            </w:pPr>
            <w:r>
              <w:rPr/>
              <w:t>9,892</w:t>
            </w:r>
          </w:p>
        </w:tc>
        <w:tc>
          <w:tcPr>
            <w:tcW w:w="81" w:type="dxa"/>
            <w:tcBorders/>
            <w:shd w:fill="auto"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PL Acquisitionco, LLC</w:t>
            </w:r>
          </w:p>
          <w:p>
            <w:pPr>
              <w:pStyle w:val="TableContents"/>
              <w:spacing w:before="0" w:after="0"/>
              <w:rPr>
                <w:rFonts w:ascii="Times New Roman" w:hAnsi="Times New Roman"/>
                <w:sz w:val="16"/>
              </w:rPr>
            </w:pPr>
            <w:r>
              <w:rPr>
                <w:rFonts w:ascii="Times New Roman" w:hAnsi="Times New Roman"/>
                <w:sz w:val="16"/>
              </w:rPr>
              <w:t>(Pink Lily Holdco, LLC)</w:t>
            </w:r>
          </w:p>
          <w:p>
            <w:pPr>
              <w:pStyle w:val="TableContents"/>
              <w:spacing w:before="0" w:after="0"/>
              <w:rPr>
                <w:rFonts w:ascii="Times New Roman" w:hAnsi="Times New Roman"/>
                <w:sz w:val="16"/>
              </w:rPr>
            </w:pPr>
            <w:r>
              <w:rPr>
                <w:rFonts w:ascii="Times New Roman" w:hAnsi="Times New Roman"/>
                <w:sz w:val="16"/>
              </w:rPr>
              <w:t>323 Mitch McConnell Way</w:t>
            </w:r>
          </w:p>
          <w:p>
            <w:pPr>
              <w:pStyle w:val="TableContents"/>
              <w:spacing w:before="0" w:after="20"/>
              <w:rPr>
                <w:rFonts w:ascii="Times New Roman" w:hAnsi="Times New Roman"/>
                <w:sz w:val="16"/>
              </w:rPr>
            </w:pPr>
            <w:r>
              <w:rPr>
                <w:rFonts w:ascii="Times New Roman" w:hAnsi="Times New Roman"/>
                <w:sz w:val="16"/>
              </w:rPr>
              <w:t>Bowling Green KY 42101</w:t>
            </w:r>
          </w:p>
        </w:tc>
        <w:tc>
          <w:tcPr>
            <w:tcW w:w="60" w:type="dxa"/>
            <w:tcBorders/>
            <w:shd w:fill="CCEEFF" w:val="clear"/>
            <w:vAlign w:val="center"/>
          </w:tcPr>
          <w:p>
            <w:pPr>
              <w:pStyle w:val="TableContents"/>
              <w:spacing w:before="0" w:after="283"/>
              <w:rPr/>
            </w:pPr>
            <w:r>
              <w:rPr/>
              <w:t> </w:t>
            </w:r>
          </w:p>
        </w:tc>
        <w:tc>
          <w:tcPr>
            <w:tcW w:w="2570" w:type="dxa"/>
            <w:tcBorders/>
            <w:shd w:fill="CCEEFF" w:val="clear"/>
            <w:vAlign w:val="center"/>
          </w:tcPr>
          <w:p>
            <w:pPr>
              <w:pStyle w:val="TableContents"/>
              <w:spacing w:before="0" w:after="283"/>
              <w:jc w:val="center"/>
              <w:rPr/>
            </w:pPr>
            <w:r>
              <w:rPr/>
              <w:t>Textiles, Apparel and Luxury Goods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77"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L+650, 11/09/2027</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0.4</w:t>
            </w:r>
          </w:p>
        </w:tc>
        <w:tc>
          <w:tcPr>
            <w:tcW w:w="4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9" w:type="dxa"/>
            <w:tcBorders/>
            <w:shd w:fill="CCEEFF" w:val="clear"/>
            <w:vAlign w:val="center"/>
          </w:tcPr>
          <w:p>
            <w:pPr>
              <w:pStyle w:val="TableContents"/>
              <w:spacing w:before="0" w:after="283"/>
              <w:jc w:val="right"/>
              <w:rPr/>
            </w:pPr>
            <w:r>
              <w:rPr/>
              <w:t>6,814</w:t>
            </w:r>
          </w:p>
        </w:tc>
        <w:tc>
          <w:tcPr>
            <w:tcW w:w="81" w:type="dxa"/>
            <w:tcBorders/>
            <w:shd w:fill="CCEEFF"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PlayPower, Inc.</w:t>
            </w:r>
          </w:p>
          <w:p>
            <w:pPr>
              <w:pStyle w:val="TableContents"/>
              <w:spacing w:before="0" w:after="0"/>
              <w:rPr>
                <w:rFonts w:ascii="Times New Roman" w:hAnsi="Times New Roman"/>
                <w:sz w:val="16"/>
              </w:rPr>
            </w:pPr>
            <w:r>
              <w:rPr>
                <w:rFonts w:ascii="Times New Roman" w:hAnsi="Times New Roman"/>
                <w:sz w:val="16"/>
              </w:rPr>
              <w:t>13310 James E. Casey Ave.</w:t>
            </w:r>
          </w:p>
          <w:p>
            <w:pPr>
              <w:pStyle w:val="TableContents"/>
              <w:spacing w:before="0" w:after="20"/>
              <w:rPr>
                <w:rFonts w:ascii="Times New Roman" w:hAnsi="Times New Roman"/>
                <w:sz w:val="16"/>
              </w:rPr>
            </w:pPr>
            <w:r>
              <w:rPr>
                <w:rFonts w:ascii="Times New Roman" w:hAnsi="Times New Roman"/>
                <w:sz w:val="16"/>
              </w:rPr>
              <w:t>Englewood, CO 80112</w:t>
            </w:r>
          </w:p>
        </w:tc>
        <w:tc>
          <w:tcPr>
            <w:tcW w:w="6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Leisure Products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77" w:type="dxa"/>
            <w:tcBorders/>
            <w:shd w:fill="auto" w:val="clear"/>
            <w:vAlign w:val="center"/>
          </w:tcPr>
          <w:p>
            <w:pPr>
              <w:pStyle w:val="TableContents"/>
              <w:spacing w:before="0" w:after="283"/>
              <w:jc w:val="center"/>
              <w:rPr/>
            </w:pPr>
            <w:r>
              <w:rPr/>
              <w:t>First Lien Secured Debt,</w:t>
              <w:br/>
              <w:t>1M L+550, 05/08/2026</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  </w:t>
            </w:r>
          </w:p>
        </w:tc>
        <w:tc>
          <w:tcPr>
            <w:tcW w:w="4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9" w:type="dxa"/>
            <w:tcBorders/>
            <w:shd w:fill="auto" w:val="clear"/>
            <w:vAlign w:val="center"/>
          </w:tcPr>
          <w:p>
            <w:pPr>
              <w:pStyle w:val="TableContents"/>
              <w:spacing w:before="0" w:after="283"/>
              <w:jc w:val="right"/>
              <w:rPr/>
            </w:pPr>
            <w:r>
              <w:rPr/>
              <w:t>3,078</w:t>
            </w:r>
          </w:p>
        </w:tc>
        <w:tc>
          <w:tcPr>
            <w:tcW w:w="81" w:type="dxa"/>
            <w:tcBorders/>
            <w:shd w:fill="auto"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PRA Events, Inc.</w:t>
            </w:r>
          </w:p>
          <w:p>
            <w:pPr>
              <w:pStyle w:val="TableContents"/>
              <w:spacing w:before="0" w:after="0"/>
              <w:rPr>
                <w:rFonts w:ascii="Times New Roman" w:hAnsi="Times New Roman"/>
                <w:sz w:val="16"/>
              </w:rPr>
            </w:pPr>
            <w:r>
              <w:rPr>
                <w:rFonts w:ascii="Times New Roman" w:hAnsi="Times New Roman"/>
                <w:sz w:val="16"/>
              </w:rPr>
              <w:t>(CI (Allied) Investment Holdings, LLC(5))</w:t>
            </w:r>
          </w:p>
          <w:p>
            <w:pPr>
              <w:pStyle w:val="TableContents"/>
              <w:spacing w:before="0" w:after="0"/>
              <w:rPr>
                <w:rFonts w:ascii="Times New Roman" w:hAnsi="Times New Roman"/>
                <w:sz w:val="16"/>
              </w:rPr>
            </w:pPr>
            <w:r>
              <w:rPr>
                <w:rFonts w:ascii="Times New Roman" w:hAnsi="Times New Roman"/>
                <w:sz w:val="16"/>
              </w:rPr>
              <w:t>One North LaSalle Street</w:t>
            </w:r>
          </w:p>
          <w:p>
            <w:pPr>
              <w:pStyle w:val="TableContents"/>
              <w:spacing w:before="0" w:after="20"/>
              <w:rPr>
                <w:rFonts w:ascii="Times New Roman" w:hAnsi="Times New Roman"/>
                <w:sz w:val="16"/>
              </w:rPr>
            </w:pPr>
            <w:r>
              <w:rPr>
                <w:rFonts w:ascii="Times New Roman" w:hAnsi="Times New Roman"/>
                <w:sz w:val="16"/>
              </w:rPr>
              <w:t>Chicago, IL 60602</w:t>
            </w:r>
          </w:p>
        </w:tc>
        <w:tc>
          <w:tcPr>
            <w:tcW w:w="60" w:type="dxa"/>
            <w:tcBorders/>
            <w:shd w:fill="CCEEFF" w:val="clear"/>
            <w:vAlign w:val="center"/>
          </w:tcPr>
          <w:p>
            <w:pPr>
              <w:pStyle w:val="TableContents"/>
              <w:spacing w:before="0" w:after="283"/>
              <w:rPr/>
            </w:pPr>
            <w:r>
              <w:rPr/>
              <w:t> </w:t>
            </w:r>
          </w:p>
        </w:tc>
        <w:tc>
          <w:tcPr>
            <w:tcW w:w="2570" w:type="dxa"/>
            <w:tcBorders/>
            <w:shd w:fill="CCEEFF" w:val="clear"/>
            <w:vAlign w:val="center"/>
          </w:tcPr>
          <w:p>
            <w:pPr>
              <w:pStyle w:val="TableContents"/>
              <w:spacing w:before="0" w:after="283"/>
              <w:jc w:val="center"/>
              <w:rPr/>
            </w:pPr>
            <w:r>
              <w:rPr/>
              <w:t>Business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77" w:type="dxa"/>
            <w:tcBorders/>
            <w:shd w:fill="CCEEFF" w:val="clear"/>
            <w:vAlign w:val="center"/>
          </w:tcPr>
          <w:p>
            <w:pPr>
              <w:pStyle w:val="TableContents"/>
              <w:spacing w:before="0" w:after="283"/>
              <w:jc w:val="center"/>
              <w:rPr/>
            </w:pPr>
            <w:r>
              <w:rPr/>
              <w:t>First Lien Secured Debt,</w:t>
              <w:br/>
              <w:t>1M L+1,050 (PIK 10.5%), 08/07/2025</w:t>
              <w:br/>
              <w:t>Common Equity</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1.5</w:t>
            </w:r>
          </w:p>
        </w:tc>
        <w:tc>
          <w:tcPr>
            <w:tcW w:w="4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9" w:type="dxa"/>
            <w:tcBorders/>
            <w:shd w:fill="CCEEFF" w:val="clear"/>
            <w:vAlign w:val="center"/>
          </w:tcPr>
          <w:p>
            <w:pPr>
              <w:pStyle w:val="TableContents"/>
              <w:spacing w:before="0" w:after="283"/>
              <w:jc w:val="right"/>
              <w:rPr/>
            </w:pPr>
            <w:r>
              <w:rPr/>
              <w:t>4,974</w:t>
            </w:r>
          </w:p>
        </w:tc>
        <w:tc>
          <w:tcPr>
            <w:tcW w:w="81" w:type="dxa"/>
            <w:tcBorders/>
            <w:shd w:fill="CCEEFF"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Pragmatic Institute, LLC</w:t>
            </w:r>
          </w:p>
          <w:p>
            <w:pPr>
              <w:pStyle w:val="TableContents"/>
              <w:spacing w:before="0" w:after="0"/>
              <w:rPr>
                <w:rFonts w:ascii="Times New Roman" w:hAnsi="Times New Roman"/>
                <w:sz w:val="16"/>
              </w:rPr>
            </w:pPr>
            <w:r>
              <w:rPr>
                <w:rFonts w:ascii="Times New Roman" w:hAnsi="Times New Roman"/>
                <w:sz w:val="16"/>
              </w:rPr>
              <w:t>8910 East Raintree Drive</w:t>
            </w:r>
          </w:p>
          <w:p>
            <w:pPr>
              <w:pStyle w:val="TableContents"/>
              <w:spacing w:before="0" w:after="20"/>
              <w:rPr>
                <w:rFonts w:ascii="Times New Roman" w:hAnsi="Times New Roman"/>
                <w:sz w:val="16"/>
              </w:rPr>
            </w:pPr>
            <w:r>
              <w:rPr>
                <w:rFonts w:ascii="Times New Roman" w:hAnsi="Times New Roman"/>
                <w:sz w:val="16"/>
              </w:rPr>
              <w:t>Scottsdale, AZ 85620</w:t>
            </w:r>
          </w:p>
        </w:tc>
        <w:tc>
          <w:tcPr>
            <w:tcW w:w="6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Professional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77" w:type="dxa"/>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L+575, 07/06/2028</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0.5</w:t>
            </w:r>
          </w:p>
        </w:tc>
        <w:tc>
          <w:tcPr>
            <w:tcW w:w="4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9" w:type="dxa"/>
            <w:tcBorders/>
            <w:shd w:fill="auto" w:val="clear"/>
            <w:vAlign w:val="center"/>
          </w:tcPr>
          <w:p>
            <w:pPr>
              <w:pStyle w:val="TableContents"/>
              <w:spacing w:before="0" w:after="283"/>
              <w:jc w:val="right"/>
              <w:rPr/>
            </w:pPr>
            <w:r>
              <w:rPr/>
              <w:t>901</w:t>
            </w:r>
          </w:p>
        </w:tc>
        <w:tc>
          <w:tcPr>
            <w:tcW w:w="81" w:type="dxa"/>
            <w:tcBorders/>
            <w:shd w:fill="auto"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Quantic Electronics, LLC</w:t>
            </w:r>
          </w:p>
          <w:p>
            <w:pPr>
              <w:pStyle w:val="TableContents"/>
              <w:spacing w:before="0" w:after="0"/>
              <w:rPr>
                <w:rFonts w:ascii="Times New Roman" w:hAnsi="Times New Roman"/>
                <w:sz w:val="16"/>
              </w:rPr>
            </w:pPr>
            <w:r>
              <w:rPr>
                <w:rFonts w:ascii="Times New Roman" w:hAnsi="Times New Roman"/>
                <w:sz w:val="16"/>
              </w:rPr>
              <w:t>Four Embarcadero Center, Suite 3460</w:t>
            </w:r>
          </w:p>
          <w:p>
            <w:pPr>
              <w:pStyle w:val="TableContents"/>
              <w:spacing w:before="0" w:after="20"/>
              <w:rPr>
                <w:rFonts w:ascii="Times New Roman" w:hAnsi="Times New Roman"/>
                <w:sz w:val="16"/>
              </w:rPr>
            </w:pPr>
            <w:r>
              <w:rPr>
                <w:rFonts w:ascii="Times New Roman" w:hAnsi="Times New Roman"/>
                <w:sz w:val="16"/>
              </w:rPr>
              <w:t>San Francisco, CA 94111</w:t>
            </w:r>
          </w:p>
        </w:tc>
        <w:tc>
          <w:tcPr>
            <w:tcW w:w="60" w:type="dxa"/>
            <w:tcBorders/>
            <w:shd w:fill="CCEEFF" w:val="clear"/>
            <w:vAlign w:val="center"/>
          </w:tcPr>
          <w:p>
            <w:pPr>
              <w:pStyle w:val="TableContents"/>
              <w:spacing w:before="0" w:after="283"/>
              <w:rPr/>
            </w:pPr>
            <w:r>
              <w:rPr/>
              <w:t> </w:t>
            </w:r>
          </w:p>
        </w:tc>
        <w:tc>
          <w:tcPr>
            <w:tcW w:w="2570" w:type="dxa"/>
            <w:tcBorders/>
            <w:shd w:fill="CCEEFF" w:val="clear"/>
            <w:vAlign w:val="center"/>
          </w:tcPr>
          <w:p>
            <w:pPr>
              <w:pStyle w:val="TableContents"/>
              <w:spacing w:before="0" w:after="283"/>
              <w:jc w:val="center"/>
              <w:rPr/>
            </w:pPr>
            <w:r>
              <w:rPr/>
              <w:t>Electronic Equipment, Instruments, and Components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77" w:type="dxa"/>
            <w:tcBorders/>
            <w:shd w:fill="CCEEFF" w:val="clear"/>
            <w:vAlign w:val="center"/>
          </w:tcPr>
          <w:p>
            <w:pPr>
              <w:pStyle w:val="TableContents"/>
              <w:spacing w:before="0" w:after="283"/>
              <w:jc w:val="center"/>
              <w:rPr/>
            </w:pPr>
            <w:r>
              <w:rPr/>
              <w:t>First Lien Secured Debt(4),</w:t>
              <w:br/>
              <w:t>1M L+600, 11/19/2026</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  </w:t>
            </w:r>
          </w:p>
        </w:tc>
        <w:tc>
          <w:tcPr>
            <w:tcW w:w="4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9" w:type="dxa"/>
            <w:tcBorders/>
            <w:shd w:fill="CCEEFF" w:val="clear"/>
            <w:vAlign w:val="center"/>
          </w:tcPr>
          <w:p>
            <w:pPr>
              <w:pStyle w:val="TableContents"/>
              <w:spacing w:before="0" w:after="283"/>
              <w:jc w:val="right"/>
              <w:rPr/>
            </w:pPr>
            <w:r>
              <w:rPr/>
              <w:t>4,867</w:t>
            </w:r>
          </w:p>
        </w:tc>
        <w:tc>
          <w:tcPr>
            <w:tcW w:w="81" w:type="dxa"/>
            <w:tcBorders/>
            <w:shd w:fill="CCEEFF"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QuantiTech LLC</w:t>
            </w:r>
          </w:p>
          <w:p>
            <w:pPr>
              <w:pStyle w:val="TableContents"/>
              <w:spacing w:before="0" w:after="0"/>
              <w:rPr>
                <w:rFonts w:ascii="Times New Roman" w:hAnsi="Times New Roman"/>
                <w:sz w:val="16"/>
              </w:rPr>
            </w:pPr>
            <w:r>
              <w:rPr>
                <w:rFonts w:ascii="Times New Roman" w:hAnsi="Times New Roman"/>
                <w:sz w:val="16"/>
              </w:rPr>
              <w:t>(QuantiTech Investco LP(5))</w:t>
            </w:r>
          </w:p>
          <w:p>
            <w:pPr>
              <w:pStyle w:val="TableContents"/>
              <w:spacing w:before="0" w:after="0"/>
              <w:rPr>
                <w:rFonts w:ascii="Times New Roman" w:hAnsi="Times New Roman"/>
                <w:sz w:val="16"/>
              </w:rPr>
            </w:pPr>
            <w:r>
              <w:rPr>
                <w:rFonts w:ascii="Times New Roman" w:hAnsi="Times New Roman"/>
                <w:sz w:val="16"/>
              </w:rPr>
              <w:t>(QuantiTech InvestCo II LP(5))</w:t>
            </w:r>
          </w:p>
          <w:p>
            <w:pPr>
              <w:pStyle w:val="TableContents"/>
              <w:spacing w:before="0" w:after="0"/>
              <w:rPr>
                <w:rFonts w:ascii="Times New Roman" w:hAnsi="Times New Roman"/>
                <w:sz w:val="16"/>
              </w:rPr>
            </w:pPr>
            <w:r>
              <w:rPr>
                <w:rFonts w:ascii="Times New Roman" w:hAnsi="Times New Roman"/>
                <w:sz w:val="16"/>
              </w:rPr>
              <w:t>360A-360D Quality Circle, Suite</w:t>
            </w:r>
          </w:p>
          <w:p>
            <w:pPr>
              <w:pStyle w:val="TableContents"/>
              <w:spacing w:before="0" w:after="0"/>
              <w:rPr>
                <w:rFonts w:ascii="Times New Roman" w:hAnsi="Times New Roman"/>
                <w:sz w:val="16"/>
              </w:rPr>
            </w:pPr>
            <w:r>
              <w:rPr>
                <w:rFonts w:ascii="Times New Roman" w:hAnsi="Times New Roman"/>
                <w:sz w:val="16"/>
              </w:rPr>
              <w:t>100/430</w:t>
            </w:r>
          </w:p>
          <w:p>
            <w:pPr>
              <w:pStyle w:val="TableContents"/>
              <w:spacing w:before="0" w:after="20"/>
              <w:rPr>
                <w:rFonts w:ascii="Times New Roman" w:hAnsi="Times New Roman"/>
                <w:sz w:val="16"/>
              </w:rPr>
            </w:pPr>
            <w:r>
              <w:rPr>
                <w:rFonts w:ascii="Times New Roman" w:hAnsi="Times New Roman"/>
                <w:sz w:val="16"/>
              </w:rPr>
              <w:t>Huntsville, AL 35806</w:t>
            </w:r>
          </w:p>
        </w:tc>
        <w:tc>
          <w:tcPr>
            <w:tcW w:w="6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Aerospace and Defense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77" w:type="dxa"/>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Second Lien Secured Debt,</w:t>
              <w:br/>
              <w:t>3M L+1,000, 02/04/2027</w:t>
            </w:r>
          </w:p>
          <w:p>
            <w:pPr>
              <w:pStyle w:val="TableContents"/>
              <w:spacing w:before="0" w:after="20"/>
              <w:jc w:val="center"/>
              <w:rPr>
                <w:rFonts w:ascii="Times New Roman" w:hAnsi="Times New Roman"/>
                <w:sz w:val="16"/>
              </w:rPr>
            </w:pPr>
            <w:r>
              <w:rPr>
                <w:rFonts w:ascii="Times New Roman" w:hAnsi="Times New Roman"/>
                <w:sz w:val="16"/>
              </w:rPr>
              <w:t>Common Equity(4)</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0.2</w:t>
            </w:r>
          </w:p>
        </w:tc>
        <w:tc>
          <w:tcPr>
            <w:tcW w:w="4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9" w:type="dxa"/>
            <w:tcBorders/>
            <w:shd w:fill="auto" w:val="clear"/>
            <w:vAlign w:val="center"/>
          </w:tcPr>
          <w:p>
            <w:pPr>
              <w:pStyle w:val="TableContents"/>
              <w:spacing w:before="0" w:after="283"/>
              <w:jc w:val="right"/>
              <w:rPr/>
            </w:pPr>
            <w:r>
              <w:rPr/>
              <w:t>524</w:t>
            </w:r>
          </w:p>
        </w:tc>
        <w:tc>
          <w:tcPr>
            <w:tcW w:w="81" w:type="dxa"/>
            <w:tcBorders/>
            <w:shd w:fill="auto"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Questex, LLC</w:t>
            </w:r>
          </w:p>
          <w:p>
            <w:pPr>
              <w:pStyle w:val="TableContents"/>
              <w:spacing w:before="0" w:after="0"/>
              <w:rPr>
                <w:rFonts w:ascii="Times New Roman" w:hAnsi="Times New Roman"/>
                <w:sz w:val="16"/>
              </w:rPr>
            </w:pPr>
            <w:r>
              <w:rPr>
                <w:rFonts w:ascii="Times New Roman" w:hAnsi="Times New Roman"/>
                <w:sz w:val="16"/>
              </w:rPr>
              <w:t>275 Grove Street, Suite 2-130</w:t>
            </w:r>
          </w:p>
          <w:p>
            <w:pPr>
              <w:pStyle w:val="TableContents"/>
              <w:spacing w:before="0" w:after="20"/>
              <w:rPr>
                <w:rFonts w:ascii="Times New Roman" w:hAnsi="Times New Roman"/>
                <w:sz w:val="16"/>
              </w:rPr>
            </w:pPr>
            <w:r>
              <w:rPr>
                <w:rFonts w:ascii="Times New Roman" w:hAnsi="Times New Roman"/>
                <w:sz w:val="16"/>
              </w:rPr>
              <w:t>Newton, MA 02466</w:t>
            </w:r>
          </w:p>
        </w:tc>
        <w:tc>
          <w:tcPr>
            <w:tcW w:w="60" w:type="dxa"/>
            <w:tcBorders/>
            <w:shd w:fill="CCEEFF" w:val="clear"/>
            <w:vAlign w:val="center"/>
          </w:tcPr>
          <w:p>
            <w:pPr>
              <w:pStyle w:val="TableContents"/>
              <w:spacing w:before="0" w:after="283"/>
              <w:rPr/>
            </w:pPr>
            <w:r>
              <w:rPr/>
              <w:t> </w:t>
            </w:r>
          </w:p>
        </w:tc>
        <w:tc>
          <w:tcPr>
            <w:tcW w:w="2570" w:type="dxa"/>
            <w:tcBorders/>
            <w:shd w:fill="CCEEFF" w:val="clear"/>
            <w:vAlign w:val="center"/>
          </w:tcPr>
          <w:p>
            <w:pPr>
              <w:pStyle w:val="TableContents"/>
              <w:spacing w:before="0" w:after="283"/>
              <w:jc w:val="center"/>
              <w:rPr/>
            </w:pPr>
            <w:r>
              <w:rPr/>
              <w:t>Media: Diversified and Production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77" w:type="dxa"/>
            <w:tcBorders/>
            <w:shd w:fill="CCEEFF" w:val="clear"/>
            <w:vAlign w:val="center"/>
          </w:tcPr>
          <w:p>
            <w:pPr>
              <w:pStyle w:val="TableContents"/>
              <w:spacing w:before="0" w:after="283"/>
              <w:jc w:val="center"/>
              <w:rPr/>
            </w:pPr>
            <w:r>
              <w:rPr/>
              <w:t>First Lien Secured Debt(4),</w:t>
              <w:br/>
              <w:t>3M L+500, 09/07/2024</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  </w:t>
            </w:r>
          </w:p>
        </w:tc>
        <w:tc>
          <w:tcPr>
            <w:tcW w:w="4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9" w:type="dxa"/>
            <w:tcBorders/>
            <w:shd w:fill="CCEEFF" w:val="clear"/>
            <w:vAlign w:val="center"/>
          </w:tcPr>
          <w:p>
            <w:pPr>
              <w:pStyle w:val="TableContents"/>
              <w:spacing w:before="0" w:after="283"/>
              <w:jc w:val="right"/>
              <w:rPr/>
            </w:pPr>
            <w:r>
              <w:rPr/>
              <w:t>7,032</w:t>
            </w:r>
          </w:p>
        </w:tc>
        <w:tc>
          <w:tcPr>
            <w:tcW w:w="81" w:type="dxa"/>
            <w:tcBorders/>
            <w:shd w:fill="CCEEFF"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Rancho Health MSO, Inc.</w:t>
            </w:r>
          </w:p>
          <w:p>
            <w:pPr>
              <w:pStyle w:val="TableContents"/>
              <w:spacing w:before="0" w:after="0"/>
              <w:rPr>
                <w:rFonts w:ascii="Times New Roman" w:hAnsi="Times New Roman"/>
                <w:sz w:val="16"/>
              </w:rPr>
            </w:pPr>
            <w:r>
              <w:rPr>
                <w:rFonts w:ascii="Times New Roman" w:hAnsi="Times New Roman"/>
                <w:sz w:val="16"/>
              </w:rPr>
              <w:t>(RFMG Parent, LP)</w:t>
            </w:r>
          </w:p>
          <w:p>
            <w:pPr>
              <w:pStyle w:val="TableContents"/>
              <w:spacing w:before="0" w:after="0"/>
              <w:rPr>
                <w:rFonts w:ascii="Times New Roman" w:hAnsi="Times New Roman"/>
                <w:sz w:val="16"/>
              </w:rPr>
            </w:pPr>
            <w:r>
              <w:rPr>
                <w:rFonts w:ascii="Times New Roman" w:hAnsi="Times New Roman"/>
                <w:sz w:val="16"/>
              </w:rPr>
              <w:t>31720 Temecula Pkwy Suite 100</w:t>
            </w:r>
          </w:p>
          <w:p>
            <w:pPr>
              <w:pStyle w:val="TableContents"/>
              <w:spacing w:before="0" w:after="20"/>
              <w:rPr>
                <w:rFonts w:ascii="Times New Roman" w:hAnsi="Times New Roman"/>
                <w:sz w:val="16"/>
              </w:rPr>
            </w:pPr>
            <w:r>
              <w:rPr>
                <w:rFonts w:ascii="Times New Roman" w:hAnsi="Times New Roman"/>
                <w:sz w:val="16"/>
              </w:rPr>
              <w:t>Temecula, CA 92592</w:t>
            </w:r>
          </w:p>
        </w:tc>
        <w:tc>
          <w:tcPr>
            <w:tcW w:w="6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Healthcare Equipment and Supplies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77" w:type="dxa"/>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L+550, 12/18/2025</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2.05</w:t>
            </w:r>
          </w:p>
        </w:tc>
        <w:tc>
          <w:tcPr>
            <w:tcW w:w="4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9" w:type="dxa"/>
            <w:tcBorders/>
            <w:shd w:fill="auto" w:val="clear"/>
            <w:vAlign w:val="center"/>
          </w:tcPr>
          <w:p>
            <w:pPr>
              <w:pStyle w:val="TableContents"/>
              <w:spacing w:before="0" w:after="283"/>
              <w:jc w:val="right"/>
              <w:rPr/>
            </w:pPr>
            <w:r>
              <w:rPr/>
              <w:t>2,130</w:t>
            </w:r>
          </w:p>
        </w:tc>
        <w:tc>
          <w:tcPr>
            <w:tcW w:w="81" w:type="dxa"/>
            <w:tcBorders/>
            <w:shd w:fill="auto"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Recteq, LLC</w:t>
            </w:r>
          </w:p>
          <w:p>
            <w:pPr>
              <w:pStyle w:val="TableContents"/>
              <w:spacing w:before="0" w:after="0"/>
              <w:rPr>
                <w:rFonts w:ascii="Times New Roman" w:hAnsi="Times New Roman"/>
                <w:sz w:val="16"/>
              </w:rPr>
            </w:pPr>
            <w:r>
              <w:rPr>
                <w:rFonts w:ascii="Times New Roman" w:hAnsi="Times New Roman"/>
                <w:sz w:val="16"/>
              </w:rPr>
              <w:t>(NEPRT Parent Holdings, LLC (5))</w:t>
            </w:r>
          </w:p>
          <w:p>
            <w:pPr>
              <w:pStyle w:val="TableContents"/>
              <w:spacing w:before="0" w:after="0"/>
              <w:rPr>
                <w:rFonts w:ascii="Times New Roman" w:hAnsi="Times New Roman"/>
                <w:sz w:val="16"/>
              </w:rPr>
            </w:pPr>
            <w:r>
              <w:rPr>
                <w:rFonts w:ascii="Times New Roman" w:hAnsi="Times New Roman"/>
                <w:sz w:val="16"/>
              </w:rPr>
              <w:t>1061 Triad Ct., Ste. 3</w:t>
            </w:r>
          </w:p>
          <w:p>
            <w:pPr>
              <w:pStyle w:val="TableContents"/>
              <w:spacing w:before="0" w:after="20"/>
              <w:rPr>
                <w:rFonts w:ascii="Times New Roman" w:hAnsi="Times New Roman"/>
                <w:sz w:val="16"/>
              </w:rPr>
            </w:pPr>
            <w:r>
              <w:rPr>
                <w:rFonts w:ascii="Times New Roman" w:hAnsi="Times New Roman"/>
                <w:sz w:val="16"/>
              </w:rPr>
              <w:t>Marietta, GA 30062</w:t>
            </w:r>
          </w:p>
        </w:tc>
        <w:tc>
          <w:tcPr>
            <w:tcW w:w="60" w:type="dxa"/>
            <w:tcBorders/>
            <w:shd w:fill="CCEEFF" w:val="clear"/>
            <w:vAlign w:val="center"/>
          </w:tcPr>
          <w:p>
            <w:pPr>
              <w:pStyle w:val="TableContents"/>
              <w:spacing w:before="0" w:after="283"/>
              <w:rPr/>
            </w:pPr>
            <w:r>
              <w:rPr/>
              <w:t> </w:t>
            </w:r>
          </w:p>
        </w:tc>
        <w:tc>
          <w:tcPr>
            <w:tcW w:w="2570" w:type="dxa"/>
            <w:tcBorders/>
            <w:shd w:fill="CCEEFF" w:val="clear"/>
            <w:vAlign w:val="center"/>
          </w:tcPr>
          <w:p>
            <w:pPr>
              <w:pStyle w:val="TableContents"/>
              <w:spacing w:before="0" w:after="283"/>
              <w:jc w:val="center"/>
              <w:rPr/>
            </w:pPr>
            <w:r>
              <w:rPr/>
              <w:t>Leisure Products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77"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L+600, 01/29/2026</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right"/>
              <w:rPr/>
            </w:pPr>
            <w:r>
              <w:rPr/>
              <w:t>0.6</w:t>
            </w:r>
          </w:p>
        </w:tc>
        <w:tc>
          <w:tcPr>
            <w:tcW w:w="4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9" w:type="dxa"/>
            <w:tcBorders/>
            <w:shd w:fill="CCEEFF" w:val="clear"/>
            <w:vAlign w:val="center"/>
          </w:tcPr>
          <w:p>
            <w:pPr>
              <w:pStyle w:val="TableContents"/>
              <w:spacing w:before="0" w:after="283"/>
              <w:jc w:val="right"/>
              <w:rPr/>
            </w:pPr>
            <w:r>
              <w:rPr/>
              <w:t>2,020</w:t>
            </w:r>
          </w:p>
        </w:tc>
        <w:tc>
          <w:tcPr>
            <w:tcW w:w="81" w:type="dxa"/>
            <w:tcBorders/>
            <w:shd w:fill="CCEEFF" w:val="clear"/>
            <w:vAlign w:val="center"/>
          </w:tcPr>
          <w:p>
            <w:pPr>
              <w:pStyle w:val="TableContents"/>
              <w:spacing w:before="0" w:after="283"/>
              <w:rPr/>
            </w:pPr>
            <w:r>
              <w:rPr/>
              <w:t> </w:t>
            </w:r>
          </w:p>
        </w:tc>
      </w:tr>
      <w:tr>
        <w:trPr/>
        <w:tc>
          <w:tcPr>
            <w:tcW w:w="1892" w:type="dxa"/>
            <w:tcBorders/>
            <w:shd w:fill="auto" w:val="clear"/>
            <w:vAlign w:val="center"/>
          </w:tcPr>
          <w:p>
            <w:pPr>
              <w:pStyle w:val="TableContents"/>
              <w:spacing w:before="0" w:after="283"/>
              <w:rPr>
                <w:sz w:val="4"/>
                <w:szCs w:val="4"/>
              </w:rPr>
            </w:pPr>
            <w:r>
              <w:rPr>
                <w:sz w:val="4"/>
                <w:szCs w:val="4"/>
              </w:rPr>
            </w:r>
          </w:p>
        </w:tc>
        <w:tc>
          <w:tcPr>
            <w:tcW w:w="26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37" w:type="dxa"/>
            <w:gridSpan w:val="2"/>
            <w:tcBorders/>
            <w:shd w:fill="auto" w:val="clear"/>
            <w:vAlign w:val="center"/>
          </w:tcPr>
          <w:p>
            <w:pPr>
              <w:pStyle w:val="TableContents"/>
              <w:spacing w:before="0" w:after="283"/>
              <w:rPr>
                <w:sz w:val="4"/>
                <w:szCs w:val="4"/>
              </w:rPr>
            </w:pPr>
            <w:r>
              <w:rPr>
                <w:sz w:val="4"/>
                <w:szCs w:val="4"/>
              </w:rPr>
            </w:r>
          </w:p>
        </w:tc>
        <w:tc>
          <w:tcPr>
            <w:tcW w:w="1777" w:type="dxa"/>
            <w:gridSpan w:val="4"/>
            <w:tcBorders/>
            <w:shd w:fill="auto" w:val="clear"/>
            <w:vAlign w:val="center"/>
          </w:tcPr>
          <w:p>
            <w:pPr>
              <w:pStyle w:val="TableContents"/>
              <w:spacing w:before="0" w:after="283"/>
              <w:rPr>
                <w:sz w:val="4"/>
                <w:szCs w:val="4"/>
              </w:rPr>
            </w:pPr>
            <w:r>
              <w:rPr>
                <w:sz w:val="4"/>
                <w:szCs w:val="4"/>
              </w:rPr>
            </w:r>
          </w:p>
        </w:tc>
        <w:tc>
          <w:tcPr>
            <w:tcW w:w="1549" w:type="dxa"/>
            <w:gridSpan w:val="4"/>
            <w:tcBorders/>
            <w:shd w:fill="auto" w:val="clear"/>
            <w:vAlign w:val="center"/>
          </w:tcPr>
          <w:p>
            <w:pPr>
              <w:pStyle w:val="TableContents"/>
              <w:spacing w:before="0" w:after="283"/>
              <w:rPr>
                <w:sz w:val="4"/>
                <w:szCs w:val="4"/>
              </w:rPr>
            </w:pPr>
            <w:r>
              <w:rPr>
                <w:sz w:val="4"/>
                <w:szCs w:val="4"/>
              </w:rPr>
            </w:r>
          </w:p>
        </w:tc>
      </w:tr>
      <w:tr>
        <w:trPr/>
        <w:tc>
          <w:tcPr>
            <w:tcW w:w="1892"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Research Now Group, Inc. and Dynata, LLC</w:t>
            </w:r>
          </w:p>
          <w:p>
            <w:pPr>
              <w:pStyle w:val="TableContents"/>
              <w:spacing w:before="0" w:after="0"/>
              <w:rPr>
                <w:rFonts w:ascii="Times New Roman" w:hAnsi="Times New Roman"/>
                <w:sz w:val="16"/>
              </w:rPr>
            </w:pPr>
            <w:r>
              <w:rPr>
                <w:rFonts w:ascii="Times New Roman" w:hAnsi="Times New Roman"/>
                <w:sz w:val="16"/>
              </w:rPr>
              <w:t>5800 Tennyson Parkway, Suite 600</w:t>
            </w:r>
          </w:p>
          <w:p>
            <w:pPr>
              <w:pStyle w:val="TableContents"/>
              <w:spacing w:before="0" w:after="20"/>
              <w:rPr>
                <w:rFonts w:ascii="Times New Roman" w:hAnsi="Times New Roman"/>
                <w:sz w:val="16"/>
              </w:rPr>
            </w:pPr>
            <w:r>
              <w:rPr>
                <w:rFonts w:ascii="Times New Roman" w:hAnsi="Times New Roman"/>
                <w:sz w:val="16"/>
              </w:rPr>
              <w:t>Plano, TX 75024</w:t>
            </w:r>
          </w:p>
        </w:tc>
        <w:tc>
          <w:tcPr>
            <w:tcW w:w="6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Business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77" w:type="dxa"/>
            <w:tcBorders/>
            <w:shd w:fill="auto" w:val="clear"/>
            <w:vAlign w:val="center"/>
          </w:tcPr>
          <w:p>
            <w:pPr>
              <w:pStyle w:val="TableContents"/>
              <w:spacing w:before="0" w:after="283"/>
              <w:jc w:val="center"/>
              <w:rPr/>
            </w:pPr>
            <w:r>
              <w:rPr/>
              <w:t>First Lien Secured Debt,</w:t>
              <w:br/>
              <w:t>3M L+550, 12/20/2024</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right"/>
              <w:rPr/>
            </w:pPr>
            <w:r>
              <w:rPr/>
              <w:t>—  </w:t>
            </w:r>
          </w:p>
        </w:tc>
        <w:tc>
          <w:tcPr>
            <w:tcW w:w="4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9" w:type="dxa"/>
            <w:tcBorders/>
            <w:shd w:fill="auto" w:val="clear"/>
            <w:vAlign w:val="center"/>
          </w:tcPr>
          <w:p>
            <w:pPr>
              <w:pStyle w:val="TableContents"/>
              <w:spacing w:before="0" w:after="283"/>
              <w:jc w:val="right"/>
              <w:rPr/>
            </w:pPr>
            <w:r>
              <w:rPr/>
              <w:t>15,406</w:t>
            </w:r>
          </w:p>
        </w:tc>
        <w:tc>
          <w:tcPr>
            <w:tcW w:w="81"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1838"/>
        <w:gridCol w:w="60"/>
        <w:gridCol w:w="3270"/>
        <w:gridCol w:w="60"/>
        <w:gridCol w:w="60"/>
        <w:gridCol w:w="60"/>
        <w:gridCol w:w="1714"/>
        <w:gridCol w:w="60"/>
        <w:gridCol w:w="172"/>
        <w:gridCol w:w="1095"/>
        <w:gridCol w:w="275"/>
        <w:gridCol w:w="60"/>
        <w:gridCol w:w="238"/>
        <w:gridCol w:w="1164"/>
        <w:gridCol w:w="79"/>
      </w:tblGrid>
      <w:tr>
        <w:trPr/>
        <w:tc>
          <w:tcPr>
            <w:tcW w:w="18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r>
      <w:tr>
        <w:trPr/>
        <w:tc>
          <w:tcPr>
            <w:tcW w:w="1838"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w:t>
              <w:br/>
              <w:t>Address of Portfolio Company</w:t>
            </w:r>
          </w:p>
        </w:tc>
        <w:tc>
          <w:tcPr>
            <w:tcW w:w="60" w:type="dxa"/>
            <w:tcBorders/>
            <w:shd w:fill="auto" w:val="clear"/>
            <w:vAlign w:val="center"/>
          </w:tcPr>
          <w:p>
            <w:pPr>
              <w:pStyle w:val="TableContents"/>
              <w:spacing w:before="0" w:after="283"/>
              <w:rPr/>
            </w:pPr>
            <w:r>
              <w:rPr/>
              <w:t> </w:t>
            </w:r>
          </w:p>
        </w:tc>
        <w:tc>
          <w:tcPr>
            <w:tcW w:w="327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Nature of Business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14"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Type of Investment,</w:t>
            </w:r>
          </w:p>
          <w:p>
            <w:pPr>
              <w:pStyle w:val="TableContents"/>
              <w:spacing w:before="0" w:after="20"/>
              <w:jc w:val="center"/>
              <w:rPr>
                <w:rFonts w:ascii="Times New Roman" w:hAnsi="Times New Roman"/>
                <w:b/>
                <w:sz w:val="16"/>
              </w:rPr>
            </w:pPr>
            <w:r>
              <w:rPr>
                <w:rFonts w:ascii="Times New Roman" w:hAnsi="Times New Roman"/>
                <w:b/>
                <w:sz w:val="16"/>
              </w:rPr>
              <w:t>Interest(1), Maturity</w:t>
            </w:r>
          </w:p>
        </w:tc>
        <w:tc>
          <w:tcPr>
            <w:tcW w:w="60" w:type="dxa"/>
            <w:tcBorders/>
            <w:shd w:fill="auto" w:val="clear"/>
            <w:vAlign w:val="center"/>
          </w:tcPr>
          <w:p>
            <w:pPr>
              <w:pStyle w:val="TableContents"/>
              <w:spacing w:before="0" w:after="283"/>
              <w:rPr/>
            </w:pPr>
            <w:r>
              <w:rPr/>
              <w:t> </w:t>
            </w:r>
          </w:p>
        </w:tc>
        <w:tc>
          <w:tcPr>
            <w:tcW w:w="126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Voting</w:t>
              <w:br/>
              <w:t>Percentage</w:t>
              <w:br/>
              <w:t>Ownership(2)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2"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Fair Value</w:t>
              <w:br/>
              <w:t>(in thousands)</w:t>
            </w:r>
          </w:p>
        </w:tc>
        <w:tc>
          <w:tcPr>
            <w:tcW w:w="79" w:type="dxa"/>
            <w:tcBorders/>
            <w:shd w:fill="auto" w:val="clear"/>
            <w:vAlign w:val="center"/>
          </w:tcPr>
          <w:p>
            <w:pPr>
              <w:pStyle w:val="TableContents"/>
              <w:spacing w:before="0" w:after="283"/>
              <w:rPr/>
            </w:pPr>
            <w:r>
              <w:rPr/>
              <w:t> </w:t>
            </w:r>
          </w:p>
        </w:tc>
      </w:tr>
      <w:tr>
        <w:trPr/>
        <w:tc>
          <w:tcPr>
            <w:tcW w:w="1838"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Riverpoint Medical, LLC</w:t>
            </w:r>
          </w:p>
          <w:p>
            <w:pPr>
              <w:pStyle w:val="TableContents"/>
              <w:spacing w:before="0" w:after="0"/>
              <w:rPr>
                <w:rFonts w:ascii="Times New Roman" w:hAnsi="Times New Roman"/>
                <w:sz w:val="16"/>
              </w:rPr>
            </w:pPr>
            <w:r>
              <w:rPr>
                <w:rFonts w:ascii="Times New Roman" w:hAnsi="Times New Roman"/>
                <w:sz w:val="16"/>
              </w:rPr>
              <w:t>825 NE 25th Avenue</w:t>
            </w:r>
          </w:p>
          <w:p>
            <w:pPr>
              <w:pStyle w:val="TableContents"/>
              <w:spacing w:before="0" w:after="20"/>
              <w:rPr>
                <w:rFonts w:ascii="Times New Roman" w:hAnsi="Times New Roman"/>
                <w:sz w:val="16"/>
              </w:rPr>
            </w:pPr>
            <w:r>
              <w:rPr>
                <w:rFonts w:ascii="Times New Roman" w:hAnsi="Times New Roman"/>
                <w:sz w:val="16"/>
              </w:rPr>
              <w:t>Portland, OR 97232</w:t>
            </w:r>
          </w:p>
        </w:tc>
        <w:tc>
          <w:tcPr>
            <w:tcW w:w="60" w:type="dxa"/>
            <w:tcBorders/>
            <w:shd w:fill="CCEEFF" w:val="clear"/>
            <w:vAlign w:val="center"/>
          </w:tcPr>
          <w:p>
            <w:pPr>
              <w:pStyle w:val="TableContents"/>
              <w:spacing w:before="0" w:after="283"/>
              <w:rPr/>
            </w:pPr>
            <w:r>
              <w:rPr/>
              <w:t> </w:t>
            </w:r>
          </w:p>
        </w:tc>
        <w:tc>
          <w:tcPr>
            <w:tcW w:w="3270" w:type="dxa"/>
            <w:tcBorders/>
            <w:shd w:fill="CCEEFF" w:val="clear"/>
            <w:vAlign w:val="center"/>
          </w:tcPr>
          <w:p>
            <w:pPr>
              <w:pStyle w:val="TableContents"/>
              <w:spacing w:before="0" w:after="283"/>
              <w:jc w:val="center"/>
              <w:rPr/>
            </w:pPr>
            <w:r>
              <w:rPr/>
              <w:t>Healthcare Equipment and Supplies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14" w:type="dxa"/>
            <w:tcBorders/>
            <w:shd w:fill="CCEEFF" w:val="clear"/>
            <w:vAlign w:val="center"/>
          </w:tcPr>
          <w:p>
            <w:pPr>
              <w:pStyle w:val="TableContents"/>
              <w:spacing w:before="0" w:after="283"/>
              <w:jc w:val="center"/>
              <w:rPr/>
            </w:pPr>
            <w:r>
              <w:rPr/>
              <w:t>First Lien Secured Debt(4),</w:t>
              <w:br/>
              <w:t>3M L+575, 06/20/2025</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5"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rPr/>
            </w:pPr>
            <w:r>
              <w:rPr/>
              <w:t>$</w:t>
            </w:r>
          </w:p>
        </w:tc>
        <w:tc>
          <w:tcPr>
            <w:tcW w:w="1164" w:type="dxa"/>
            <w:tcBorders/>
            <w:shd w:fill="CCEEFF" w:val="clear"/>
            <w:vAlign w:val="center"/>
          </w:tcPr>
          <w:p>
            <w:pPr>
              <w:pStyle w:val="TableContents"/>
              <w:spacing w:before="0" w:after="283"/>
              <w:jc w:val="right"/>
              <w:rPr/>
            </w:pPr>
            <w:r>
              <w:rPr/>
              <w:t>7,758</w:t>
            </w:r>
          </w:p>
        </w:tc>
        <w:tc>
          <w:tcPr>
            <w:tcW w:w="79" w:type="dxa"/>
            <w:tcBorders/>
            <w:shd w:fill="CCEEFF" w:val="clear"/>
            <w:vAlign w:val="center"/>
          </w:tcPr>
          <w:p>
            <w:pPr>
              <w:pStyle w:val="TableContents"/>
              <w:spacing w:before="0" w:after="283"/>
              <w:rPr/>
            </w:pPr>
            <w:r>
              <w:rPr/>
              <w:t> </w:t>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Riverside Assessments, LLC</w:t>
            </w:r>
          </w:p>
          <w:p>
            <w:pPr>
              <w:pStyle w:val="TableContents"/>
              <w:spacing w:before="0" w:after="0"/>
              <w:rPr>
                <w:rFonts w:ascii="Times New Roman" w:hAnsi="Times New Roman"/>
                <w:sz w:val="16"/>
              </w:rPr>
            </w:pPr>
            <w:r>
              <w:rPr>
                <w:rFonts w:ascii="Times New Roman" w:hAnsi="Times New Roman"/>
                <w:sz w:val="16"/>
              </w:rPr>
              <w:t>One Pierce Pl, Suite 900W</w:t>
            </w:r>
          </w:p>
          <w:p>
            <w:pPr>
              <w:pStyle w:val="TableContents"/>
              <w:spacing w:before="0" w:after="20"/>
              <w:rPr>
                <w:rFonts w:ascii="Times New Roman" w:hAnsi="Times New Roman"/>
                <w:sz w:val="16"/>
              </w:rPr>
            </w:pPr>
            <w:r>
              <w:rPr>
                <w:rFonts w:ascii="Times New Roman" w:hAnsi="Times New Roman"/>
                <w:sz w:val="16"/>
              </w:rPr>
              <w:t>Itasca, IL 60143</w:t>
            </w:r>
          </w:p>
        </w:tc>
        <w:tc>
          <w:tcPr>
            <w:tcW w:w="60" w:type="dxa"/>
            <w:tcBorders/>
            <w:shd w:fill="auto" w:val="clear"/>
            <w:vAlign w:val="center"/>
          </w:tcPr>
          <w:p>
            <w:pPr>
              <w:pStyle w:val="TableContents"/>
              <w:spacing w:before="0" w:after="283"/>
              <w:rPr/>
            </w:pPr>
            <w:r>
              <w:rPr/>
              <w:t> </w:t>
            </w:r>
          </w:p>
        </w:tc>
        <w:tc>
          <w:tcPr>
            <w:tcW w:w="3270" w:type="dxa"/>
            <w:tcBorders/>
            <w:shd w:fill="auto" w:val="clear"/>
            <w:vAlign w:val="center"/>
          </w:tcPr>
          <w:p>
            <w:pPr>
              <w:pStyle w:val="TableContents"/>
              <w:spacing w:before="0" w:after="283"/>
              <w:jc w:val="center"/>
              <w:rPr/>
            </w:pPr>
            <w:r>
              <w:rPr/>
              <w:t>Professional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14" w:type="dxa"/>
            <w:tcBorders/>
            <w:shd w:fill="auto" w:val="clear"/>
            <w:vAlign w:val="center"/>
          </w:tcPr>
          <w:p>
            <w:pPr>
              <w:pStyle w:val="TableContents"/>
              <w:spacing w:before="0" w:after="283"/>
              <w:jc w:val="center"/>
              <w:rPr/>
            </w:pPr>
            <w:r>
              <w:rPr/>
              <w:t>First Lien Secured Debt,</w:t>
              <w:br/>
              <w:t>3M L+625, 03/10/2025</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4" w:type="dxa"/>
            <w:tcBorders/>
            <w:shd w:fill="auto" w:val="clear"/>
            <w:vAlign w:val="center"/>
          </w:tcPr>
          <w:p>
            <w:pPr>
              <w:pStyle w:val="TableContents"/>
              <w:spacing w:before="0" w:after="283"/>
              <w:jc w:val="right"/>
              <w:rPr/>
            </w:pPr>
            <w:r>
              <w:rPr/>
              <w:t>15,049</w:t>
            </w:r>
          </w:p>
        </w:tc>
        <w:tc>
          <w:tcPr>
            <w:tcW w:w="79" w:type="dxa"/>
            <w:tcBorders/>
            <w:shd w:fill="auto" w:val="clear"/>
            <w:vAlign w:val="center"/>
          </w:tcPr>
          <w:p>
            <w:pPr>
              <w:pStyle w:val="TableContents"/>
              <w:spacing w:before="0" w:after="283"/>
              <w:rPr/>
            </w:pPr>
            <w:r>
              <w:rPr/>
              <w:t> </w:t>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Sales Benchmark Index LLC</w:t>
            </w:r>
          </w:p>
          <w:p>
            <w:pPr>
              <w:pStyle w:val="TableContents"/>
              <w:spacing w:before="0" w:after="0"/>
              <w:rPr>
                <w:rFonts w:ascii="Times New Roman" w:hAnsi="Times New Roman"/>
                <w:sz w:val="16"/>
              </w:rPr>
            </w:pPr>
            <w:r>
              <w:rPr>
                <w:rFonts w:ascii="Times New Roman" w:hAnsi="Times New Roman"/>
                <w:sz w:val="16"/>
              </w:rPr>
              <w:t>(SBI Holdings Investments LLC(5))</w:t>
            </w:r>
          </w:p>
          <w:p>
            <w:pPr>
              <w:pStyle w:val="TableContents"/>
              <w:spacing w:before="0" w:after="0"/>
              <w:rPr>
                <w:rFonts w:ascii="Times New Roman" w:hAnsi="Times New Roman"/>
                <w:sz w:val="16"/>
              </w:rPr>
            </w:pPr>
            <w:r>
              <w:rPr>
                <w:rFonts w:ascii="Times New Roman" w:hAnsi="Times New Roman"/>
                <w:sz w:val="16"/>
              </w:rPr>
              <w:t>2021 McKinney Avenue Suite 550</w:t>
            </w:r>
          </w:p>
          <w:p>
            <w:pPr>
              <w:pStyle w:val="TableContents"/>
              <w:spacing w:before="0" w:after="20"/>
              <w:rPr>
                <w:rFonts w:ascii="Times New Roman" w:hAnsi="Times New Roman"/>
                <w:sz w:val="16"/>
              </w:rPr>
            </w:pPr>
            <w:r>
              <w:rPr>
                <w:rFonts w:ascii="Times New Roman" w:hAnsi="Times New Roman"/>
                <w:sz w:val="16"/>
              </w:rPr>
              <w:t>Dallas, TX 75201</w:t>
            </w:r>
          </w:p>
        </w:tc>
        <w:tc>
          <w:tcPr>
            <w:tcW w:w="60" w:type="dxa"/>
            <w:tcBorders/>
            <w:shd w:fill="CCEEFF" w:val="clear"/>
            <w:vAlign w:val="center"/>
          </w:tcPr>
          <w:p>
            <w:pPr>
              <w:pStyle w:val="TableContents"/>
              <w:spacing w:before="0" w:after="283"/>
              <w:rPr/>
            </w:pPr>
            <w:r>
              <w:rPr/>
              <w:t> </w:t>
            </w:r>
          </w:p>
        </w:tc>
        <w:tc>
          <w:tcPr>
            <w:tcW w:w="3270" w:type="dxa"/>
            <w:tcBorders/>
            <w:shd w:fill="CCEEFF" w:val="clear"/>
            <w:vAlign w:val="center"/>
          </w:tcPr>
          <w:p>
            <w:pPr>
              <w:pStyle w:val="TableContents"/>
              <w:spacing w:before="0" w:after="283"/>
              <w:jc w:val="center"/>
              <w:rPr/>
            </w:pPr>
            <w:r>
              <w:rPr/>
              <w:t>Professional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14"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3M L+600, 01/03/2025</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5" w:type="dxa"/>
            <w:tcBorders/>
            <w:shd w:fill="CCEEFF" w:val="clear"/>
            <w:vAlign w:val="center"/>
          </w:tcPr>
          <w:p>
            <w:pPr>
              <w:pStyle w:val="TableContents"/>
              <w:spacing w:before="0" w:after="283"/>
              <w:jc w:val="right"/>
              <w:rPr/>
            </w:pPr>
            <w:r>
              <w:rPr/>
              <w:t>0.4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rPr/>
            </w:pPr>
            <w:r>
              <w:rPr/>
              <w:t> </w:t>
            </w:r>
          </w:p>
        </w:tc>
        <w:tc>
          <w:tcPr>
            <w:tcW w:w="1164" w:type="dxa"/>
            <w:tcBorders/>
            <w:shd w:fill="CCEEFF" w:val="clear"/>
            <w:vAlign w:val="center"/>
          </w:tcPr>
          <w:p>
            <w:pPr>
              <w:pStyle w:val="TableContents"/>
              <w:spacing w:before="0" w:after="283"/>
              <w:jc w:val="right"/>
              <w:rPr/>
            </w:pPr>
            <w:r>
              <w:rPr/>
              <w:t>7,655</w:t>
            </w:r>
          </w:p>
        </w:tc>
        <w:tc>
          <w:tcPr>
            <w:tcW w:w="79" w:type="dxa"/>
            <w:tcBorders/>
            <w:shd w:fill="CCEEFF" w:val="clear"/>
            <w:vAlign w:val="center"/>
          </w:tcPr>
          <w:p>
            <w:pPr>
              <w:pStyle w:val="TableContents"/>
              <w:spacing w:before="0" w:after="283"/>
              <w:rPr/>
            </w:pPr>
            <w:r>
              <w:rPr/>
              <w:t> </w:t>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Sargent &amp; Greenleaf Inc.</w:t>
            </w:r>
          </w:p>
          <w:p>
            <w:pPr>
              <w:pStyle w:val="TableContents"/>
              <w:spacing w:before="0" w:after="0"/>
              <w:rPr>
                <w:rFonts w:ascii="Times New Roman" w:hAnsi="Times New Roman"/>
                <w:sz w:val="16"/>
              </w:rPr>
            </w:pPr>
            <w:r>
              <w:rPr>
                <w:rFonts w:ascii="Times New Roman" w:hAnsi="Times New Roman"/>
                <w:sz w:val="16"/>
              </w:rPr>
              <w:t>One Security Drive</w:t>
            </w:r>
          </w:p>
          <w:p>
            <w:pPr>
              <w:pStyle w:val="TableContents"/>
              <w:spacing w:before="0" w:after="20"/>
              <w:rPr>
                <w:rFonts w:ascii="Times New Roman" w:hAnsi="Times New Roman"/>
                <w:sz w:val="16"/>
              </w:rPr>
            </w:pPr>
            <w:r>
              <w:rPr>
                <w:rFonts w:ascii="Times New Roman" w:hAnsi="Times New Roman"/>
                <w:sz w:val="16"/>
              </w:rPr>
              <w:t>Nicholasville, KY 40356</w:t>
            </w:r>
          </w:p>
        </w:tc>
        <w:tc>
          <w:tcPr>
            <w:tcW w:w="60" w:type="dxa"/>
            <w:tcBorders/>
            <w:shd w:fill="auto" w:val="clear"/>
            <w:vAlign w:val="center"/>
          </w:tcPr>
          <w:p>
            <w:pPr>
              <w:pStyle w:val="TableContents"/>
              <w:spacing w:before="0" w:after="283"/>
              <w:rPr/>
            </w:pPr>
            <w:r>
              <w:rPr/>
              <w:t> </w:t>
            </w:r>
          </w:p>
        </w:tc>
        <w:tc>
          <w:tcPr>
            <w:tcW w:w="3270" w:type="dxa"/>
            <w:tcBorders/>
            <w:shd w:fill="auto" w:val="clear"/>
            <w:vAlign w:val="center"/>
          </w:tcPr>
          <w:p>
            <w:pPr>
              <w:pStyle w:val="TableContents"/>
              <w:spacing w:before="0" w:after="283"/>
              <w:jc w:val="center"/>
              <w:rPr/>
            </w:pPr>
            <w:r>
              <w:rPr/>
              <w:t>Electronic Equipment, Instruments, and Components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14" w:type="dxa"/>
            <w:tcBorders/>
            <w:shd w:fill="auto" w:val="clear"/>
            <w:vAlign w:val="center"/>
          </w:tcPr>
          <w:p>
            <w:pPr>
              <w:pStyle w:val="TableContents"/>
              <w:spacing w:before="0" w:after="283"/>
              <w:jc w:val="center"/>
              <w:rPr/>
            </w:pPr>
            <w:r>
              <w:rPr/>
              <w:t>First Lien Secured Debt(4),</w:t>
              <w:br/>
              <w:t>1M L+550, 12/20/2024</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4" w:type="dxa"/>
            <w:tcBorders/>
            <w:shd w:fill="auto" w:val="clear"/>
            <w:vAlign w:val="center"/>
          </w:tcPr>
          <w:p>
            <w:pPr>
              <w:pStyle w:val="TableContents"/>
              <w:spacing w:before="0" w:after="283"/>
              <w:jc w:val="right"/>
              <w:rPr/>
            </w:pPr>
            <w:r>
              <w:rPr/>
              <w:t>4,489</w:t>
            </w:r>
          </w:p>
        </w:tc>
        <w:tc>
          <w:tcPr>
            <w:tcW w:w="79" w:type="dxa"/>
            <w:tcBorders/>
            <w:shd w:fill="auto" w:val="clear"/>
            <w:vAlign w:val="center"/>
          </w:tcPr>
          <w:p>
            <w:pPr>
              <w:pStyle w:val="TableContents"/>
              <w:spacing w:before="0" w:after="283"/>
              <w:rPr/>
            </w:pPr>
            <w:r>
              <w:rPr/>
              <w:t> </w:t>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Schlesinger Global, Inc.</w:t>
            </w:r>
          </w:p>
          <w:p>
            <w:pPr>
              <w:pStyle w:val="TableContents"/>
              <w:spacing w:before="0" w:after="0"/>
              <w:rPr>
                <w:rFonts w:ascii="Times New Roman" w:hAnsi="Times New Roman"/>
                <w:sz w:val="16"/>
              </w:rPr>
            </w:pPr>
            <w:r>
              <w:rPr>
                <w:rFonts w:ascii="Times New Roman" w:hAnsi="Times New Roman"/>
                <w:sz w:val="16"/>
              </w:rPr>
              <w:t>(Gauge Schlesinger Coinvest, LLC)</w:t>
            </w:r>
          </w:p>
          <w:p>
            <w:pPr>
              <w:pStyle w:val="TableContents"/>
              <w:spacing w:before="0" w:after="0"/>
              <w:rPr>
                <w:rFonts w:ascii="Times New Roman" w:hAnsi="Times New Roman"/>
                <w:sz w:val="16"/>
              </w:rPr>
            </w:pPr>
            <w:r>
              <w:rPr>
                <w:rFonts w:ascii="Times New Roman" w:hAnsi="Times New Roman"/>
                <w:sz w:val="16"/>
              </w:rPr>
              <w:t>101 Wood Avenue South, Suite 501</w:t>
            </w:r>
          </w:p>
          <w:p>
            <w:pPr>
              <w:pStyle w:val="TableContents"/>
              <w:spacing w:before="0" w:after="20"/>
              <w:rPr>
                <w:rFonts w:ascii="Times New Roman" w:hAnsi="Times New Roman"/>
                <w:sz w:val="16"/>
              </w:rPr>
            </w:pPr>
            <w:r>
              <w:rPr>
                <w:rFonts w:ascii="Times New Roman" w:hAnsi="Times New Roman"/>
                <w:sz w:val="16"/>
              </w:rPr>
              <w:t>Iselin, NJ 08830</w:t>
            </w:r>
          </w:p>
        </w:tc>
        <w:tc>
          <w:tcPr>
            <w:tcW w:w="60" w:type="dxa"/>
            <w:tcBorders/>
            <w:shd w:fill="CCEEFF" w:val="clear"/>
            <w:vAlign w:val="center"/>
          </w:tcPr>
          <w:p>
            <w:pPr>
              <w:pStyle w:val="TableContents"/>
              <w:spacing w:before="0" w:after="283"/>
              <w:rPr/>
            </w:pPr>
            <w:r>
              <w:rPr/>
              <w:t> </w:t>
            </w:r>
          </w:p>
        </w:tc>
        <w:tc>
          <w:tcPr>
            <w:tcW w:w="3270" w:type="dxa"/>
            <w:tcBorders/>
            <w:shd w:fill="CCEEFF" w:val="clear"/>
            <w:vAlign w:val="center"/>
          </w:tcPr>
          <w:p>
            <w:pPr>
              <w:pStyle w:val="TableContents"/>
              <w:spacing w:before="0" w:after="283"/>
              <w:jc w:val="center"/>
              <w:rPr/>
            </w:pPr>
            <w:r>
              <w:rPr/>
              <w:t>Professional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14" w:type="dxa"/>
            <w:tcBorders/>
            <w:shd w:fill="CCEEFF" w:val="clear"/>
            <w:vAlign w:val="center"/>
          </w:tcPr>
          <w:p>
            <w:pPr>
              <w:pStyle w:val="TableContents"/>
              <w:spacing w:before="0" w:after="283"/>
              <w:jc w:val="center"/>
              <w:rPr/>
            </w:pPr>
            <w:r>
              <w:rPr/>
              <w:t>First Lien Secured Debt(4),</w:t>
              <w:br/>
              <w:t>SOFR+700, 07/14/2025</w:t>
              <w:br/>
              <w:t>Common Equity</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5" w:type="dxa"/>
            <w:tcBorders/>
            <w:shd w:fill="CCEEFF" w:val="clear"/>
            <w:vAlign w:val="center"/>
          </w:tcPr>
          <w:p>
            <w:pPr>
              <w:pStyle w:val="TableContents"/>
              <w:spacing w:before="0" w:after="283"/>
              <w:jc w:val="right"/>
              <w:rPr/>
            </w:pPr>
            <w:r>
              <w:rPr/>
              <w:t>1.4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rPr/>
            </w:pPr>
            <w:r>
              <w:rPr/>
              <w:t> </w:t>
            </w:r>
          </w:p>
        </w:tc>
        <w:tc>
          <w:tcPr>
            <w:tcW w:w="1164" w:type="dxa"/>
            <w:tcBorders/>
            <w:shd w:fill="CCEEFF" w:val="clear"/>
            <w:vAlign w:val="center"/>
          </w:tcPr>
          <w:p>
            <w:pPr>
              <w:pStyle w:val="TableContents"/>
              <w:spacing w:before="0" w:after="283"/>
              <w:jc w:val="right"/>
              <w:rPr/>
            </w:pPr>
            <w:r>
              <w:rPr/>
              <w:t>16,131</w:t>
            </w:r>
          </w:p>
        </w:tc>
        <w:tc>
          <w:tcPr>
            <w:tcW w:w="79" w:type="dxa"/>
            <w:tcBorders/>
            <w:shd w:fill="CCEEFF" w:val="clear"/>
            <w:vAlign w:val="center"/>
          </w:tcPr>
          <w:p>
            <w:pPr>
              <w:pStyle w:val="TableContents"/>
              <w:spacing w:before="0" w:after="283"/>
              <w:rPr/>
            </w:pPr>
            <w:r>
              <w:rPr/>
              <w:t> </w:t>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Seaway Buyer, LLC</w:t>
            </w:r>
          </w:p>
          <w:p>
            <w:pPr>
              <w:pStyle w:val="TableContents"/>
              <w:spacing w:before="0" w:after="0"/>
              <w:rPr>
                <w:rFonts w:ascii="Times New Roman" w:hAnsi="Times New Roman"/>
                <w:sz w:val="16"/>
              </w:rPr>
            </w:pPr>
            <w:r>
              <w:rPr>
                <w:rFonts w:ascii="Times New Roman" w:hAnsi="Times New Roman"/>
                <w:sz w:val="16"/>
              </w:rPr>
              <w:t>(Seaway Topco, LP)</w:t>
            </w:r>
          </w:p>
          <w:p>
            <w:pPr>
              <w:pStyle w:val="TableContents"/>
              <w:spacing w:before="0" w:after="0"/>
              <w:rPr>
                <w:rFonts w:ascii="Times New Roman" w:hAnsi="Times New Roman"/>
                <w:sz w:val="16"/>
              </w:rPr>
            </w:pPr>
            <w:r>
              <w:rPr>
                <w:rFonts w:ascii="Times New Roman" w:hAnsi="Times New Roman"/>
                <w:sz w:val="16"/>
              </w:rPr>
              <w:t>6006 Siesta Lane</w:t>
            </w:r>
          </w:p>
          <w:p>
            <w:pPr>
              <w:pStyle w:val="TableContents"/>
              <w:spacing w:before="0" w:after="20"/>
              <w:rPr>
                <w:rFonts w:ascii="Times New Roman" w:hAnsi="Times New Roman"/>
                <w:sz w:val="16"/>
              </w:rPr>
            </w:pPr>
            <w:r>
              <w:rPr>
                <w:rFonts w:ascii="Times New Roman" w:hAnsi="Times New Roman"/>
                <w:sz w:val="16"/>
              </w:rPr>
              <w:t>Port Richey, FL 34668</w:t>
            </w:r>
          </w:p>
        </w:tc>
        <w:tc>
          <w:tcPr>
            <w:tcW w:w="60" w:type="dxa"/>
            <w:tcBorders/>
            <w:shd w:fill="auto" w:val="clear"/>
            <w:vAlign w:val="center"/>
          </w:tcPr>
          <w:p>
            <w:pPr>
              <w:pStyle w:val="TableContents"/>
              <w:spacing w:before="0" w:after="283"/>
              <w:rPr/>
            </w:pPr>
            <w:r>
              <w:rPr/>
              <w:t> </w:t>
            </w:r>
          </w:p>
        </w:tc>
        <w:tc>
          <w:tcPr>
            <w:tcW w:w="3270" w:type="dxa"/>
            <w:tcBorders/>
            <w:shd w:fill="auto" w:val="clear"/>
            <w:vAlign w:val="center"/>
          </w:tcPr>
          <w:p>
            <w:pPr>
              <w:pStyle w:val="TableContents"/>
              <w:spacing w:before="0" w:after="283"/>
              <w:jc w:val="center"/>
              <w:rPr/>
            </w:pPr>
            <w:r>
              <w:rPr/>
              <w:t>Chemicals, Plastics and Rubber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14" w:type="dxa"/>
            <w:tcBorders/>
            <w:shd w:fill="auto" w:val="clear"/>
            <w:vAlign w:val="center"/>
          </w:tcPr>
          <w:p>
            <w:pPr>
              <w:pStyle w:val="TableContents"/>
              <w:spacing w:before="0" w:after="283"/>
              <w:jc w:val="center"/>
              <w:rPr/>
            </w:pPr>
            <w:r>
              <w:rPr/>
              <w:t>First Lien Secured Debt,</w:t>
              <w:br/>
              <w:t>3M L+575, 06/13/2029</w:t>
              <w:br/>
              <w:t>Common Equity</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jc w:val="right"/>
              <w:rPr/>
            </w:pPr>
            <w:r>
              <w:rPr/>
              <w:t>0.3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4" w:type="dxa"/>
            <w:tcBorders/>
            <w:shd w:fill="auto" w:val="clear"/>
            <w:vAlign w:val="center"/>
          </w:tcPr>
          <w:p>
            <w:pPr>
              <w:pStyle w:val="TableContents"/>
              <w:spacing w:before="0" w:after="283"/>
              <w:jc w:val="right"/>
              <w:rPr/>
            </w:pPr>
            <w:r>
              <w:rPr/>
              <w:t>7,132</w:t>
            </w:r>
          </w:p>
        </w:tc>
        <w:tc>
          <w:tcPr>
            <w:tcW w:w="79" w:type="dxa"/>
            <w:tcBorders/>
            <w:shd w:fill="auto" w:val="clear"/>
            <w:vAlign w:val="center"/>
          </w:tcPr>
          <w:p>
            <w:pPr>
              <w:pStyle w:val="TableContents"/>
              <w:spacing w:before="0" w:after="283"/>
              <w:rPr/>
            </w:pPr>
            <w:r>
              <w:rPr/>
              <w:t> </w:t>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Sigma Defense Systems, LLC</w:t>
            </w:r>
          </w:p>
          <w:p>
            <w:pPr>
              <w:pStyle w:val="TableContents"/>
              <w:spacing w:before="0" w:after="0"/>
              <w:rPr>
                <w:rFonts w:ascii="Times New Roman" w:hAnsi="Times New Roman"/>
                <w:sz w:val="16"/>
              </w:rPr>
            </w:pPr>
            <w:r>
              <w:rPr>
                <w:rFonts w:ascii="Times New Roman" w:hAnsi="Times New Roman"/>
                <w:sz w:val="16"/>
              </w:rPr>
              <w:t>(Delta InvestCo LP (5))</w:t>
            </w:r>
          </w:p>
          <w:p>
            <w:pPr>
              <w:pStyle w:val="TableContents"/>
              <w:spacing w:before="0" w:after="20"/>
              <w:rPr>
                <w:rFonts w:ascii="Times New Roman" w:hAnsi="Times New Roman"/>
                <w:sz w:val="16"/>
              </w:rPr>
            </w:pPr>
            <w:r>
              <w:rPr>
                <w:rFonts w:ascii="Times New Roman" w:hAnsi="Times New Roman"/>
                <w:sz w:val="16"/>
              </w:rPr>
              <w:t>1812 Macon Rd, Perry, GA 31069</w:t>
            </w:r>
          </w:p>
        </w:tc>
        <w:tc>
          <w:tcPr>
            <w:tcW w:w="60" w:type="dxa"/>
            <w:tcBorders/>
            <w:shd w:fill="CCEEFF" w:val="clear"/>
            <w:vAlign w:val="center"/>
          </w:tcPr>
          <w:p>
            <w:pPr>
              <w:pStyle w:val="TableContents"/>
              <w:spacing w:before="0" w:after="283"/>
              <w:rPr/>
            </w:pPr>
            <w:r>
              <w:rPr/>
              <w:t> </w:t>
            </w:r>
          </w:p>
        </w:tc>
        <w:tc>
          <w:tcPr>
            <w:tcW w:w="3270" w:type="dxa"/>
            <w:tcBorders/>
            <w:shd w:fill="CCEEFF" w:val="clear"/>
            <w:vAlign w:val="center"/>
          </w:tcPr>
          <w:p>
            <w:pPr>
              <w:pStyle w:val="TableContents"/>
              <w:spacing w:before="0" w:after="283"/>
              <w:jc w:val="center"/>
              <w:rPr/>
            </w:pPr>
            <w:r>
              <w:rPr/>
              <w:t>IT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14" w:type="dxa"/>
            <w:tcBorders/>
            <w:shd w:fill="CCEEFF" w:val="clear"/>
            <w:vAlign w:val="center"/>
          </w:tcPr>
          <w:p>
            <w:pPr>
              <w:pStyle w:val="TableContents"/>
              <w:spacing w:before="0" w:after="283"/>
              <w:jc w:val="center"/>
              <w:rPr/>
            </w:pPr>
            <w:r>
              <w:rPr/>
              <w:t>First Lien Secured Debt(4),</w:t>
              <w:br/>
              <w:t>3M L+850, 12/18/2025</w:t>
              <w:br/>
              <w:t>Common Equity(4)</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5" w:type="dxa"/>
            <w:tcBorders/>
            <w:shd w:fill="CCEEFF" w:val="clear"/>
            <w:vAlign w:val="center"/>
          </w:tcPr>
          <w:p>
            <w:pPr>
              <w:pStyle w:val="TableContents"/>
              <w:spacing w:before="0" w:after="283"/>
              <w:jc w:val="right"/>
              <w:rPr/>
            </w:pPr>
            <w:r>
              <w:rPr/>
              <w:t>1.3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rPr/>
            </w:pPr>
            <w:r>
              <w:rPr/>
              <w:t> </w:t>
            </w:r>
          </w:p>
        </w:tc>
        <w:tc>
          <w:tcPr>
            <w:tcW w:w="1164" w:type="dxa"/>
            <w:tcBorders/>
            <w:shd w:fill="CCEEFF" w:val="clear"/>
            <w:vAlign w:val="center"/>
          </w:tcPr>
          <w:p>
            <w:pPr>
              <w:pStyle w:val="TableContents"/>
              <w:spacing w:before="0" w:after="283"/>
              <w:jc w:val="right"/>
              <w:rPr/>
            </w:pPr>
            <w:r>
              <w:rPr/>
              <w:t>12,948</w:t>
            </w:r>
          </w:p>
        </w:tc>
        <w:tc>
          <w:tcPr>
            <w:tcW w:w="79" w:type="dxa"/>
            <w:tcBorders/>
            <w:shd w:fill="CCEEFF" w:val="clear"/>
            <w:vAlign w:val="center"/>
          </w:tcPr>
          <w:p>
            <w:pPr>
              <w:pStyle w:val="TableContents"/>
              <w:spacing w:before="0" w:after="283"/>
              <w:rPr/>
            </w:pPr>
            <w:r>
              <w:rPr/>
              <w:t> </w:t>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Signature Systems Holding Company</w:t>
            </w:r>
          </w:p>
          <w:p>
            <w:pPr>
              <w:pStyle w:val="TableContents"/>
              <w:spacing w:before="0" w:after="0"/>
              <w:rPr>
                <w:rFonts w:ascii="Times New Roman" w:hAnsi="Times New Roman"/>
                <w:sz w:val="16"/>
              </w:rPr>
            </w:pPr>
            <w:r>
              <w:rPr>
                <w:rFonts w:ascii="Times New Roman" w:hAnsi="Times New Roman"/>
                <w:sz w:val="16"/>
              </w:rPr>
              <w:t>(Signature CR Intermediate Holdco, Inc.)</w:t>
            </w:r>
          </w:p>
          <w:p>
            <w:pPr>
              <w:pStyle w:val="TableContents"/>
              <w:spacing w:before="0" w:after="0"/>
              <w:rPr>
                <w:rFonts w:ascii="Times New Roman" w:hAnsi="Times New Roman"/>
                <w:sz w:val="16"/>
              </w:rPr>
            </w:pPr>
            <w:r>
              <w:rPr>
                <w:rFonts w:ascii="Times New Roman" w:hAnsi="Times New Roman"/>
                <w:sz w:val="16"/>
              </w:rPr>
              <w:t>1201 Lakeside Parkway, Suite 150</w:t>
            </w:r>
          </w:p>
          <w:p>
            <w:pPr>
              <w:pStyle w:val="TableContents"/>
              <w:spacing w:before="0" w:after="20"/>
              <w:rPr>
                <w:rFonts w:ascii="Times New Roman" w:hAnsi="Times New Roman"/>
                <w:sz w:val="16"/>
              </w:rPr>
            </w:pPr>
            <w:r>
              <w:rPr>
                <w:rFonts w:ascii="Times New Roman" w:hAnsi="Times New Roman"/>
                <w:sz w:val="16"/>
              </w:rPr>
              <w:t>Flower Mound, TX 75028</w:t>
            </w:r>
          </w:p>
        </w:tc>
        <w:tc>
          <w:tcPr>
            <w:tcW w:w="60" w:type="dxa"/>
            <w:tcBorders/>
            <w:shd w:fill="auto" w:val="clear"/>
            <w:vAlign w:val="center"/>
          </w:tcPr>
          <w:p>
            <w:pPr>
              <w:pStyle w:val="TableContents"/>
              <w:spacing w:before="0" w:after="283"/>
              <w:rPr/>
            </w:pPr>
            <w:r>
              <w:rPr/>
              <w:t> </w:t>
            </w:r>
          </w:p>
        </w:tc>
        <w:tc>
          <w:tcPr>
            <w:tcW w:w="3270" w:type="dxa"/>
            <w:tcBorders/>
            <w:shd w:fill="auto" w:val="clear"/>
            <w:vAlign w:val="center"/>
          </w:tcPr>
          <w:p>
            <w:pPr>
              <w:pStyle w:val="TableContents"/>
              <w:spacing w:before="0" w:after="283"/>
              <w:jc w:val="center"/>
              <w:rPr/>
            </w:pPr>
            <w:r>
              <w:rPr/>
              <w:t>Commercial Services &amp; Supplies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14" w:type="dxa"/>
            <w:tcBorders/>
            <w:shd w:fill="auto" w:val="clear"/>
            <w:vAlign w:val="center"/>
          </w:tcPr>
          <w:p>
            <w:pPr>
              <w:pStyle w:val="TableContents"/>
              <w:spacing w:before="0" w:after="283"/>
              <w:jc w:val="center"/>
              <w:rPr/>
            </w:pPr>
            <w:r>
              <w:rPr/>
              <w:t>First Lien Secured Debt(4),</w:t>
              <w:br/>
              <w:t>1M L+650, 05/03/2024</w:t>
              <w:br/>
              <w:t>Preferred Equity</w:t>
              <w:br/>
              <w:t>Common Equity</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jc w:val="right"/>
              <w:rPr/>
            </w:pPr>
            <w:r>
              <w:rPr/>
              <w:t>3.9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4" w:type="dxa"/>
            <w:tcBorders/>
            <w:shd w:fill="auto" w:val="clear"/>
            <w:vAlign w:val="center"/>
          </w:tcPr>
          <w:p>
            <w:pPr>
              <w:pStyle w:val="TableContents"/>
              <w:spacing w:before="0" w:after="283"/>
              <w:jc w:val="right"/>
              <w:rPr/>
            </w:pPr>
            <w:r>
              <w:rPr/>
              <w:t>11,941</w:t>
            </w:r>
          </w:p>
        </w:tc>
        <w:tc>
          <w:tcPr>
            <w:tcW w:w="79" w:type="dxa"/>
            <w:tcBorders/>
            <w:shd w:fill="auto" w:val="clear"/>
            <w:vAlign w:val="center"/>
          </w:tcPr>
          <w:p>
            <w:pPr>
              <w:pStyle w:val="TableContents"/>
              <w:spacing w:before="0" w:after="283"/>
              <w:rPr/>
            </w:pPr>
            <w:r>
              <w:rPr/>
              <w:t> </w:t>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Smile Brands Inc.</w:t>
            </w:r>
          </w:p>
          <w:p>
            <w:pPr>
              <w:pStyle w:val="TableContents"/>
              <w:spacing w:before="0" w:after="0"/>
              <w:rPr>
                <w:rFonts w:ascii="Times New Roman" w:hAnsi="Times New Roman"/>
                <w:sz w:val="16"/>
              </w:rPr>
            </w:pPr>
            <w:r>
              <w:rPr>
                <w:rFonts w:ascii="Times New Roman" w:hAnsi="Times New Roman"/>
                <w:sz w:val="16"/>
              </w:rPr>
              <w:t>100 Spectrum Center Drive, Suite 100</w:t>
            </w:r>
          </w:p>
          <w:p>
            <w:pPr>
              <w:pStyle w:val="TableContents"/>
              <w:spacing w:before="0" w:after="20"/>
              <w:rPr>
                <w:rFonts w:ascii="Times New Roman" w:hAnsi="Times New Roman"/>
                <w:sz w:val="16"/>
              </w:rPr>
            </w:pPr>
            <w:r>
              <w:rPr>
                <w:rFonts w:ascii="Times New Roman" w:hAnsi="Times New Roman"/>
                <w:sz w:val="16"/>
              </w:rPr>
              <w:t>Irvine, CA 92618</w:t>
            </w:r>
          </w:p>
        </w:tc>
        <w:tc>
          <w:tcPr>
            <w:tcW w:w="60" w:type="dxa"/>
            <w:tcBorders/>
            <w:shd w:fill="CCEEFF" w:val="clear"/>
            <w:vAlign w:val="center"/>
          </w:tcPr>
          <w:p>
            <w:pPr>
              <w:pStyle w:val="TableContents"/>
              <w:spacing w:before="0" w:after="283"/>
              <w:rPr/>
            </w:pPr>
            <w:r>
              <w:rPr/>
              <w:t> </w:t>
            </w:r>
          </w:p>
        </w:tc>
        <w:tc>
          <w:tcPr>
            <w:tcW w:w="3270" w:type="dxa"/>
            <w:tcBorders/>
            <w:shd w:fill="CCEEFF" w:val="clear"/>
            <w:vAlign w:val="center"/>
          </w:tcPr>
          <w:p>
            <w:pPr>
              <w:pStyle w:val="TableContents"/>
              <w:spacing w:before="0" w:after="283"/>
              <w:jc w:val="center"/>
              <w:rPr/>
            </w:pPr>
            <w:r>
              <w:rPr/>
              <w:t>Healthcare and Pharmaceuticals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14" w:type="dxa"/>
            <w:tcBorders/>
            <w:shd w:fill="CCEEFF" w:val="clear"/>
            <w:vAlign w:val="center"/>
          </w:tcPr>
          <w:p>
            <w:pPr>
              <w:pStyle w:val="TableContents"/>
              <w:spacing w:before="0" w:after="283"/>
              <w:jc w:val="center"/>
              <w:rPr/>
            </w:pPr>
            <w:r>
              <w:rPr/>
              <w:t>First Lien Secured Debt(4),</w:t>
              <w:br/>
              <w:t>1M L+450, 10/14/2025</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5"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rPr/>
            </w:pPr>
            <w:r>
              <w:rPr/>
              <w:t> </w:t>
            </w:r>
          </w:p>
        </w:tc>
        <w:tc>
          <w:tcPr>
            <w:tcW w:w="1164" w:type="dxa"/>
            <w:tcBorders/>
            <w:shd w:fill="CCEEFF" w:val="clear"/>
            <w:vAlign w:val="center"/>
          </w:tcPr>
          <w:p>
            <w:pPr>
              <w:pStyle w:val="TableContents"/>
              <w:spacing w:before="0" w:after="283"/>
              <w:jc w:val="right"/>
              <w:rPr/>
            </w:pPr>
            <w:r>
              <w:rPr/>
              <w:t>2,309</w:t>
            </w:r>
          </w:p>
        </w:tc>
        <w:tc>
          <w:tcPr>
            <w:tcW w:w="79" w:type="dxa"/>
            <w:tcBorders/>
            <w:shd w:fill="CCEEFF" w:val="clear"/>
            <w:vAlign w:val="center"/>
          </w:tcPr>
          <w:p>
            <w:pPr>
              <w:pStyle w:val="TableContents"/>
              <w:spacing w:before="0" w:after="283"/>
              <w:rPr/>
            </w:pPr>
            <w:r>
              <w:rPr/>
              <w:t> </w:t>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Solutionreach, Inc.</w:t>
            </w:r>
          </w:p>
          <w:p>
            <w:pPr>
              <w:pStyle w:val="TableContents"/>
              <w:spacing w:before="0" w:after="0"/>
              <w:rPr>
                <w:rFonts w:ascii="Times New Roman" w:hAnsi="Times New Roman"/>
                <w:sz w:val="16"/>
              </w:rPr>
            </w:pPr>
            <w:r>
              <w:rPr>
                <w:rFonts w:ascii="Times New Roman" w:hAnsi="Times New Roman"/>
                <w:sz w:val="16"/>
              </w:rPr>
              <w:t>2600 N. Ashton Blvd.</w:t>
            </w:r>
          </w:p>
          <w:p>
            <w:pPr>
              <w:pStyle w:val="TableContents"/>
              <w:spacing w:before="0" w:after="20"/>
              <w:rPr>
                <w:rFonts w:ascii="Times New Roman" w:hAnsi="Times New Roman"/>
                <w:sz w:val="16"/>
              </w:rPr>
            </w:pPr>
            <w:r>
              <w:rPr>
                <w:rFonts w:ascii="Times New Roman" w:hAnsi="Times New Roman"/>
                <w:sz w:val="16"/>
              </w:rPr>
              <w:t>Lehi, UT 84043</w:t>
            </w:r>
          </w:p>
        </w:tc>
        <w:tc>
          <w:tcPr>
            <w:tcW w:w="60" w:type="dxa"/>
            <w:tcBorders/>
            <w:shd w:fill="auto" w:val="clear"/>
            <w:vAlign w:val="center"/>
          </w:tcPr>
          <w:p>
            <w:pPr>
              <w:pStyle w:val="TableContents"/>
              <w:spacing w:before="0" w:after="283"/>
              <w:rPr/>
            </w:pPr>
            <w:r>
              <w:rPr/>
              <w:t> </w:t>
            </w:r>
          </w:p>
        </w:tc>
        <w:tc>
          <w:tcPr>
            <w:tcW w:w="3270" w:type="dxa"/>
            <w:tcBorders/>
            <w:shd w:fill="auto" w:val="clear"/>
            <w:vAlign w:val="center"/>
          </w:tcPr>
          <w:p>
            <w:pPr>
              <w:pStyle w:val="TableContents"/>
              <w:spacing w:before="0" w:after="283"/>
              <w:jc w:val="center"/>
              <w:rPr/>
            </w:pPr>
            <w:r>
              <w:rPr/>
              <w:t>Healthcare Technology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14" w:type="dxa"/>
            <w:tcBorders/>
            <w:shd w:fill="auto" w:val="clear"/>
            <w:vAlign w:val="center"/>
          </w:tcPr>
          <w:p>
            <w:pPr>
              <w:pStyle w:val="TableContents"/>
              <w:spacing w:before="0" w:after="283"/>
              <w:jc w:val="center"/>
              <w:rPr/>
            </w:pPr>
            <w:r>
              <w:rPr/>
              <w:t>First Lien Secured Debt(4),</w:t>
              <w:br/>
              <w:t>3M L+575, 01/17/2024</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4" w:type="dxa"/>
            <w:tcBorders/>
            <w:shd w:fill="auto" w:val="clear"/>
            <w:vAlign w:val="center"/>
          </w:tcPr>
          <w:p>
            <w:pPr>
              <w:pStyle w:val="TableContents"/>
              <w:spacing w:before="0" w:after="283"/>
              <w:jc w:val="right"/>
              <w:rPr/>
            </w:pPr>
            <w:r>
              <w:rPr/>
              <w:t>5,562</w:t>
            </w:r>
          </w:p>
        </w:tc>
        <w:tc>
          <w:tcPr>
            <w:tcW w:w="79" w:type="dxa"/>
            <w:tcBorders/>
            <w:shd w:fill="auto" w:val="clear"/>
            <w:vAlign w:val="center"/>
          </w:tcPr>
          <w:p>
            <w:pPr>
              <w:pStyle w:val="TableContents"/>
              <w:spacing w:before="0" w:after="283"/>
              <w:rPr>
                <w:sz w:val="4"/>
                <w:szCs w:val="4"/>
              </w:rPr>
            </w:pPr>
            <w:r>
              <w:rPr>
                <w:sz w:val="4"/>
                <w:szCs w:val="4"/>
              </w:rPr>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Spear Education, LLC</w:t>
            </w:r>
          </w:p>
          <w:p>
            <w:pPr>
              <w:pStyle w:val="TableContents"/>
              <w:spacing w:before="0" w:after="0"/>
              <w:rPr>
                <w:rFonts w:ascii="Times New Roman" w:hAnsi="Times New Roman"/>
                <w:sz w:val="16"/>
              </w:rPr>
            </w:pPr>
            <w:r>
              <w:rPr>
                <w:rFonts w:ascii="Times New Roman" w:hAnsi="Times New Roman"/>
                <w:sz w:val="16"/>
              </w:rPr>
              <w:t>7201 E Princess Boulevard</w:t>
            </w:r>
          </w:p>
          <w:p>
            <w:pPr>
              <w:pStyle w:val="TableContents"/>
              <w:spacing w:before="0" w:after="20"/>
              <w:rPr>
                <w:rFonts w:ascii="Times New Roman" w:hAnsi="Times New Roman"/>
                <w:sz w:val="16"/>
              </w:rPr>
            </w:pPr>
            <w:r>
              <w:rPr>
                <w:rFonts w:ascii="Times New Roman" w:hAnsi="Times New Roman"/>
                <w:sz w:val="16"/>
              </w:rPr>
              <w:t>Scottsdale, AZ 85255</w:t>
            </w:r>
          </w:p>
        </w:tc>
        <w:tc>
          <w:tcPr>
            <w:tcW w:w="60" w:type="dxa"/>
            <w:tcBorders/>
            <w:shd w:fill="CCEEFF" w:val="clear"/>
            <w:vAlign w:val="center"/>
          </w:tcPr>
          <w:p>
            <w:pPr>
              <w:pStyle w:val="TableContents"/>
              <w:spacing w:before="0" w:after="283"/>
              <w:rPr/>
            </w:pPr>
            <w:r>
              <w:rPr/>
              <w:t> </w:t>
            </w:r>
          </w:p>
        </w:tc>
        <w:tc>
          <w:tcPr>
            <w:tcW w:w="3270" w:type="dxa"/>
            <w:tcBorders/>
            <w:shd w:fill="CCEEFF" w:val="clear"/>
            <w:vAlign w:val="center"/>
          </w:tcPr>
          <w:p>
            <w:pPr>
              <w:pStyle w:val="TableContents"/>
              <w:spacing w:before="0" w:after="283"/>
              <w:jc w:val="center"/>
              <w:rPr/>
            </w:pPr>
            <w:r>
              <w:rPr/>
              <w:t>Professional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14" w:type="dxa"/>
            <w:tcBorders/>
            <w:shd w:fill="CCEEFF" w:val="clear"/>
            <w:vAlign w:val="center"/>
          </w:tcPr>
          <w:p>
            <w:pPr>
              <w:pStyle w:val="TableContents"/>
              <w:spacing w:before="0" w:after="283"/>
              <w:jc w:val="center"/>
              <w:rPr/>
            </w:pPr>
            <w:r>
              <w:rPr/>
              <w:t>First Lien Secured Debt,</w:t>
              <w:br/>
              <w:t>3M L+575, 02/26/2025</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5"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rPr/>
            </w:pPr>
            <w:r>
              <w:rPr/>
              <w:t> </w:t>
            </w:r>
          </w:p>
        </w:tc>
        <w:tc>
          <w:tcPr>
            <w:tcW w:w="1164" w:type="dxa"/>
            <w:tcBorders/>
            <w:shd w:fill="CCEEFF" w:val="clear"/>
            <w:vAlign w:val="center"/>
          </w:tcPr>
          <w:p>
            <w:pPr>
              <w:pStyle w:val="TableContents"/>
              <w:spacing w:before="0" w:after="283"/>
              <w:jc w:val="right"/>
              <w:rPr/>
            </w:pPr>
            <w:r>
              <w:rPr/>
              <w:t>14,747</w:t>
            </w:r>
          </w:p>
        </w:tc>
        <w:tc>
          <w:tcPr>
            <w:tcW w:w="79" w:type="dxa"/>
            <w:tcBorders/>
            <w:shd w:fill="CCEEFF" w:val="clear"/>
            <w:vAlign w:val="center"/>
          </w:tcPr>
          <w:p>
            <w:pPr>
              <w:pStyle w:val="TableContents"/>
              <w:spacing w:before="0" w:after="283"/>
              <w:rPr/>
            </w:pPr>
            <w:r>
              <w:rPr/>
              <w:t> </w:t>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Spendmend Holdings LLC</w:t>
            </w:r>
          </w:p>
          <w:p>
            <w:pPr>
              <w:pStyle w:val="TableContents"/>
              <w:spacing w:before="0" w:after="0"/>
              <w:rPr>
                <w:rFonts w:ascii="Times New Roman" w:hAnsi="Times New Roman"/>
                <w:sz w:val="16"/>
              </w:rPr>
            </w:pPr>
            <w:r>
              <w:rPr>
                <w:rFonts w:ascii="Times New Roman" w:hAnsi="Times New Roman"/>
                <w:sz w:val="16"/>
              </w:rPr>
              <w:t>(North Haven Saints Equity Holdings, LP)</w:t>
            </w:r>
          </w:p>
          <w:p>
            <w:pPr>
              <w:pStyle w:val="TableContents"/>
              <w:spacing w:before="0" w:after="0"/>
              <w:rPr>
                <w:rFonts w:ascii="Times New Roman" w:hAnsi="Times New Roman"/>
                <w:sz w:val="16"/>
              </w:rPr>
            </w:pPr>
            <w:r>
              <w:rPr>
                <w:rFonts w:ascii="Times New Roman" w:hAnsi="Times New Roman"/>
                <w:sz w:val="16"/>
              </w:rPr>
              <w:t>2680 Horizon Dr SE,</w:t>
            </w:r>
          </w:p>
          <w:p>
            <w:pPr>
              <w:pStyle w:val="TableContents"/>
              <w:spacing w:before="0" w:after="20"/>
              <w:rPr>
                <w:rFonts w:ascii="Times New Roman" w:hAnsi="Times New Roman"/>
                <w:sz w:val="16"/>
              </w:rPr>
            </w:pPr>
            <w:r>
              <w:rPr>
                <w:rFonts w:ascii="Times New Roman" w:hAnsi="Times New Roman"/>
                <w:sz w:val="16"/>
              </w:rPr>
              <w:t>Grand Rapids, MI 49546</w:t>
            </w:r>
          </w:p>
        </w:tc>
        <w:tc>
          <w:tcPr>
            <w:tcW w:w="60" w:type="dxa"/>
            <w:tcBorders/>
            <w:shd w:fill="auto" w:val="clear"/>
            <w:vAlign w:val="center"/>
          </w:tcPr>
          <w:p>
            <w:pPr>
              <w:pStyle w:val="TableContents"/>
              <w:spacing w:before="0" w:after="283"/>
              <w:rPr/>
            </w:pPr>
            <w:r>
              <w:rPr/>
              <w:t> </w:t>
            </w:r>
          </w:p>
        </w:tc>
        <w:tc>
          <w:tcPr>
            <w:tcW w:w="3270" w:type="dxa"/>
            <w:tcBorders/>
            <w:shd w:fill="auto" w:val="clear"/>
            <w:vAlign w:val="center"/>
          </w:tcPr>
          <w:p>
            <w:pPr>
              <w:pStyle w:val="TableContents"/>
              <w:spacing w:before="0" w:after="283"/>
              <w:jc w:val="center"/>
              <w:rPr/>
            </w:pPr>
            <w:r>
              <w:rPr/>
              <w:t>Healthcare Technology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14" w:type="dxa"/>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SOFR+575, 03/01/2028,</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jc w:val="right"/>
              <w:rPr/>
            </w:pPr>
            <w:r>
              <w:rPr/>
              <w:t>0.4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4" w:type="dxa"/>
            <w:tcBorders/>
            <w:shd w:fill="auto" w:val="clear"/>
            <w:vAlign w:val="center"/>
          </w:tcPr>
          <w:p>
            <w:pPr>
              <w:pStyle w:val="TableContents"/>
              <w:spacing w:before="0" w:after="283"/>
              <w:jc w:val="right"/>
              <w:rPr/>
            </w:pPr>
            <w:r>
              <w:rPr/>
              <w:t>3,421</w:t>
            </w:r>
          </w:p>
        </w:tc>
        <w:tc>
          <w:tcPr>
            <w:tcW w:w="79" w:type="dxa"/>
            <w:tcBorders/>
            <w:shd w:fill="auto" w:val="clear"/>
            <w:vAlign w:val="center"/>
          </w:tcPr>
          <w:p>
            <w:pPr>
              <w:pStyle w:val="TableContents"/>
              <w:spacing w:before="0" w:after="283"/>
              <w:rPr>
                <w:sz w:val="4"/>
                <w:szCs w:val="4"/>
              </w:rPr>
            </w:pPr>
            <w:r>
              <w:rPr>
                <w:sz w:val="4"/>
                <w:szCs w:val="4"/>
              </w:rPr>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STV Group Incorporated</w:t>
            </w:r>
          </w:p>
          <w:p>
            <w:pPr>
              <w:pStyle w:val="TableContents"/>
              <w:spacing w:before="0" w:after="0"/>
              <w:rPr>
                <w:rFonts w:ascii="Times New Roman" w:hAnsi="Times New Roman"/>
                <w:sz w:val="16"/>
              </w:rPr>
            </w:pPr>
            <w:r>
              <w:rPr>
                <w:rFonts w:ascii="Times New Roman" w:hAnsi="Times New Roman"/>
                <w:sz w:val="16"/>
              </w:rPr>
              <w:t>225 Park Avenue South</w:t>
            </w:r>
          </w:p>
          <w:p>
            <w:pPr>
              <w:pStyle w:val="TableContents"/>
              <w:spacing w:before="0" w:after="20"/>
              <w:rPr>
                <w:rFonts w:ascii="Times New Roman" w:hAnsi="Times New Roman"/>
                <w:sz w:val="16"/>
              </w:rPr>
            </w:pPr>
            <w:r>
              <w:rPr>
                <w:rFonts w:ascii="Times New Roman" w:hAnsi="Times New Roman"/>
                <w:sz w:val="16"/>
              </w:rPr>
              <w:t>New York, NY 10003</w:t>
            </w:r>
          </w:p>
        </w:tc>
        <w:tc>
          <w:tcPr>
            <w:tcW w:w="60" w:type="dxa"/>
            <w:tcBorders/>
            <w:shd w:fill="CCEEFF" w:val="clear"/>
            <w:vAlign w:val="center"/>
          </w:tcPr>
          <w:p>
            <w:pPr>
              <w:pStyle w:val="TableContents"/>
              <w:spacing w:before="0" w:after="283"/>
              <w:rPr/>
            </w:pPr>
            <w:r>
              <w:rPr/>
              <w:t> </w:t>
            </w:r>
          </w:p>
        </w:tc>
        <w:tc>
          <w:tcPr>
            <w:tcW w:w="3270" w:type="dxa"/>
            <w:tcBorders/>
            <w:shd w:fill="CCEEFF" w:val="clear"/>
            <w:vAlign w:val="center"/>
          </w:tcPr>
          <w:p>
            <w:pPr>
              <w:pStyle w:val="TableContents"/>
              <w:spacing w:before="0" w:after="283"/>
              <w:jc w:val="center"/>
              <w:rPr/>
            </w:pPr>
            <w:r>
              <w:rPr/>
              <w:t>Construction &amp; Engineering</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14" w:type="dxa"/>
            <w:tcBorders/>
            <w:shd w:fill="CCEEFF" w:val="clear"/>
            <w:vAlign w:val="center"/>
          </w:tcPr>
          <w:p>
            <w:pPr>
              <w:pStyle w:val="TableContents"/>
              <w:spacing w:before="0" w:after="283"/>
              <w:jc w:val="center"/>
              <w:rPr/>
            </w:pPr>
            <w:r>
              <w:rPr/>
              <w:t>First Lien Secured Debt,</w:t>
              <w:br/>
              <w:t>1M L+525, 12/11/2026</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5"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rPr/>
            </w:pPr>
            <w:r>
              <w:rPr/>
              <w:t> </w:t>
            </w:r>
          </w:p>
        </w:tc>
        <w:tc>
          <w:tcPr>
            <w:tcW w:w="1164" w:type="dxa"/>
            <w:tcBorders/>
            <w:shd w:fill="CCEEFF" w:val="clear"/>
            <w:vAlign w:val="center"/>
          </w:tcPr>
          <w:p>
            <w:pPr>
              <w:pStyle w:val="TableContents"/>
              <w:spacing w:before="0" w:after="283"/>
              <w:jc w:val="right"/>
              <w:rPr/>
            </w:pPr>
            <w:r>
              <w:rPr/>
              <w:t>4,704</w:t>
            </w:r>
          </w:p>
        </w:tc>
        <w:tc>
          <w:tcPr>
            <w:tcW w:w="79" w:type="dxa"/>
            <w:tcBorders/>
            <w:shd w:fill="CCEEFF" w:val="clear"/>
            <w:vAlign w:val="center"/>
          </w:tcPr>
          <w:p>
            <w:pPr>
              <w:pStyle w:val="TableContents"/>
              <w:spacing w:before="0" w:after="283"/>
              <w:rPr>
                <w:sz w:val="4"/>
                <w:szCs w:val="4"/>
              </w:rPr>
            </w:pPr>
            <w:r>
              <w:rPr>
                <w:sz w:val="4"/>
                <w:szCs w:val="4"/>
              </w:rPr>
            </w:r>
          </w:p>
        </w:tc>
      </w:tr>
      <w:tr>
        <w:trPr/>
        <w:tc>
          <w:tcPr>
            <w:tcW w:w="1838" w:type="dxa"/>
            <w:tcBorders/>
            <w:shd w:fill="auto" w:val="clear"/>
            <w:vAlign w:val="center"/>
          </w:tcPr>
          <w:p>
            <w:pPr>
              <w:pStyle w:val="TableContents"/>
              <w:spacing w:before="0" w:after="283"/>
              <w:rPr>
                <w:sz w:val="4"/>
                <w:szCs w:val="4"/>
              </w:rPr>
            </w:pPr>
            <w:r>
              <w:rPr>
                <w:sz w:val="4"/>
                <w:szCs w:val="4"/>
              </w:rPr>
            </w:r>
          </w:p>
        </w:tc>
        <w:tc>
          <w:tcPr>
            <w:tcW w:w="333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74" w:type="dxa"/>
            <w:gridSpan w:val="2"/>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c>
          <w:tcPr>
            <w:tcW w:w="1541" w:type="dxa"/>
            <w:gridSpan w:val="4"/>
            <w:tcBorders/>
            <w:shd w:fill="auto" w:val="clear"/>
            <w:vAlign w:val="center"/>
          </w:tcPr>
          <w:p>
            <w:pPr>
              <w:pStyle w:val="TableContents"/>
              <w:spacing w:before="0" w:after="283"/>
              <w:rPr>
                <w:sz w:val="4"/>
                <w:szCs w:val="4"/>
              </w:rPr>
            </w:pPr>
            <w:r>
              <w:rPr>
                <w:sz w:val="4"/>
                <w:szCs w:val="4"/>
              </w:rPr>
            </w:r>
          </w:p>
        </w:tc>
      </w:tr>
      <w:tr>
        <w:trPr/>
        <w:tc>
          <w:tcPr>
            <w:tcW w:w="1838"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SSC Dominion Holdings, LLC</w:t>
            </w:r>
          </w:p>
          <w:p>
            <w:pPr>
              <w:pStyle w:val="TableContents"/>
              <w:spacing w:before="0" w:after="0"/>
              <w:rPr>
                <w:rFonts w:ascii="Times New Roman" w:hAnsi="Times New Roman"/>
                <w:sz w:val="16"/>
              </w:rPr>
            </w:pPr>
            <w:r>
              <w:rPr>
                <w:rFonts w:ascii="Times New Roman" w:hAnsi="Times New Roman"/>
                <w:sz w:val="16"/>
              </w:rPr>
              <w:t>215 Spadina Avenue, Suite 200</w:t>
            </w:r>
          </w:p>
          <w:p>
            <w:pPr>
              <w:pStyle w:val="TableContents"/>
              <w:spacing w:before="0" w:after="20"/>
              <w:rPr>
                <w:rFonts w:ascii="Times New Roman" w:hAnsi="Times New Roman"/>
                <w:sz w:val="16"/>
              </w:rPr>
            </w:pPr>
            <w:r>
              <w:rPr>
                <w:rFonts w:ascii="Times New Roman" w:hAnsi="Times New Roman"/>
                <w:sz w:val="16"/>
              </w:rPr>
              <w:t>Toronto, ON MST 2C7</w:t>
            </w:r>
          </w:p>
        </w:tc>
        <w:tc>
          <w:tcPr>
            <w:tcW w:w="60" w:type="dxa"/>
            <w:tcBorders/>
            <w:shd w:fill="auto" w:val="clear"/>
            <w:vAlign w:val="center"/>
          </w:tcPr>
          <w:p>
            <w:pPr>
              <w:pStyle w:val="TableContents"/>
              <w:spacing w:before="0" w:after="283"/>
              <w:rPr/>
            </w:pPr>
            <w:r>
              <w:rPr/>
              <w:t> </w:t>
            </w:r>
          </w:p>
        </w:tc>
        <w:tc>
          <w:tcPr>
            <w:tcW w:w="3270" w:type="dxa"/>
            <w:tcBorders/>
            <w:shd w:fill="auto" w:val="clear"/>
            <w:vAlign w:val="center"/>
          </w:tcPr>
          <w:p>
            <w:pPr>
              <w:pStyle w:val="TableContents"/>
              <w:spacing w:before="0" w:after="283"/>
              <w:jc w:val="center"/>
              <w:rPr/>
            </w:pPr>
            <w:r>
              <w:rPr/>
              <w:t>Capital Equipment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14" w:type="dxa"/>
            <w:tcBorders/>
            <w:shd w:fill="auto" w:val="clear"/>
            <w:vAlign w:val="center"/>
          </w:tcPr>
          <w:p>
            <w:pPr>
              <w:pStyle w:val="TableContents"/>
              <w:spacing w:before="0" w:after="283"/>
              <w:jc w:val="center"/>
              <w:rPr/>
            </w:pPr>
            <w:r>
              <w:rPr/>
              <w:t>Common Equity</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5" w:type="dxa"/>
            <w:tcBorders/>
            <w:shd w:fill="auto" w:val="clear"/>
            <w:vAlign w:val="center"/>
          </w:tcPr>
          <w:p>
            <w:pPr>
              <w:pStyle w:val="TableContents"/>
              <w:spacing w:before="0" w:after="283"/>
              <w:jc w:val="right"/>
              <w:rPr/>
            </w:pPr>
            <w:r>
              <w:rPr/>
              <w:t>2.9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4" w:type="dxa"/>
            <w:tcBorders/>
            <w:shd w:fill="auto" w:val="clear"/>
            <w:vAlign w:val="center"/>
          </w:tcPr>
          <w:p>
            <w:pPr>
              <w:pStyle w:val="TableContents"/>
              <w:spacing w:before="0" w:after="283"/>
              <w:jc w:val="right"/>
              <w:rPr/>
            </w:pPr>
            <w:r>
              <w:rPr/>
              <w:t>2,143</w:t>
            </w:r>
          </w:p>
        </w:tc>
        <w:tc>
          <w:tcPr>
            <w:tcW w:w="7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2144"/>
        <w:gridCol w:w="60"/>
        <w:gridCol w:w="2940"/>
        <w:gridCol w:w="60"/>
        <w:gridCol w:w="60"/>
        <w:gridCol w:w="60"/>
        <w:gridCol w:w="1733"/>
        <w:gridCol w:w="60"/>
        <w:gridCol w:w="172"/>
        <w:gridCol w:w="1098"/>
        <w:gridCol w:w="275"/>
        <w:gridCol w:w="60"/>
        <w:gridCol w:w="239"/>
        <w:gridCol w:w="1165"/>
        <w:gridCol w:w="79"/>
      </w:tblGrid>
      <w:tr>
        <w:trPr/>
        <w:tc>
          <w:tcPr>
            <w:tcW w:w="21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r>
      <w:tr>
        <w:trPr/>
        <w:tc>
          <w:tcPr>
            <w:tcW w:w="2144"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w:t>
              <w:br/>
              <w:t>Address of Portfolio Company</w:t>
            </w:r>
          </w:p>
        </w:tc>
        <w:tc>
          <w:tcPr>
            <w:tcW w:w="60" w:type="dxa"/>
            <w:tcBorders/>
            <w:shd w:fill="auto" w:val="clear"/>
            <w:vAlign w:val="center"/>
          </w:tcPr>
          <w:p>
            <w:pPr>
              <w:pStyle w:val="TableContents"/>
              <w:spacing w:before="0" w:after="283"/>
              <w:rPr/>
            </w:pPr>
            <w:r>
              <w:rPr/>
              <w:t> </w:t>
            </w:r>
          </w:p>
        </w:tc>
        <w:tc>
          <w:tcPr>
            <w:tcW w:w="294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Nature of Business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33"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Type of Investment,</w:t>
            </w:r>
          </w:p>
          <w:p>
            <w:pPr>
              <w:pStyle w:val="TableContents"/>
              <w:spacing w:before="0" w:after="20"/>
              <w:jc w:val="center"/>
              <w:rPr>
                <w:rFonts w:ascii="Times New Roman" w:hAnsi="Times New Roman"/>
                <w:b/>
                <w:sz w:val="16"/>
              </w:rPr>
            </w:pPr>
            <w:r>
              <w:rPr>
                <w:rFonts w:ascii="Times New Roman" w:hAnsi="Times New Roman"/>
                <w:b/>
                <w:sz w:val="16"/>
              </w:rPr>
              <w:t>Interest(1), Maturity</w:t>
            </w:r>
          </w:p>
        </w:tc>
        <w:tc>
          <w:tcPr>
            <w:tcW w:w="60" w:type="dxa"/>
            <w:tcBorders/>
            <w:shd w:fill="auto" w:val="clear"/>
            <w:vAlign w:val="center"/>
          </w:tcPr>
          <w:p>
            <w:pPr>
              <w:pStyle w:val="TableContents"/>
              <w:spacing w:before="0" w:after="283"/>
              <w:rPr/>
            </w:pPr>
            <w:r>
              <w:rPr/>
              <w:t> </w:t>
            </w:r>
          </w:p>
        </w:tc>
        <w:tc>
          <w:tcPr>
            <w:tcW w:w="127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Voting</w:t>
              <w:br/>
              <w:t>Percentage</w:t>
              <w:br/>
              <w:t>Ownership(2)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Fair Value</w:t>
              <w:br/>
              <w:t>(in thousands)</w:t>
            </w:r>
          </w:p>
        </w:tc>
        <w:tc>
          <w:tcPr>
            <w:tcW w:w="79" w:type="dxa"/>
            <w:tcBorders/>
            <w:shd w:fill="auto" w:val="clear"/>
            <w:vAlign w:val="center"/>
          </w:tcPr>
          <w:p>
            <w:pPr>
              <w:pStyle w:val="TableContents"/>
              <w:spacing w:before="0" w:after="283"/>
              <w:rPr/>
            </w:pPr>
            <w:r>
              <w:rPr/>
              <w:t> </w:t>
            </w:r>
          </w:p>
        </w:tc>
      </w:tr>
      <w:tr>
        <w:trPr/>
        <w:tc>
          <w:tcPr>
            <w:tcW w:w="2144"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System Planning and Analysis, Inc.</w:t>
            </w:r>
          </w:p>
          <w:p>
            <w:pPr>
              <w:pStyle w:val="TableContents"/>
              <w:spacing w:before="0" w:after="0"/>
              <w:rPr>
                <w:rFonts w:ascii="Times New Roman" w:hAnsi="Times New Roman"/>
                <w:sz w:val="16"/>
              </w:rPr>
            </w:pPr>
            <w:r>
              <w:rPr>
                <w:rFonts w:ascii="Times New Roman" w:hAnsi="Times New Roman"/>
                <w:sz w:val="16"/>
              </w:rPr>
              <w:t>(f/k/a Management Consulting &amp; Research, LLC)</w:t>
            </w:r>
          </w:p>
          <w:p>
            <w:pPr>
              <w:pStyle w:val="TableContents"/>
              <w:spacing w:before="0" w:after="0"/>
              <w:rPr>
                <w:rFonts w:ascii="Times New Roman" w:hAnsi="Times New Roman"/>
                <w:sz w:val="16"/>
              </w:rPr>
            </w:pPr>
            <w:r>
              <w:rPr>
                <w:rFonts w:ascii="Times New Roman" w:hAnsi="Times New Roman"/>
                <w:sz w:val="16"/>
              </w:rPr>
              <w:t>1220 12th Street SE</w:t>
            </w:r>
          </w:p>
          <w:p>
            <w:pPr>
              <w:pStyle w:val="TableContents"/>
              <w:spacing w:before="0" w:after="20"/>
              <w:rPr>
                <w:rFonts w:ascii="Times New Roman" w:hAnsi="Times New Roman"/>
                <w:sz w:val="16"/>
              </w:rPr>
            </w:pPr>
            <w:r>
              <w:rPr>
                <w:rFonts w:ascii="Times New Roman" w:hAnsi="Times New Roman"/>
                <w:sz w:val="16"/>
              </w:rPr>
              <w:t>Washington DC, 20003</w:t>
            </w:r>
          </w:p>
        </w:tc>
        <w:tc>
          <w:tcPr>
            <w:tcW w:w="60" w:type="dxa"/>
            <w:tcBorders/>
            <w:shd w:fill="CCEEFF" w:val="clear"/>
            <w:vAlign w:val="center"/>
          </w:tcPr>
          <w:p>
            <w:pPr>
              <w:pStyle w:val="TableContents"/>
              <w:spacing w:before="0" w:after="283"/>
              <w:rPr/>
            </w:pPr>
            <w:r>
              <w:rPr/>
              <w:t> </w:t>
            </w:r>
          </w:p>
        </w:tc>
        <w:tc>
          <w:tcPr>
            <w:tcW w:w="2940" w:type="dxa"/>
            <w:tcBorders/>
            <w:shd w:fill="CCEEFF" w:val="clear"/>
            <w:vAlign w:val="center"/>
          </w:tcPr>
          <w:p>
            <w:pPr>
              <w:pStyle w:val="TableContents"/>
              <w:spacing w:before="0" w:after="283"/>
              <w:jc w:val="center"/>
              <w:rPr/>
            </w:pPr>
            <w:r>
              <w:rPr/>
              <w:t>Aerospace and Defense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33" w:type="dxa"/>
            <w:tcBorders/>
            <w:shd w:fill="CCEEFF" w:val="clear"/>
            <w:vAlign w:val="center"/>
          </w:tcPr>
          <w:p>
            <w:pPr>
              <w:pStyle w:val="TableContents"/>
              <w:spacing w:before="0" w:after="283"/>
              <w:jc w:val="center"/>
              <w:rPr/>
            </w:pPr>
            <w:r>
              <w:rPr/>
              <w:t>First Lien Secured Debt(4),</w:t>
              <w:br/>
              <w:t>SOFR+600, 08/16/2027</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w:t>
            </w:r>
          </w:p>
        </w:tc>
        <w:tc>
          <w:tcPr>
            <w:tcW w:w="1165" w:type="dxa"/>
            <w:tcBorders/>
            <w:shd w:fill="CCEEFF" w:val="clear"/>
            <w:vAlign w:val="center"/>
          </w:tcPr>
          <w:p>
            <w:pPr>
              <w:pStyle w:val="TableContents"/>
              <w:spacing w:before="0" w:after="283"/>
              <w:jc w:val="right"/>
              <w:rPr/>
            </w:pPr>
            <w:r>
              <w:rPr/>
              <w:t>18,180</w:t>
            </w:r>
          </w:p>
        </w:tc>
        <w:tc>
          <w:tcPr>
            <w:tcW w:w="79" w:type="dxa"/>
            <w:tcBorders/>
            <w:shd w:fill="CCEEFF" w:val="clear"/>
            <w:vAlign w:val="center"/>
          </w:tcPr>
          <w:p>
            <w:pPr>
              <w:pStyle w:val="TableContents"/>
              <w:spacing w:before="0" w:after="283"/>
              <w:rPr>
                <w:sz w:val="4"/>
                <w:szCs w:val="4"/>
              </w:rPr>
            </w:pPr>
            <w:r>
              <w:rPr>
                <w:sz w:val="4"/>
                <w:szCs w:val="4"/>
              </w:rPr>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TAC LifePort Holdings, LLC (5)</w:t>
            </w:r>
          </w:p>
          <w:p>
            <w:pPr>
              <w:pStyle w:val="TableContents"/>
              <w:spacing w:before="0" w:after="0"/>
              <w:rPr>
                <w:rFonts w:ascii="Times New Roman" w:hAnsi="Times New Roman"/>
                <w:sz w:val="16"/>
              </w:rPr>
            </w:pPr>
            <w:r>
              <w:rPr>
                <w:rFonts w:ascii="Times New Roman" w:hAnsi="Times New Roman"/>
                <w:sz w:val="16"/>
              </w:rPr>
              <w:t>1610 Heritage St</w:t>
            </w:r>
          </w:p>
          <w:p>
            <w:pPr>
              <w:pStyle w:val="TableContents"/>
              <w:spacing w:before="0" w:after="20"/>
              <w:rPr>
                <w:rFonts w:ascii="Times New Roman" w:hAnsi="Times New Roman"/>
                <w:sz w:val="16"/>
              </w:rPr>
            </w:pPr>
            <w:r>
              <w:rPr>
                <w:rFonts w:ascii="Times New Roman" w:hAnsi="Times New Roman"/>
                <w:sz w:val="16"/>
              </w:rPr>
              <w:t>Woodland, WA 98674</w:t>
            </w:r>
          </w:p>
        </w:tc>
        <w:tc>
          <w:tcPr>
            <w:tcW w:w="60" w:type="dxa"/>
            <w:tcBorders/>
            <w:shd w:fill="auto" w:val="clear"/>
            <w:vAlign w:val="center"/>
          </w:tcPr>
          <w:p>
            <w:pPr>
              <w:pStyle w:val="TableContents"/>
              <w:spacing w:before="0" w:after="283"/>
              <w:rPr/>
            </w:pPr>
            <w:r>
              <w:rPr/>
              <w:t> </w:t>
            </w:r>
          </w:p>
        </w:tc>
        <w:tc>
          <w:tcPr>
            <w:tcW w:w="2940" w:type="dxa"/>
            <w:tcBorders/>
            <w:shd w:fill="auto" w:val="clear"/>
            <w:vAlign w:val="center"/>
          </w:tcPr>
          <w:p>
            <w:pPr>
              <w:pStyle w:val="TableContents"/>
              <w:spacing w:before="0" w:after="283"/>
              <w:jc w:val="center"/>
              <w:rPr/>
            </w:pPr>
            <w:r>
              <w:rPr/>
              <w:t>Aerospace and Defense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33" w:type="dxa"/>
            <w:tcBorders/>
            <w:shd w:fill="auto" w:val="clear"/>
            <w:vAlign w:val="center"/>
          </w:tcPr>
          <w:p>
            <w:pPr>
              <w:pStyle w:val="TableContents"/>
              <w:spacing w:before="0" w:after="283"/>
              <w:jc w:val="center"/>
              <w:rPr/>
            </w:pPr>
            <w:r>
              <w:rPr/>
              <w:t>Common Equity</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jc w:val="right"/>
              <w:rPr/>
            </w:pPr>
            <w:r>
              <w:rPr/>
              <w:t>0.8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5" w:type="dxa"/>
            <w:tcBorders/>
            <w:shd w:fill="auto" w:val="clear"/>
            <w:vAlign w:val="center"/>
          </w:tcPr>
          <w:p>
            <w:pPr>
              <w:pStyle w:val="TableContents"/>
              <w:spacing w:before="0" w:after="283"/>
              <w:jc w:val="right"/>
              <w:rPr/>
            </w:pPr>
            <w:r>
              <w:rPr/>
              <w:t>621</w:t>
            </w:r>
          </w:p>
        </w:tc>
        <w:tc>
          <w:tcPr>
            <w:tcW w:w="79" w:type="dxa"/>
            <w:tcBorders/>
            <w:shd w:fill="auto" w:val="clear"/>
            <w:vAlign w:val="center"/>
          </w:tcPr>
          <w:p>
            <w:pPr>
              <w:pStyle w:val="TableContents"/>
              <w:spacing w:before="0" w:after="283"/>
              <w:rPr/>
            </w:pPr>
            <w:r>
              <w:rPr/>
              <w:t> </w:t>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Teneo Holdings LLC</w:t>
            </w:r>
          </w:p>
          <w:p>
            <w:pPr>
              <w:pStyle w:val="TableContents"/>
              <w:spacing w:before="0" w:after="0"/>
              <w:rPr>
                <w:rFonts w:ascii="Times New Roman" w:hAnsi="Times New Roman"/>
                <w:sz w:val="16"/>
              </w:rPr>
            </w:pPr>
            <w:r>
              <w:rPr>
                <w:rFonts w:ascii="Times New Roman" w:hAnsi="Times New Roman"/>
                <w:sz w:val="16"/>
              </w:rPr>
              <w:t>280 Park Avenue, 4th Floor</w:t>
            </w:r>
          </w:p>
          <w:p>
            <w:pPr>
              <w:pStyle w:val="TableContents"/>
              <w:spacing w:before="0" w:after="20"/>
              <w:rPr>
                <w:rFonts w:ascii="Times New Roman" w:hAnsi="Times New Roman"/>
                <w:sz w:val="16"/>
              </w:rPr>
            </w:pPr>
            <w:r>
              <w:rPr>
                <w:rFonts w:ascii="Times New Roman" w:hAnsi="Times New Roman"/>
                <w:sz w:val="16"/>
              </w:rPr>
              <w:t>New York, NY 10017</w:t>
            </w:r>
          </w:p>
        </w:tc>
        <w:tc>
          <w:tcPr>
            <w:tcW w:w="60" w:type="dxa"/>
            <w:tcBorders/>
            <w:shd w:fill="CCEEFF" w:val="clear"/>
            <w:vAlign w:val="center"/>
          </w:tcPr>
          <w:p>
            <w:pPr>
              <w:pStyle w:val="TableContents"/>
              <w:spacing w:before="0" w:after="283"/>
              <w:rPr/>
            </w:pPr>
            <w:r>
              <w:rPr/>
              <w:t> </w:t>
            </w:r>
          </w:p>
        </w:tc>
        <w:tc>
          <w:tcPr>
            <w:tcW w:w="2940" w:type="dxa"/>
            <w:tcBorders/>
            <w:shd w:fill="CCEEFF" w:val="clear"/>
            <w:vAlign w:val="center"/>
          </w:tcPr>
          <w:p>
            <w:pPr>
              <w:pStyle w:val="TableContents"/>
              <w:spacing w:before="0" w:after="283"/>
              <w:jc w:val="center"/>
              <w:rPr/>
            </w:pPr>
            <w:r>
              <w:rPr/>
              <w:t>Diversified Financial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33" w:type="dxa"/>
            <w:tcBorders/>
            <w:shd w:fill="CCEEFF" w:val="clear"/>
            <w:vAlign w:val="center"/>
          </w:tcPr>
          <w:p>
            <w:pPr>
              <w:pStyle w:val="TableContents"/>
              <w:spacing w:before="0" w:after="283"/>
              <w:jc w:val="center"/>
              <w:rPr/>
            </w:pPr>
            <w:r>
              <w:rPr/>
              <w:t>First Lien Secured Debt,</w:t>
              <w:br/>
              <w:t>1M L+525, 07/18/2025</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5" w:type="dxa"/>
            <w:tcBorders/>
            <w:shd w:fill="CCEEFF" w:val="clear"/>
            <w:vAlign w:val="center"/>
          </w:tcPr>
          <w:p>
            <w:pPr>
              <w:pStyle w:val="TableContents"/>
              <w:spacing w:before="0" w:after="283"/>
              <w:jc w:val="right"/>
              <w:rPr/>
            </w:pPr>
            <w:r>
              <w:rPr/>
              <w:t>5,455</w:t>
            </w:r>
          </w:p>
        </w:tc>
        <w:tc>
          <w:tcPr>
            <w:tcW w:w="79" w:type="dxa"/>
            <w:tcBorders/>
            <w:shd w:fill="CCEEFF" w:val="clear"/>
            <w:vAlign w:val="center"/>
          </w:tcPr>
          <w:p>
            <w:pPr>
              <w:pStyle w:val="TableContents"/>
              <w:spacing w:before="0" w:after="283"/>
              <w:rPr/>
            </w:pPr>
            <w:r>
              <w:rPr/>
              <w:t> </w:t>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The Aegis Technologies Group, LLC</w:t>
            </w:r>
          </w:p>
          <w:p>
            <w:pPr>
              <w:pStyle w:val="TableContents"/>
              <w:spacing w:before="0" w:after="0"/>
              <w:rPr>
                <w:rFonts w:ascii="Times New Roman" w:hAnsi="Times New Roman"/>
                <w:sz w:val="16"/>
              </w:rPr>
            </w:pPr>
            <w:r>
              <w:rPr>
                <w:rFonts w:ascii="Times New Roman" w:hAnsi="Times New Roman"/>
                <w:sz w:val="16"/>
              </w:rPr>
              <w:t>4601 N. Fairfax Drive, Suite 900</w:t>
            </w:r>
          </w:p>
          <w:p>
            <w:pPr>
              <w:pStyle w:val="TableContents"/>
              <w:spacing w:before="0" w:after="20"/>
              <w:rPr>
                <w:rFonts w:ascii="Times New Roman" w:hAnsi="Times New Roman"/>
                <w:sz w:val="16"/>
              </w:rPr>
            </w:pPr>
            <w:r>
              <w:rPr>
                <w:rFonts w:ascii="Times New Roman" w:hAnsi="Times New Roman"/>
                <w:sz w:val="16"/>
              </w:rPr>
              <w:t>Arlington, VA, 22203</w:t>
            </w:r>
          </w:p>
        </w:tc>
        <w:tc>
          <w:tcPr>
            <w:tcW w:w="60" w:type="dxa"/>
            <w:tcBorders/>
            <w:shd w:fill="auto" w:val="clear"/>
            <w:vAlign w:val="center"/>
          </w:tcPr>
          <w:p>
            <w:pPr>
              <w:pStyle w:val="TableContents"/>
              <w:spacing w:before="0" w:after="283"/>
              <w:rPr/>
            </w:pPr>
            <w:r>
              <w:rPr/>
              <w:t> </w:t>
            </w:r>
          </w:p>
        </w:tc>
        <w:tc>
          <w:tcPr>
            <w:tcW w:w="2940" w:type="dxa"/>
            <w:tcBorders/>
            <w:shd w:fill="auto" w:val="clear"/>
            <w:vAlign w:val="center"/>
          </w:tcPr>
          <w:p>
            <w:pPr>
              <w:pStyle w:val="TableContents"/>
              <w:spacing w:before="0" w:after="283"/>
              <w:jc w:val="center"/>
              <w:rPr/>
            </w:pPr>
            <w:r>
              <w:rPr/>
              <w:t>Aerospace and Defense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33" w:type="dxa"/>
            <w:tcBorders/>
            <w:shd w:fill="auto" w:val="clear"/>
            <w:vAlign w:val="center"/>
          </w:tcPr>
          <w:p>
            <w:pPr>
              <w:pStyle w:val="TableContents"/>
              <w:spacing w:before="0" w:after="283"/>
              <w:jc w:val="center"/>
              <w:rPr/>
            </w:pPr>
            <w:r>
              <w:rPr/>
              <w:t>First Lien Secured Debt,</w:t>
              <w:br/>
              <w:t>3M L+600, 10/31/2025</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5" w:type="dxa"/>
            <w:tcBorders/>
            <w:shd w:fill="auto" w:val="clear"/>
            <w:vAlign w:val="center"/>
          </w:tcPr>
          <w:p>
            <w:pPr>
              <w:pStyle w:val="TableContents"/>
              <w:spacing w:before="0" w:after="283"/>
              <w:jc w:val="right"/>
              <w:rPr/>
            </w:pPr>
            <w:r>
              <w:rPr/>
              <w:t>4,872</w:t>
            </w:r>
          </w:p>
        </w:tc>
        <w:tc>
          <w:tcPr>
            <w:tcW w:w="79" w:type="dxa"/>
            <w:tcBorders/>
            <w:shd w:fill="auto" w:val="clear"/>
            <w:vAlign w:val="center"/>
          </w:tcPr>
          <w:p>
            <w:pPr>
              <w:pStyle w:val="TableContents"/>
              <w:spacing w:before="0" w:after="283"/>
              <w:rPr/>
            </w:pPr>
            <w:r>
              <w:rPr/>
              <w:t> </w:t>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The Bluebird Group LLC</w:t>
            </w:r>
          </w:p>
          <w:p>
            <w:pPr>
              <w:pStyle w:val="TableContents"/>
              <w:spacing w:before="0" w:after="0"/>
              <w:rPr>
                <w:rFonts w:ascii="Times New Roman" w:hAnsi="Times New Roman"/>
                <w:sz w:val="16"/>
              </w:rPr>
            </w:pPr>
            <w:r>
              <w:rPr>
                <w:rFonts w:ascii="Times New Roman" w:hAnsi="Times New Roman"/>
                <w:sz w:val="16"/>
              </w:rPr>
              <w:t>81 South Ninth Street, Suite 420,</w:t>
            </w:r>
          </w:p>
          <w:p>
            <w:pPr>
              <w:pStyle w:val="TableContents"/>
              <w:spacing w:before="0" w:after="20"/>
              <w:rPr>
                <w:rFonts w:ascii="Times New Roman" w:hAnsi="Times New Roman"/>
                <w:sz w:val="16"/>
              </w:rPr>
            </w:pPr>
            <w:r>
              <w:rPr>
                <w:rFonts w:ascii="Times New Roman" w:hAnsi="Times New Roman"/>
                <w:sz w:val="16"/>
              </w:rPr>
              <w:t>Minneapolis, MN, 55402</w:t>
            </w:r>
          </w:p>
        </w:tc>
        <w:tc>
          <w:tcPr>
            <w:tcW w:w="60" w:type="dxa"/>
            <w:tcBorders/>
            <w:shd w:fill="CCEEFF" w:val="clear"/>
            <w:vAlign w:val="center"/>
          </w:tcPr>
          <w:p>
            <w:pPr>
              <w:pStyle w:val="TableContents"/>
              <w:spacing w:before="0" w:after="283"/>
              <w:rPr/>
            </w:pPr>
            <w:r>
              <w:rPr/>
              <w:t> </w:t>
            </w:r>
          </w:p>
        </w:tc>
        <w:tc>
          <w:tcPr>
            <w:tcW w:w="2940" w:type="dxa"/>
            <w:tcBorders/>
            <w:shd w:fill="CCEEFF" w:val="clear"/>
            <w:vAlign w:val="center"/>
          </w:tcPr>
          <w:p>
            <w:pPr>
              <w:pStyle w:val="TableContents"/>
              <w:spacing w:before="0" w:after="283"/>
              <w:jc w:val="center"/>
              <w:rPr/>
            </w:pPr>
            <w:r>
              <w:rPr/>
              <w:t>Professional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33" w:type="dxa"/>
            <w:tcBorders/>
            <w:shd w:fill="CCEEFF" w:val="clear"/>
            <w:vAlign w:val="center"/>
          </w:tcPr>
          <w:p>
            <w:pPr>
              <w:pStyle w:val="TableContents"/>
              <w:spacing w:before="0" w:after="283"/>
              <w:jc w:val="center"/>
              <w:rPr/>
            </w:pPr>
            <w:r>
              <w:rPr/>
              <w:t>First Lien Secured Debt(4),</w:t>
              <w:br/>
              <w:t>3M L+700, 07/27/2026</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5" w:type="dxa"/>
            <w:tcBorders/>
            <w:shd w:fill="CCEEFF" w:val="clear"/>
            <w:vAlign w:val="center"/>
          </w:tcPr>
          <w:p>
            <w:pPr>
              <w:pStyle w:val="TableContents"/>
              <w:spacing w:before="0" w:after="283"/>
              <w:jc w:val="right"/>
              <w:rPr/>
            </w:pPr>
            <w:r>
              <w:rPr/>
              <w:t>6,337</w:t>
            </w:r>
          </w:p>
        </w:tc>
        <w:tc>
          <w:tcPr>
            <w:tcW w:w="79" w:type="dxa"/>
            <w:tcBorders/>
            <w:shd w:fill="CCEEFF" w:val="clear"/>
            <w:vAlign w:val="center"/>
          </w:tcPr>
          <w:p>
            <w:pPr>
              <w:pStyle w:val="TableContents"/>
              <w:spacing w:before="0" w:after="283"/>
              <w:rPr/>
            </w:pPr>
            <w:r>
              <w:rPr/>
              <w:t> </w:t>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The Infosoft Group, LLC</w:t>
            </w:r>
          </w:p>
          <w:p>
            <w:pPr>
              <w:pStyle w:val="TableContents"/>
              <w:spacing w:before="0" w:after="0"/>
              <w:rPr>
                <w:rFonts w:ascii="Times New Roman" w:hAnsi="Times New Roman"/>
                <w:sz w:val="16"/>
              </w:rPr>
            </w:pPr>
            <w:r>
              <w:rPr>
                <w:rFonts w:ascii="Times New Roman" w:hAnsi="Times New Roman"/>
                <w:sz w:val="16"/>
              </w:rPr>
              <w:t>(Gauge InfosoftCoInvest, LLC)</w:t>
            </w:r>
          </w:p>
          <w:p>
            <w:pPr>
              <w:pStyle w:val="TableContents"/>
              <w:spacing w:before="0" w:after="0"/>
              <w:rPr>
                <w:rFonts w:ascii="Times New Roman" w:hAnsi="Times New Roman"/>
                <w:sz w:val="16"/>
              </w:rPr>
            </w:pPr>
            <w:r>
              <w:rPr>
                <w:rFonts w:ascii="Times New Roman" w:hAnsi="Times New Roman"/>
                <w:sz w:val="16"/>
              </w:rPr>
              <w:t>1000 North Water Street, Suite 1200</w:t>
            </w:r>
          </w:p>
          <w:p>
            <w:pPr>
              <w:pStyle w:val="TableContents"/>
              <w:spacing w:before="0" w:after="20"/>
              <w:rPr>
                <w:rFonts w:ascii="Times New Roman" w:hAnsi="Times New Roman"/>
                <w:sz w:val="16"/>
              </w:rPr>
            </w:pPr>
            <w:r>
              <w:rPr>
                <w:rFonts w:ascii="Times New Roman" w:hAnsi="Times New Roman"/>
                <w:sz w:val="16"/>
              </w:rPr>
              <w:t>Milwaukee, WI 53202</w:t>
            </w:r>
          </w:p>
        </w:tc>
        <w:tc>
          <w:tcPr>
            <w:tcW w:w="60" w:type="dxa"/>
            <w:tcBorders/>
            <w:shd w:fill="auto" w:val="clear"/>
            <w:vAlign w:val="center"/>
          </w:tcPr>
          <w:p>
            <w:pPr>
              <w:pStyle w:val="TableContents"/>
              <w:spacing w:before="0" w:after="283"/>
              <w:rPr/>
            </w:pPr>
            <w:r>
              <w:rPr/>
              <w:t> </w:t>
            </w:r>
          </w:p>
        </w:tc>
        <w:tc>
          <w:tcPr>
            <w:tcW w:w="2940" w:type="dxa"/>
            <w:tcBorders/>
            <w:shd w:fill="auto" w:val="clear"/>
            <w:vAlign w:val="center"/>
          </w:tcPr>
          <w:p>
            <w:pPr>
              <w:pStyle w:val="TableContents"/>
              <w:spacing w:before="0" w:after="283"/>
              <w:jc w:val="center"/>
              <w:rPr/>
            </w:pPr>
            <w:r>
              <w:rPr/>
              <w:t>Media: Broadcasting and Subscription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33" w:type="dxa"/>
            <w:tcBorders/>
            <w:shd w:fill="auto" w:val="clear"/>
            <w:vAlign w:val="center"/>
          </w:tcPr>
          <w:p>
            <w:pPr>
              <w:pStyle w:val="TableContents"/>
              <w:spacing w:before="0" w:after="283"/>
              <w:jc w:val="center"/>
              <w:rPr/>
            </w:pPr>
            <w:r>
              <w:rPr/>
              <w:t>First Lien Secured Debt,</w:t>
              <w:br/>
              <w:t>3M L+575, 09/16/2024</w:t>
              <w:br/>
              <w:t>Common Equity</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5" w:type="dxa"/>
            <w:tcBorders/>
            <w:shd w:fill="auto" w:val="clear"/>
            <w:vAlign w:val="center"/>
          </w:tcPr>
          <w:p>
            <w:pPr>
              <w:pStyle w:val="TableContents"/>
              <w:spacing w:before="0" w:after="283"/>
              <w:jc w:val="right"/>
              <w:rPr/>
            </w:pPr>
            <w:r>
              <w:rPr/>
              <w:t>17,586</w:t>
            </w:r>
          </w:p>
        </w:tc>
        <w:tc>
          <w:tcPr>
            <w:tcW w:w="79" w:type="dxa"/>
            <w:tcBorders/>
            <w:shd w:fill="auto" w:val="clear"/>
            <w:vAlign w:val="center"/>
          </w:tcPr>
          <w:p>
            <w:pPr>
              <w:pStyle w:val="TableContents"/>
              <w:spacing w:before="0" w:after="283"/>
              <w:rPr/>
            </w:pPr>
            <w:r>
              <w:rPr/>
              <w:t> </w:t>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The Vertex Companies, LLC</w:t>
            </w:r>
          </w:p>
          <w:p>
            <w:pPr>
              <w:pStyle w:val="TableContents"/>
              <w:spacing w:before="0" w:after="0"/>
              <w:rPr>
                <w:rFonts w:ascii="Times New Roman" w:hAnsi="Times New Roman"/>
                <w:sz w:val="16"/>
              </w:rPr>
            </w:pPr>
            <w:r>
              <w:rPr>
                <w:rFonts w:ascii="Times New Roman" w:hAnsi="Times New Roman"/>
                <w:sz w:val="16"/>
              </w:rPr>
              <w:t>(TWD Parent Holdings, LLC)</w:t>
            </w:r>
          </w:p>
          <w:p>
            <w:pPr>
              <w:pStyle w:val="TableContents"/>
              <w:spacing w:before="0" w:after="0"/>
              <w:rPr>
                <w:rFonts w:ascii="Times New Roman" w:hAnsi="Times New Roman"/>
                <w:sz w:val="16"/>
              </w:rPr>
            </w:pPr>
            <w:r>
              <w:rPr>
                <w:rFonts w:ascii="Times New Roman" w:hAnsi="Times New Roman"/>
                <w:sz w:val="16"/>
              </w:rPr>
              <w:t>398 Libbey Industrial Pkwy,</w:t>
            </w:r>
          </w:p>
          <w:p>
            <w:pPr>
              <w:pStyle w:val="TableContents"/>
              <w:spacing w:before="0" w:after="20"/>
              <w:rPr>
                <w:rFonts w:ascii="Times New Roman" w:hAnsi="Times New Roman"/>
                <w:sz w:val="16"/>
              </w:rPr>
            </w:pPr>
            <w:r>
              <w:rPr>
                <w:rFonts w:ascii="Times New Roman" w:hAnsi="Times New Roman"/>
                <w:sz w:val="16"/>
              </w:rPr>
              <w:t>Weymouth, MA 02189</w:t>
            </w:r>
          </w:p>
        </w:tc>
        <w:tc>
          <w:tcPr>
            <w:tcW w:w="60" w:type="dxa"/>
            <w:tcBorders/>
            <w:shd w:fill="CCEEFF" w:val="clear"/>
            <w:vAlign w:val="center"/>
          </w:tcPr>
          <w:p>
            <w:pPr>
              <w:pStyle w:val="TableContents"/>
              <w:spacing w:before="0" w:after="283"/>
              <w:rPr/>
            </w:pPr>
            <w:r>
              <w:rPr/>
              <w:t> </w:t>
            </w:r>
          </w:p>
        </w:tc>
        <w:tc>
          <w:tcPr>
            <w:tcW w:w="2940" w:type="dxa"/>
            <w:tcBorders/>
            <w:shd w:fill="CCEEFF" w:val="clear"/>
            <w:vAlign w:val="center"/>
          </w:tcPr>
          <w:p>
            <w:pPr>
              <w:pStyle w:val="TableContents"/>
              <w:spacing w:before="0" w:after="283"/>
              <w:jc w:val="center"/>
              <w:rPr/>
            </w:pPr>
            <w:r>
              <w:rPr/>
              <w:t>Construction &amp; Engineering</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33" w:type="dxa"/>
            <w:tcBorders/>
            <w:shd w:fill="CCEEFF" w:val="clear"/>
            <w:vAlign w:val="center"/>
          </w:tcPr>
          <w:p>
            <w:pPr>
              <w:pStyle w:val="TableContents"/>
              <w:spacing w:before="0" w:after="283"/>
              <w:jc w:val="center"/>
              <w:rPr/>
            </w:pPr>
            <w:r>
              <w:rPr/>
              <w:t>First Lien Secured Debt(4),</w:t>
              <w:br/>
              <w:t>1M L+550, 08/30/2027</w:t>
              <w:br/>
              <w:t>Preferred Equity</w:t>
              <w:br/>
              <w:t>Common Equity</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jc w:val="right"/>
              <w:rPr/>
            </w:pPr>
            <w:r>
              <w:rPr/>
              <w:t>0.2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5" w:type="dxa"/>
            <w:tcBorders/>
            <w:shd w:fill="CCEEFF" w:val="clear"/>
            <w:vAlign w:val="center"/>
          </w:tcPr>
          <w:p>
            <w:pPr>
              <w:pStyle w:val="TableContents"/>
              <w:spacing w:before="0" w:after="283"/>
              <w:jc w:val="right"/>
              <w:rPr/>
            </w:pPr>
            <w:r>
              <w:rPr/>
              <w:t>2,369</w:t>
            </w:r>
          </w:p>
        </w:tc>
        <w:tc>
          <w:tcPr>
            <w:tcW w:w="79" w:type="dxa"/>
            <w:tcBorders/>
            <w:shd w:fill="CCEEFF" w:val="clear"/>
            <w:vAlign w:val="center"/>
          </w:tcPr>
          <w:p>
            <w:pPr>
              <w:pStyle w:val="TableContents"/>
              <w:spacing w:before="0" w:after="283"/>
              <w:rPr/>
            </w:pPr>
            <w:r>
              <w:rPr/>
              <w:t> </w:t>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TPC Canada Parent, Inc.</w:t>
            </w:r>
          </w:p>
          <w:p>
            <w:pPr>
              <w:pStyle w:val="TableContents"/>
              <w:spacing w:before="0" w:after="0"/>
              <w:rPr>
                <w:rFonts w:ascii="Times New Roman" w:hAnsi="Times New Roman"/>
                <w:sz w:val="16"/>
              </w:rPr>
            </w:pPr>
            <w:r>
              <w:rPr>
                <w:rFonts w:ascii="Times New Roman" w:hAnsi="Times New Roman"/>
                <w:sz w:val="16"/>
              </w:rPr>
              <w:t>and TPC US Parent, LLC(6)</w:t>
            </w:r>
          </w:p>
          <w:p>
            <w:pPr>
              <w:pStyle w:val="TableContents"/>
              <w:spacing w:before="0" w:after="0"/>
              <w:rPr>
                <w:rFonts w:ascii="Times New Roman" w:hAnsi="Times New Roman"/>
                <w:sz w:val="16"/>
              </w:rPr>
            </w:pPr>
            <w:r>
              <w:rPr>
                <w:rFonts w:ascii="Times New Roman" w:hAnsi="Times New Roman"/>
                <w:sz w:val="16"/>
              </w:rPr>
              <w:t>(TPC Holding Company, LP(6))</w:t>
            </w:r>
          </w:p>
          <w:p>
            <w:pPr>
              <w:pStyle w:val="TableContents"/>
              <w:spacing w:before="0" w:after="0"/>
              <w:rPr>
                <w:rFonts w:ascii="Times New Roman" w:hAnsi="Times New Roman"/>
                <w:sz w:val="16"/>
              </w:rPr>
            </w:pPr>
            <w:r>
              <w:rPr>
                <w:rFonts w:ascii="Times New Roman" w:hAnsi="Times New Roman"/>
                <w:sz w:val="16"/>
              </w:rPr>
              <w:t>151 Struthers Street</w:t>
            </w:r>
          </w:p>
          <w:p>
            <w:pPr>
              <w:pStyle w:val="TableContents"/>
              <w:spacing w:before="0" w:after="20"/>
              <w:rPr>
                <w:rFonts w:ascii="Times New Roman" w:hAnsi="Times New Roman"/>
                <w:sz w:val="16"/>
              </w:rPr>
            </w:pPr>
            <w:r>
              <w:rPr>
                <w:rFonts w:ascii="Times New Roman" w:hAnsi="Times New Roman"/>
                <w:sz w:val="16"/>
              </w:rPr>
              <w:t>Warren, PA 16365</w:t>
            </w:r>
          </w:p>
        </w:tc>
        <w:tc>
          <w:tcPr>
            <w:tcW w:w="60" w:type="dxa"/>
            <w:tcBorders/>
            <w:shd w:fill="auto" w:val="clear"/>
            <w:vAlign w:val="center"/>
          </w:tcPr>
          <w:p>
            <w:pPr>
              <w:pStyle w:val="TableContents"/>
              <w:spacing w:before="0" w:after="283"/>
              <w:rPr/>
            </w:pPr>
            <w:r>
              <w:rPr/>
              <w:t> </w:t>
            </w:r>
          </w:p>
        </w:tc>
        <w:tc>
          <w:tcPr>
            <w:tcW w:w="2940" w:type="dxa"/>
            <w:tcBorders/>
            <w:shd w:fill="auto" w:val="clear"/>
            <w:vAlign w:val="center"/>
          </w:tcPr>
          <w:p>
            <w:pPr>
              <w:pStyle w:val="TableContents"/>
              <w:spacing w:before="0" w:after="283"/>
              <w:jc w:val="center"/>
              <w:rPr/>
            </w:pPr>
            <w:r>
              <w:rPr/>
              <w:t>Food Products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33" w:type="dxa"/>
            <w:tcBorders/>
            <w:shd w:fill="auto" w:val="clear"/>
            <w:vAlign w:val="center"/>
          </w:tcPr>
          <w:p>
            <w:pPr>
              <w:pStyle w:val="TableContents"/>
              <w:spacing w:before="0" w:after="283"/>
              <w:jc w:val="center"/>
              <w:rPr/>
            </w:pPr>
            <w:r>
              <w:rPr/>
              <w:t>First Lien Secured Debt,</w:t>
              <w:br/>
              <w:t>3M L+550, 11/24/2025</w:t>
              <w:br/>
              <w:t>Preferred Equity</w:t>
              <w:br/>
              <w:t>Common Equity</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jc w:val="right"/>
              <w:rPr/>
            </w:pPr>
            <w:r>
              <w:rPr/>
              <w:t>0.8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5" w:type="dxa"/>
            <w:tcBorders/>
            <w:shd w:fill="auto" w:val="clear"/>
            <w:vAlign w:val="center"/>
          </w:tcPr>
          <w:p>
            <w:pPr>
              <w:pStyle w:val="TableContents"/>
              <w:spacing w:before="0" w:after="283"/>
              <w:jc w:val="right"/>
              <w:rPr/>
            </w:pPr>
            <w:r>
              <w:rPr/>
              <w:t>4,832</w:t>
            </w:r>
          </w:p>
        </w:tc>
        <w:tc>
          <w:tcPr>
            <w:tcW w:w="79" w:type="dxa"/>
            <w:tcBorders/>
            <w:shd w:fill="auto" w:val="clear"/>
            <w:vAlign w:val="center"/>
          </w:tcPr>
          <w:p>
            <w:pPr>
              <w:pStyle w:val="TableContents"/>
              <w:spacing w:before="0" w:after="283"/>
              <w:rPr/>
            </w:pPr>
            <w:r>
              <w:rPr/>
              <w:t> </w:t>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TVC Enterprises, LLC</w:t>
            </w:r>
          </w:p>
          <w:p>
            <w:pPr>
              <w:pStyle w:val="TableContents"/>
              <w:spacing w:before="0" w:after="0"/>
              <w:rPr>
                <w:rFonts w:ascii="Times New Roman" w:hAnsi="Times New Roman"/>
                <w:sz w:val="16"/>
              </w:rPr>
            </w:pPr>
            <w:r>
              <w:rPr>
                <w:rFonts w:ascii="Times New Roman" w:hAnsi="Times New Roman"/>
                <w:sz w:val="16"/>
              </w:rPr>
              <w:t>(Gauge TVC Coinvest, LLC)</w:t>
            </w:r>
          </w:p>
          <w:p>
            <w:pPr>
              <w:pStyle w:val="TableContents"/>
              <w:spacing w:before="0" w:after="0"/>
              <w:rPr>
                <w:rFonts w:ascii="Times New Roman" w:hAnsi="Times New Roman"/>
                <w:sz w:val="16"/>
              </w:rPr>
            </w:pPr>
            <w:r>
              <w:rPr>
                <w:rFonts w:ascii="Times New Roman" w:hAnsi="Times New Roman"/>
                <w:sz w:val="16"/>
              </w:rPr>
              <w:t>6100 Lake Forrest Drive</w:t>
            </w:r>
          </w:p>
          <w:p>
            <w:pPr>
              <w:pStyle w:val="TableContents"/>
              <w:spacing w:before="0" w:after="20"/>
              <w:rPr>
                <w:rFonts w:ascii="Times New Roman" w:hAnsi="Times New Roman"/>
                <w:sz w:val="16"/>
              </w:rPr>
            </w:pPr>
            <w:r>
              <w:rPr>
                <w:rFonts w:ascii="Times New Roman" w:hAnsi="Times New Roman"/>
                <w:sz w:val="16"/>
              </w:rPr>
              <w:t>Atlanta, GA 30328</w:t>
            </w:r>
          </w:p>
        </w:tc>
        <w:tc>
          <w:tcPr>
            <w:tcW w:w="60" w:type="dxa"/>
            <w:tcBorders/>
            <w:shd w:fill="CCEEFF" w:val="clear"/>
            <w:vAlign w:val="center"/>
          </w:tcPr>
          <w:p>
            <w:pPr>
              <w:pStyle w:val="TableContents"/>
              <w:spacing w:before="0" w:after="283"/>
              <w:rPr/>
            </w:pPr>
            <w:r>
              <w:rPr/>
              <w:t> </w:t>
            </w:r>
          </w:p>
        </w:tc>
        <w:tc>
          <w:tcPr>
            <w:tcW w:w="2940" w:type="dxa"/>
            <w:tcBorders/>
            <w:shd w:fill="CCEEFF" w:val="clear"/>
            <w:vAlign w:val="center"/>
          </w:tcPr>
          <w:p>
            <w:pPr>
              <w:pStyle w:val="TableContents"/>
              <w:spacing w:before="0" w:after="283"/>
              <w:jc w:val="center"/>
              <w:rPr/>
            </w:pPr>
            <w:r>
              <w:rPr/>
              <w:t>Commercial Services &amp; Supplies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33" w:type="dxa"/>
            <w:tcBorders/>
            <w:shd w:fill="CCEEFF" w:val="clear"/>
            <w:vAlign w:val="center"/>
          </w:tcPr>
          <w:p>
            <w:pPr>
              <w:pStyle w:val="TableContents"/>
              <w:spacing w:before="0" w:after="283"/>
              <w:jc w:val="center"/>
              <w:rPr/>
            </w:pPr>
            <w:r>
              <w:rPr/>
              <w:t>First Lien Secured Debt(4),</w:t>
              <w:br/>
              <w:t>1M L+600, 03/26/2026</w:t>
              <w:br/>
              <w:t>Common Equity</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jc w:val="right"/>
              <w:rPr/>
            </w:pPr>
            <w:r>
              <w:rPr/>
              <w:t>0.8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5" w:type="dxa"/>
            <w:tcBorders/>
            <w:shd w:fill="CCEEFF" w:val="clear"/>
            <w:vAlign w:val="center"/>
          </w:tcPr>
          <w:p>
            <w:pPr>
              <w:pStyle w:val="TableContents"/>
              <w:spacing w:before="0" w:after="283"/>
              <w:jc w:val="right"/>
              <w:rPr/>
            </w:pPr>
            <w:r>
              <w:rPr/>
              <w:t>25,644</w:t>
            </w:r>
          </w:p>
        </w:tc>
        <w:tc>
          <w:tcPr>
            <w:tcW w:w="79" w:type="dxa"/>
            <w:tcBorders/>
            <w:shd w:fill="CCEEFF" w:val="clear"/>
            <w:vAlign w:val="center"/>
          </w:tcPr>
          <w:p>
            <w:pPr>
              <w:pStyle w:val="TableContents"/>
              <w:spacing w:before="0" w:after="283"/>
              <w:rPr/>
            </w:pPr>
            <w:r>
              <w:rPr/>
              <w:t> </w:t>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TWS Acquisition Corporation</w:t>
            </w:r>
          </w:p>
          <w:p>
            <w:pPr>
              <w:pStyle w:val="TableContents"/>
              <w:spacing w:before="0" w:after="0"/>
              <w:rPr>
                <w:rFonts w:ascii="Times New Roman" w:hAnsi="Times New Roman"/>
                <w:sz w:val="16"/>
              </w:rPr>
            </w:pPr>
            <w:r>
              <w:rPr>
                <w:rFonts w:ascii="Times New Roman" w:hAnsi="Times New Roman"/>
                <w:sz w:val="16"/>
              </w:rPr>
              <w:t>120 N. 44th Street #230</w:t>
            </w:r>
          </w:p>
          <w:p>
            <w:pPr>
              <w:pStyle w:val="TableContents"/>
              <w:spacing w:before="0" w:after="20"/>
              <w:rPr>
                <w:rFonts w:ascii="Times New Roman" w:hAnsi="Times New Roman"/>
                <w:sz w:val="16"/>
              </w:rPr>
            </w:pPr>
            <w:r>
              <w:rPr>
                <w:rFonts w:ascii="Times New Roman" w:hAnsi="Times New Roman"/>
                <w:sz w:val="16"/>
              </w:rPr>
              <w:t>Phoenix, AZ 85034</w:t>
            </w:r>
          </w:p>
        </w:tc>
        <w:tc>
          <w:tcPr>
            <w:tcW w:w="60" w:type="dxa"/>
            <w:tcBorders/>
            <w:shd w:fill="auto" w:val="clear"/>
            <w:vAlign w:val="center"/>
          </w:tcPr>
          <w:p>
            <w:pPr>
              <w:pStyle w:val="TableContents"/>
              <w:spacing w:before="0" w:after="283"/>
              <w:rPr/>
            </w:pPr>
            <w:r>
              <w:rPr/>
              <w:t> </w:t>
            </w:r>
          </w:p>
        </w:tc>
        <w:tc>
          <w:tcPr>
            <w:tcW w:w="2940" w:type="dxa"/>
            <w:tcBorders/>
            <w:shd w:fill="auto" w:val="clear"/>
            <w:vAlign w:val="center"/>
          </w:tcPr>
          <w:p>
            <w:pPr>
              <w:pStyle w:val="TableContents"/>
              <w:spacing w:before="0" w:after="283"/>
              <w:jc w:val="center"/>
              <w:rPr/>
            </w:pPr>
            <w:r>
              <w:rPr/>
              <w:t>Diversified Consumer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33" w:type="dxa"/>
            <w:tcBorders/>
            <w:shd w:fill="auto" w:val="clear"/>
            <w:vAlign w:val="center"/>
          </w:tcPr>
          <w:p>
            <w:pPr>
              <w:pStyle w:val="TableContents"/>
              <w:spacing w:before="0" w:after="283"/>
              <w:jc w:val="center"/>
              <w:rPr/>
            </w:pPr>
            <w:r>
              <w:rPr/>
              <w:t>First Lien Secured Debt(4),</w:t>
              <w:br/>
              <w:t>1M L+625, 06/16/2025</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5" w:type="dxa"/>
            <w:tcBorders/>
            <w:shd w:fill="auto" w:val="clear"/>
            <w:vAlign w:val="center"/>
          </w:tcPr>
          <w:p>
            <w:pPr>
              <w:pStyle w:val="TableContents"/>
              <w:spacing w:before="0" w:after="283"/>
              <w:jc w:val="right"/>
              <w:rPr/>
            </w:pPr>
            <w:r>
              <w:rPr/>
              <w:t>5,427</w:t>
            </w:r>
          </w:p>
        </w:tc>
        <w:tc>
          <w:tcPr>
            <w:tcW w:w="79" w:type="dxa"/>
            <w:tcBorders/>
            <w:shd w:fill="auto" w:val="clear"/>
            <w:vAlign w:val="center"/>
          </w:tcPr>
          <w:p>
            <w:pPr>
              <w:pStyle w:val="TableContents"/>
              <w:spacing w:before="0" w:after="283"/>
              <w:rPr/>
            </w:pPr>
            <w:r>
              <w:rPr/>
              <w:t> </w:t>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Tyto Athene, LLC</w:t>
            </w:r>
          </w:p>
          <w:p>
            <w:pPr>
              <w:pStyle w:val="TableContents"/>
              <w:spacing w:before="0" w:after="0"/>
              <w:rPr>
                <w:rFonts w:ascii="Times New Roman" w:hAnsi="Times New Roman"/>
                <w:sz w:val="16"/>
              </w:rPr>
            </w:pPr>
            <w:r>
              <w:rPr>
                <w:rFonts w:ascii="Times New Roman" w:hAnsi="Times New Roman"/>
                <w:sz w:val="16"/>
              </w:rPr>
              <w:t>(NXOF Holdings, Inc)</w:t>
            </w:r>
          </w:p>
          <w:p>
            <w:pPr>
              <w:pStyle w:val="TableContents"/>
              <w:spacing w:before="0" w:after="0"/>
              <w:rPr>
                <w:rFonts w:ascii="Times New Roman" w:hAnsi="Times New Roman"/>
                <w:sz w:val="16"/>
              </w:rPr>
            </w:pPr>
            <w:r>
              <w:rPr>
                <w:rFonts w:ascii="Times New Roman" w:hAnsi="Times New Roman"/>
                <w:sz w:val="16"/>
              </w:rPr>
              <w:t>510 Spring Street, Suite 200</w:t>
            </w:r>
          </w:p>
          <w:p>
            <w:pPr>
              <w:pStyle w:val="TableContents"/>
              <w:spacing w:before="0" w:after="20"/>
              <w:rPr>
                <w:rFonts w:ascii="Times New Roman" w:hAnsi="Times New Roman"/>
                <w:sz w:val="16"/>
              </w:rPr>
            </w:pPr>
            <w:r>
              <w:rPr>
                <w:rFonts w:ascii="Times New Roman" w:hAnsi="Times New Roman"/>
                <w:sz w:val="16"/>
              </w:rPr>
              <w:t>Herndon, VA 20170</w:t>
            </w:r>
          </w:p>
        </w:tc>
        <w:tc>
          <w:tcPr>
            <w:tcW w:w="60" w:type="dxa"/>
            <w:tcBorders/>
            <w:shd w:fill="CCEEFF" w:val="clear"/>
            <w:vAlign w:val="center"/>
          </w:tcPr>
          <w:p>
            <w:pPr>
              <w:pStyle w:val="TableContents"/>
              <w:spacing w:before="0" w:after="283"/>
              <w:rPr/>
            </w:pPr>
            <w:r>
              <w:rPr/>
              <w:t> </w:t>
            </w:r>
          </w:p>
        </w:tc>
        <w:tc>
          <w:tcPr>
            <w:tcW w:w="2940" w:type="dxa"/>
            <w:tcBorders/>
            <w:shd w:fill="CCEEFF" w:val="clear"/>
            <w:vAlign w:val="center"/>
          </w:tcPr>
          <w:p>
            <w:pPr>
              <w:pStyle w:val="TableContents"/>
              <w:spacing w:before="0" w:after="283"/>
              <w:jc w:val="center"/>
              <w:rPr/>
            </w:pPr>
            <w:r>
              <w:rPr/>
              <w:t>IT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33" w:type="dxa"/>
            <w:tcBorders/>
            <w:shd w:fill="CCEEFF" w:val="clear"/>
            <w:vAlign w:val="center"/>
          </w:tcPr>
          <w:p>
            <w:pPr>
              <w:pStyle w:val="TableContents"/>
              <w:spacing w:before="0" w:after="0"/>
              <w:jc w:val="center"/>
              <w:rPr>
                <w:rFonts w:ascii="Times New Roman" w:hAnsi="Times New Roman"/>
                <w:sz w:val="16"/>
              </w:rPr>
            </w:pPr>
            <w:r>
              <w:rPr>
                <w:rFonts w:ascii="Times New Roman" w:hAnsi="Times New Roman"/>
                <w:sz w:val="16"/>
              </w:rPr>
              <w:t>First Lien Secured Debt(4),</w:t>
              <w:br/>
              <w:t>1M L+550, 04/01/2028</w:t>
              <w:br/>
              <w:t>Preferred Equity</w:t>
            </w:r>
          </w:p>
          <w:p>
            <w:pPr>
              <w:pStyle w:val="TableContents"/>
              <w:spacing w:before="0" w:after="20"/>
              <w:jc w:val="center"/>
              <w:rPr>
                <w:rFonts w:ascii="Times New Roman" w:hAnsi="Times New Roman"/>
                <w:sz w:val="16"/>
              </w:rPr>
            </w:pPr>
            <w:r>
              <w:rPr>
                <w:rFonts w:ascii="Times New Roman" w:hAnsi="Times New Roman"/>
                <w:sz w:val="16"/>
              </w:rPr>
              <w:t>Common Equity</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jc w:val="right"/>
              <w:rPr/>
            </w:pPr>
            <w:r>
              <w:rPr/>
              <w:t>0.2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5" w:type="dxa"/>
            <w:tcBorders/>
            <w:shd w:fill="CCEEFF" w:val="clear"/>
            <w:vAlign w:val="center"/>
          </w:tcPr>
          <w:p>
            <w:pPr>
              <w:pStyle w:val="TableContents"/>
              <w:spacing w:before="0" w:after="283"/>
              <w:jc w:val="right"/>
              <w:rPr/>
            </w:pPr>
            <w:r>
              <w:rPr/>
              <w:t>13,024</w:t>
            </w:r>
          </w:p>
        </w:tc>
        <w:tc>
          <w:tcPr>
            <w:tcW w:w="79" w:type="dxa"/>
            <w:tcBorders/>
            <w:shd w:fill="CCEEFF" w:val="clear"/>
            <w:vAlign w:val="center"/>
          </w:tcPr>
          <w:p>
            <w:pPr>
              <w:pStyle w:val="TableContents"/>
              <w:spacing w:before="0" w:after="283"/>
              <w:rPr/>
            </w:pPr>
            <w:r>
              <w:rPr/>
              <w:t> </w:t>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UBEO, LLC</w:t>
            </w:r>
          </w:p>
          <w:p>
            <w:pPr>
              <w:pStyle w:val="TableContents"/>
              <w:spacing w:before="0" w:after="0"/>
              <w:rPr>
                <w:rFonts w:ascii="Times New Roman" w:hAnsi="Times New Roman"/>
                <w:sz w:val="16"/>
              </w:rPr>
            </w:pPr>
            <w:r>
              <w:rPr>
                <w:rFonts w:ascii="Times New Roman" w:hAnsi="Times New Roman"/>
                <w:sz w:val="16"/>
              </w:rPr>
              <w:t>401 East Sonterra Blvd, Suite 350</w:t>
            </w:r>
          </w:p>
          <w:p>
            <w:pPr>
              <w:pStyle w:val="TableContents"/>
              <w:spacing w:before="0" w:after="20"/>
              <w:rPr>
                <w:rFonts w:ascii="Times New Roman" w:hAnsi="Times New Roman"/>
                <w:sz w:val="16"/>
              </w:rPr>
            </w:pPr>
            <w:r>
              <w:rPr>
                <w:rFonts w:ascii="Times New Roman" w:hAnsi="Times New Roman"/>
                <w:sz w:val="16"/>
              </w:rPr>
              <w:t>San Antonio, TX 78258</w:t>
            </w:r>
          </w:p>
        </w:tc>
        <w:tc>
          <w:tcPr>
            <w:tcW w:w="60" w:type="dxa"/>
            <w:tcBorders/>
            <w:shd w:fill="auto" w:val="clear"/>
            <w:vAlign w:val="center"/>
          </w:tcPr>
          <w:p>
            <w:pPr>
              <w:pStyle w:val="TableContents"/>
              <w:spacing w:before="0" w:after="283"/>
              <w:rPr/>
            </w:pPr>
            <w:r>
              <w:rPr/>
              <w:t> </w:t>
            </w:r>
          </w:p>
        </w:tc>
        <w:tc>
          <w:tcPr>
            <w:tcW w:w="2940" w:type="dxa"/>
            <w:tcBorders/>
            <w:shd w:fill="auto" w:val="clear"/>
            <w:vAlign w:val="center"/>
          </w:tcPr>
          <w:p>
            <w:pPr>
              <w:pStyle w:val="TableContents"/>
              <w:spacing w:before="0" w:after="283"/>
              <w:jc w:val="center"/>
              <w:rPr/>
            </w:pPr>
            <w:r>
              <w:rPr/>
              <w:t>Capital Equipment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33" w:type="dxa"/>
            <w:tcBorders/>
            <w:shd w:fill="auto" w:val="clear"/>
            <w:vAlign w:val="center"/>
          </w:tcPr>
          <w:p>
            <w:pPr>
              <w:pStyle w:val="TableContents"/>
              <w:spacing w:before="0" w:after="283"/>
              <w:jc w:val="center"/>
              <w:rPr/>
            </w:pPr>
            <w:r>
              <w:rPr/>
              <w:t>First Lien Secured Debt(4),</w:t>
              <w:br/>
              <w:t>3M L+450, 04/03/2024</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5" w:type="dxa"/>
            <w:tcBorders/>
            <w:shd w:fill="auto" w:val="clear"/>
            <w:vAlign w:val="center"/>
          </w:tcPr>
          <w:p>
            <w:pPr>
              <w:pStyle w:val="TableContents"/>
              <w:spacing w:before="0" w:after="283"/>
              <w:jc w:val="right"/>
              <w:rPr/>
            </w:pPr>
            <w:r>
              <w:rPr/>
              <w:t>18,199</w:t>
            </w:r>
          </w:p>
        </w:tc>
        <w:tc>
          <w:tcPr>
            <w:tcW w:w="79" w:type="dxa"/>
            <w:tcBorders/>
            <w:shd w:fill="auto" w:val="clear"/>
            <w:vAlign w:val="center"/>
          </w:tcPr>
          <w:p>
            <w:pPr>
              <w:pStyle w:val="TableContents"/>
              <w:spacing w:before="0" w:after="283"/>
              <w:rPr/>
            </w:pPr>
            <w:r>
              <w:rPr/>
              <w:t> </w:t>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Unique Indoor Comfort, LLC</w:t>
            </w:r>
          </w:p>
          <w:p>
            <w:pPr>
              <w:pStyle w:val="TableContents"/>
              <w:spacing w:before="0" w:after="0"/>
              <w:rPr>
                <w:rFonts w:ascii="Times New Roman" w:hAnsi="Times New Roman"/>
                <w:sz w:val="16"/>
              </w:rPr>
            </w:pPr>
            <w:r>
              <w:rPr>
                <w:rFonts w:ascii="Times New Roman" w:hAnsi="Times New Roman"/>
                <w:sz w:val="16"/>
              </w:rPr>
              <w:t>3017 Bolling Way NorthEast</w:t>
            </w:r>
          </w:p>
          <w:p>
            <w:pPr>
              <w:pStyle w:val="TableContents"/>
              <w:spacing w:before="0" w:after="20"/>
              <w:rPr>
                <w:rFonts w:ascii="Times New Roman" w:hAnsi="Times New Roman"/>
                <w:sz w:val="16"/>
              </w:rPr>
            </w:pPr>
            <w:r>
              <w:rPr>
                <w:rFonts w:ascii="Times New Roman" w:hAnsi="Times New Roman"/>
                <w:sz w:val="16"/>
              </w:rPr>
              <w:t>Atlanta, GA 30305</w:t>
            </w:r>
          </w:p>
        </w:tc>
        <w:tc>
          <w:tcPr>
            <w:tcW w:w="60" w:type="dxa"/>
            <w:tcBorders/>
            <w:shd w:fill="CCEEFF" w:val="clear"/>
            <w:vAlign w:val="center"/>
          </w:tcPr>
          <w:p>
            <w:pPr>
              <w:pStyle w:val="TableContents"/>
              <w:spacing w:before="0" w:after="283"/>
              <w:rPr/>
            </w:pPr>
            <w:r>
              <w:rPr/>
              <w:t> </w:t>
            </w:r>
          </w:p>
        </w:tc>
        <w:tc>
          <w:tcPr>
            <w:tcW w:w="2940" w:type="dxa"/>
            <w:tcBorders/>
            <w:shd w:fill="CCEEFF" w:val="clear"/>
            <w:vAlign w:val="center"/>
          </w:tcPr>
          <w:p>
            <w:pPr>
              <w:pStyle w:val="TableContents"/>
              <w:spacing w:before="0" w:after="283"/>
              <w:jc w:val="center"/>
              <w:rPr/>
            </w:pPr>
            <w:r>
              <w:rPr/>
              <w:t>Diversified Consumer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33" w:type="dxa"/>
            <w:tcBorders/>
            <w:shd w:fill="CCEEFF" w:val="clear"/>
            <w:vAlign w:val="center"/>
          </w:tcPr>
          <w:p>
            <w:pPr>
              <w:pStyle w:val="TableContents"/>
              <w:spacing w:before="0" w:after="283"/>
              <w:jc w:val="center"/>
              <w:rPr/>
            </w:pPr>
            <w:r>
              <w:rPr/>
              <w:t>First Lien Secured Debt(4),</w:t>
              <w:br/>
              <w:t>3M L+525, 05/24/2027</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pPr>
            <w:r>
              <w:rPr/>
              <w:t> </w:t>
            </w:r>
          </w:p>
        </w:tc>
        <w:tc>
          <w:tcPr>
            <w:tcW w:w="1165" w:type="dxa"/>
            <w:tcBorders/>
            <w:shd w:fill="CCEEFF" w:val="clear"/>
            <w:vAlign w:val="center"/>
          </w:tcPr>
          <w:p>
            <w:pPr>
              <w:pStyle w:val="TableContents"/>
              <w:spacing w:before="0" w:after="283"/>
              <w:jc w:val="right"/>
              <w:rPr/>
            </w:pPr>
            <w:r>
              <w:rPr/>
              <w:t>8,841</w:t>
            </w:r>
          </w:p>
        </w:tc>
        <w:tc>
          <w:tcPr>
            <w:tcW w:w="79" w:type="dxa"/>
            <w:tcBorders/>
            <w:shd w:fill="CCEEFF" w:val="clear"/>
            <w:vAlign w:val="center"/>
          </w:tcPr>
          <w:p>
            <w:pPr>
              <w:pStyle w:val="TableContents"/>
              <w:spacing w:before="0" w:after="283"/>
              <w:rPr/>
            </w:pPr>
            <w:r>
              <w:rPr/>
              <w:t> </w:t>
            </w:r>
          </w:p>
        </w:tc>
      </w:tr>
      <w:tr>
        <w:trPr/>
        <w:tc>
          <w:tcPr>
            <w:tcW w:w="2144" w:type="dxa"/>
            <w:tcBorders/>
            <w:shd w:fill="auto" w:val="clear"/>
            <w:vAlign w:val="center"/>
          </w:tcPr>
          <w:p>
            <w:pPr>
              <w:pStyle w:val="TableContents"/>
              <w:spacing w:before="0" w:after="283"/>
              <w:rPr>
                <w:sz w:val="4"/>
                <w:szCs w:val="4"/>
              </w:rPr>
            </w:pPr>
            <w:r>
              <w:rPr>
                <w:sz w:val="4"/>
                <w:szCs w:val="4"/>
              </w:rPr>
            </w:r>
          </w:p>
        </w:tc>
        <w:tc>
          <w:tcPr>
            <w:tcW w:w="3000"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1793" w:type="dxa"/>
            <w:gridSpan w:val="2"/>
            <w:tcBorders/>
            <w:shd w:fill="auto" w:val="clear"/>
            <w:vAlign w:val="center"/>
          </w:tcPr>
          <w:p>
            <w:pPr>
              <w:pStyle w:val="TableContents"/>
              <w:spacing w:before="0" w:after="283"/>
              <w:rPr>
                <w:sz w:val="4"/>
                <w:szCs w:val="4"/>
              </w:rPr>
            </w:pPr>
            <w:r>
              <w:rPr>
                <w:sz w:val="4"/>
                <w:szCs w:val="4"/>
              </w:rPr>
            </w:r>
          </w:p>
        </w:tc>
        <w:tc>
          <w:tcPr>
            <w:tcW w:w="1605" w:type="dxa"/>
            <w:gridSpan w:val="4"/>
            <w:tcBorders/>
            <w:shd w:fill="auto" w:val="clear"/>
            <w:vAlign w:val="center"/>
          </w:tcPr>
          <w:p>
            <w:pPr>
              <w:pStyle w:val="TableContents"/>
              <w:spacing w:before="0" w:after="283"/>
              <w:rPr>
                <w:sz w:val="4"/>
                <w:szCs w:val="4"/>
              </w:rPr>
            </w:pPr>
            <w:r>
              <w:rPr>
                <w:sz w:val="4"/>
                <w:szCs w:val="4"/>
              </w:rPr>
            </w:r>
          </w:p>
        </w:tc>
        <w:tc>
          <w:tcPr>
            <w:tcW w:w="1543" w:type="dxa"/>
            <w:gridSpan w:val="4"/>
            <w:tcBorders/>
            <w:shd w:fill="auto" w:val="clear"/>
            <w:vAlign w:val="center"/>
          </w:tcPr>
          <w:p>
            <w:pPr>
              <w:pStyle w:val="TableContents"/>
              <w:spacing w:before="0" w:after="283"/>
              <w:rPr>
                <w:sz w:val="4"/>
                <w:szCs w:val="4"/>
              </w:rPr>
            </w:pPr>
            <w:r>
              <w:rPr>
                <w:sz w:val="4"/>
                <w:szCs w:val="4"/>
              </w:rPr>
            </w:r>
          </w:p>
        </w:tc>
      </w:tr>
      <w:tr>
        <w:trPr/>
        <w:tc>
          <w:tcPr>
            <w:tcW w:w="2144"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UniTek Global Services, Inc.</w:t>
            </w:r>
          </w:p>
          <w:p>
            <w:pPr>
              <w:pStyle w:val="TableContents"/>
              <w:spacing w:before="0" w:after="0"/>
              <w:rPr>
                <w:rFonts w:ascii="Times New Roman" w:hAnsi="Times New Roman"/>
                <w:sz w:val="16"/>
              </w:rPr>
            </w:pPr>
            <w:r>
              <w:rPr>
                <w:rFonts w:ascii="Times New Roman" w:hAnsi="Times New Roman"/>
                <w:sz w:val="16"/>
              </w:rPr>
              <w:t>1817 Crane Ridge Drive, Suite 500</w:t>
            </w:r>
          </w:p>
          <w:p>
            <w:pPr>
              <w:pStyle w:val="TableContents"/>
              <w:spacing w:before="0" w:after="20"/>
              <w:rPr>
                <w:rFonts w:ascii="Times New Roman" w:hAnsi="Times New Roman"/>
                <w:sz w:val="16"/>
              </w:rPr>
            </w:pPr>
            <w:r>
              <w:rPr>
                <w:rFonts w:ascii="Times New Roman" w:hAnsi="Times New Roman"/>
                <w:sz w:val="16"/>
              </w:rPr>
              <w:t>Jackson, MS 39216</w:t>
            </w:r>
          </w:p>
        </w:tc>
        <w:tc>
          <w:tcPr>
            <w:tcW w:w="60" w:type="dxa"/>
            <w:tcBorders/>
            <w:shd w:fill="auto" w:val="clear"/>
            <w:vAlign w:val="center"/>
          </w:tcPr>
          <w:p>
            <w:pPr>
              <w:pStyle w:val="TableContents"/>
              <w:spacing w:before="0" w:after="283"/>
              <w:rPr/>
            </w:pPr>
            <w:r>
              <w:rPr/>
              <w:t> </w:t>
            </w:r>
          </w:p>
        </w:tc>
        <w:tc>
          <w:tcPr>
            <w:tcW w:w="2940" w:type="dxa"/>
            <w:tcBorders/>
            <w:shd w:fill="auto" w:val="clear"/>
            <w:vAlign w:val="center"/>
          </w:tcPr>
          <w:p>
            <w:pPr>
              <w:pStyle w:val="TableContents"/>
              <w:spacing w:before="0" w:after="283"/>
              <w:jc w:val="center"/>
              <w:rPr/>
            </w:pPr>
            <w:r>
              <w:rPr/>
              <w:t>Telecommunications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33" w:type="dxa"/>
            <w:tcBorders/>
            <w:shd w:fill="auto" w:val="clear"/>
            <w:vAlign w:val="center"/>
          </w:tcPr>
          <w:p>
            <w:pPr>
              <w:pStyle w:val="TableContents"/>
              <w:spacing w:before="0" w:after="0"/>
              <w:jc w:val="center"/>
              <w:rPr>
                <w:rFonts w:ascii="Times New Roman" w:hAnsi="Times New Roman"/>
                <w:sz w:val="16"/>
              </w:rPr>
            </w:pPr>
            <w:r>
              <w:rPr>
                <w:rFonts w:ascii="Times New Roman" w:hAnsi="Times New Roman"/>
                <w:sz w:val="16"/>
              </w:rPr>
              <w:t>Preferred Equity</w:t>
              <w:br/>
              <w:t>Common Equity</w:t>
            </w:r>
          </w:p>
          <w:p>
            <w:pPr>
              <w:pStyle w:val="TableContents"/>
              <w:spacing w:before="0" w:after="20"/>
              <w:jc w:val="center"/>
              <w:rPr>
                <w:rFonts w:ascii="Times New Roman" w:hAnsi="Times New Roman"/>
                <w:sz w:val="16"/>
              </w:rPr>
            </w:pPr>
            <w:r>
              <w:rPr>
                <w:rFonts w:ascii="Times New Roman" w:hAnsi="Times New Roman"/>
                <w:sz w:val="16"/>
              </w:rPr>
              <w:t>Warrants</w:t>
            </w:r>
          </w:p>
        </w:tc>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jc w:val="right"/>
              <w:rPr/>
            </w:pPr>
            <w:r>
              <w:rPr/>
              <w:t>0.9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c>
          <w:tcPr>
            <w:tcW w:w="1165" w:type="dxa"/>
            <w:tcBorders/>
            <w:shd w:fill="auto" w:val="cle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1850"/>
        <w:gridCol w:w="60"/>
        <w:gridCol w:w="2611"/>
        <w:gridCol w:w="60"/>
        <w:gridCol w:w="60"/>
        <w:gridCol w:w="60"/>
        <w:gridCol w:w="2152"/>
        <w:gridCol w:w="60"/>
        <w:gridCol w:w="154"/>
        <w:gridCol w:w="1133"/>
        <w:gridCol w:w="457"/>
        <w:gridCol w:w="60"/>
        <w:gridCol w:w="176"/>
        <w:gridCol w:w="1234"/>
        <w:gridCol w:w="78"/>
      </w:tblGrid>
      <w:tr>
        <w:trPr/>
        <w:tc>
          <w:tcPr>
            <w:tcW w:w="18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w:t>
              <w:br/>
              <w:t>Address of Portfolio Company</w:t>
            </w:r>
          </w:p>
        </w:tc>
        <w:tc>
          <w:tcPr>
            <w:tcW w:w="60" w:type="dxa"/>
            <w:tcBorders/>
            <w:shd w:fill="auto" w:val="clear"/>
            <w:vAlign w:val="center"/>
          </w:tcPr>
          <w:p>
            <w:pPr>
              <w:pStyle w:val="TableContents"/>
              <w:spacing w:before="0" w:after="283"/>
              <w:rPr/>
            </w:pPr>
            <w:r>
              <w:rPr/>
              <w:t> </w:t>
            </w:r>
          </w:p>
        </w:tc>
        <w:tc>
          <w:tcPr>
            <w:tcW w:w="2611"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Nature of Business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2"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Type of Investment,</w:t>
            </w:r>
          </w:p>
          <w:p>
            <w:pPr>
              <w:pStyle w:val="TableContents"/>
              <w:spacing w:before="0" w:after="20"/>
              <w:jc w:val="center"/>
              <w:rPr>
                <w:rFonts w:ascii="Times New Roman" w:hAnsi="Times New Roman"/>
                <w:b/>
                <w:sz w:val="16"/>
              </w:rPr>
            </w:pPr>
            <w:r>
              <w:rPr>
                <w:rFonts w:ascii="Times New Roman" w:hAnsi="Times New Roman"/>
                <w:b/>
                <w:sz w:val="16"/>
              </w:rPr>
              <w:t>Interest(1), Maturity</w:t>
            </w:r>
          </w:p>
        </w:tc>
        <w:tc>
          <w:tcPr>
            <w:tcW w:w="60" w:type="dxa"/>
            <w:tcBorders/>
            <w:shd w:fill="auto" w:val="clear"/>
            <w:vAlign w:val="center"/>
          </w:tcPr>
          <w:p>
            <w:pPr>
              <w:pStyle w:val="TableContents"/>
              <w:spacing w:before="0" w:after="283"/>
              <w:rPr/>
            </w:pPr>
            <w:r>
              <w:rPr/>
              <w:t> </w:t>
            </w:r>
          </w:p>
        </w:tc>
        <w:tc>
          <w:tcPr>
            <w:tcW w:w="128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Voting</w:t>
              <w:br/>
              <w:t>Percentage</w:t>
              <w:br/>
              <w:t>Ownership(2)</w:t>
            </w:r>
          </w:p>
        </w:tc>
        <w:tc>
          <w:tcPr>
            <w:tcW w:w="45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Fair Value</w:t>
              <w:br/>
              <w:t>(in thousands)</w:t>
            </w:r>
          </w:p>
        </w:tc>
        <w:tc>
          <w:tcPr>
            <w:tcW w:w="78" w:type="dxa"/>
            <w:tcBorders/>
            <w:shd w:fill="auto"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UniVista Insurance (5)</w:t>
            </w:r>
          </w:p>
          <w:p>
            <w:pPr>
              <w:pStyle w:val="TableContents"/>
              <w:spacing w:before="0" w:after="0"/>
              <w:rPr>
                <w:rFonts w:ascii="Times New Roman" w:hAnsi="Times New Roman"/>
                <w:sz w:val="16"/>
              </w:rPr>
            </w:pPr>
            <w:r>
              <w:rPr>
                <w:rFonts w:ascii="Times New Roman" w:hAnsi="Times New Roman"/>
                <w:sz w:val="16"/>
              </w:rPr>
              <w:t>528 NW 7th Ave,</w:t>
            </w:r>
          </w:p>
          <w:p>
            <w:pPr>
              <w:pStyle w:val="TableContents"/>
              <w:spacing w:before="0" w:after="20"/>
              <w:rPr>
                <w:rFonts w:ascii="Times New Roman" w:hAnsi="Times New Roman"/>
                <w:sz w:val="16"/>
              </w:rPr>
            </w:pPr>
            <w:r>
              <w:rPr>
                <w:rFonts w:ascii="Times New Roman" w:hAnsi="Times New Roman"/>
                <w:sz w:val="16"/>
              </w:rPr>
              <w:t>Miami, FL 33136</w:t>
            </w:r>
          </w:p>
        </w:tc>
        <w:tc>
          <w:tcPr>
            <w:tcW w:w="60" w:type="dxa"/>
            <w:tcBorders/>
            <w:shd w:fill="CCEEFF" w:val="clear"/>
            <w:vAlign w:val="center"/>
          </w:tcPr>
          <w:p>
            <w:pPr>
              <w:pStyle w:val="TableContents"/>
              <w:spacing w:before="0" w:after="283"/>
              <w:rPr/>
            </w:pPr>
            <w:r>
              <w:rPr/>
              <w:t> </w:t>
            </w:r>
          </w:p>
        </w:tc>
        <w:tc>
          <w:tcPr>
            <w:tcW w:w="2611" w:type="dxa"/>
            <w:tcBorders/>
            <w:shd w:fill="CCEEFF" w:val="clear"/>
            <w:vAlign w:val="center"/>
          </w:tcPr>
          <w:p>
            <w:pPr>
              <w:pStyle w:val="TableContents"/>
              <w:spacing w:before="0" w:after="283"/>
              <w:jc w:val="center"/>
              <w:rPr/>
            </w:pPr>
            <w:r>
              <w:rPr/>
              <w:t>Insurance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52" w:type="dxa"/>
            <w:tcBorders/>
            <w:shd w:fill="CCEEFF" w:val="clear"/>
            <w:vAlign w:val="center"/>
          </w:tcPr>
          <w:p>
            <w:pPr>
              <w:pStyle w:val="TableContents"/>
              <w:spacing w:before="0" w:after="283"/>
              <w:jc w:val="center"/>
              <w:rPr/>
            </w:pPr>
            <w:r>
              <w:rPr/>
              <w:t>Common Equity</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133" w:type="dxa"/>
            <w:tcBorders/>
            <w:shd w:fill="CCEEFF" w:val="clear"/>
            <w:vAlign w:val="center"/>
          </w:tcPr>
          <w:p>
            <w:pPr>
              <w:pStyle w:val="TableContents"/>
              <w:spacing w:before="0" w:after="283"/>
              <w:jc w:val="right"/>
              <w:rPr/>
            </w:pPr>
            <w:r>
              <w:rPr/>
              <w:t>0.2</w:t>
            </w:r>
          </w:p>
        </w:tc>
        <w:tc>
          <w:tcPr>
            <w:tcW w:w="45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w:t>
            </w:r>
          </w:p>
        </w:tc>
        <w:tc>
          <w:tcPr>
            <w:tcW w:w="1234" w:type="dxa"/>
            <w:tcBorders/>
            <w:shd w:fill="CCEEFF" w:val="clear"/>
            <w:vAlign w:val="center"/>
          </w:tcPr>
          <w:p>
            <w:pPr>
              <w:pStyle w:val="TableContents"/>
              <w:spacing w:before="0" w:after="283"/>
              <w:jc w:val="right"/>
              <w:rPr/>
            </w:pPr>
            <w:r>
              <w:rPr/>
              <w:t>454</w:t>
            </w:r>
          </w:p>
        </w:tc>
        <w:tc>
          <w:tcPr>
            <w:tcW w:w="78" w:type="dxa"/>
            <w:tcBorders/>
            <w:shd w:fill="CCEEFF"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sz w:val="4"/>
                <w:szCs w:val="4"/>
              </w:rPr>
            </w:pPr>
            <w:r>
              <w:rPr>
                <w:sz w:val="4"/>
                <w:szCs w:val="4"/>
              </w:rPr>
            </w:r>
          </w:p>
        </w:tc>
        <w:tc>
          <w:tcPr>
            <w:tcW w:w="26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12" w:type="dxa"/>
            <w:gridSpan w:val="2"/>
            <w:tcBorders/>
            <w:shd w:fill="auto" w:val="clear"/>
            <w:vAlign w:val="center"/>
          </w:tcPr>
          <w:p>
            <w:pPr>
              <w:pStyle w:val="TableContents"/>
              <w:spacing w:before="0" w:after="283"/>
              <w:rPr>
                <w:sz w:val="4"/>
                <w:szCs w:val="4"/>
              </w:rPr>
            </w:pPr>
            <w:r>
              <w:rPr>
                <w:sz w:val="4"/>
                <w:szCs w:val="4"/>
              </w:rPr>
            </w:r>
          </w:p>
        </w:tc>
        <w:tc>
          <w:tcPr>
            <w:tcW w:w="180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Walker Edison Furniture Company LLC</w:t>
            </w:r>
          </w:p>
          <w:p>
            <w:pPr>
              <w:pStyle w:val="TableContents"/>
              <w:spacing w:before="0" w:after="0"/>
              <w:rPr>
                <w:rFonts w:ascii="Times New Roman" w:hAnsi="Times New Roman"/>
                <w:sz w:val="16"/>
              </w:rPr>
            </w:pPr>
            <w:r>
              <w:rPr>
                <w:rFonts w:ascii="Times New Roman" w:hAnsi="Times New Roman"/>
                <w:sz w:val="16"/>
              </w:rPr>
              <w:t>(JWC-WE Holdings, L.P. (5))</w:t>
            </w:r>
          </w:p>
          <w:p>
            <w:pPr>
              <w:pStyle w:val="TableContents"/>
              <w:spacing w:before="0" w:after="0"/>
              <w:rPr>
                <w:rFonts w:ascii="Times New Roman" w:hAnsi="Times New Roman"/>
                <w:sz w:val="16"/>
              </w:rPr>
            </w:pPr>
            <w:r>
              <w:rPr>
                <w:rFonts w:ascii="Times New Roman" w:hAnsi="Times New Roman"/>
                <w:sz w:val="16"/>
              </w:rPr>
              <w:t>4350 West 2100 South, Suite A</w:t>
            </w:r>
          </w:p>
          <w:p>
            <w:pPr>
              <w:pStyle w:val="TableContents"/>
              <w:spacing w:before="0" w:after="20"/>
              <w:rPr>
                <w:rFonts w:ascii="Times New Roman" w:hAnsi="Times New Roman"/>
                <w:sz w:val="16"/>
              </w:rPr>
            </w:pPr>
            <w:r>
              <w:rPr>
                <w:rFonts w:ascii="Times New Roman" w:hAnsi="Times New Roman"/>
                <w:sz w:val="16"/>
              </w:rPr>
              <w:t>Salt Lake City, UT 84120</w:t>
            </w:r>
          </w:p>
        </w:tc>
        <w:tc>
          <w:tcPr>
            <w:tcW w:w="60" w:type="dxa"/>
            <w:tcBorders/>
            <w:shd w:fill="auto" w:val="clear"/>
            <w:vAlign w:val="center"/>
          </w:tcPr>
          <w:p>
            <w:pPr>
              <w:pStyle w:val="TableContents"/>
              <w:spacing w:before="0" w:after="283"/>
              <w:rPr/>
            </w:pPr>
            <w:r>
              <w:rPr/>
              <w:t> </w:t>
            </w:r>
          </w:p>
        </w:tc>
        <w:tc>
          <w:tcPr>
            <w:tcW w:w="2611" w:type="dxa"/>
            <w:tcBorders/>
            <w:shd w:fill="auto" w:val="clear"/>
            <w:vAlign w:val="center"/>
          </w:tcPr>
          <w:p>
            <w:pPr>
              <w:pStyle w:val="TableContents"/>
              <w:spacing w:before="0" w:after="283"/>
              <w:jc w:val="center"/>
              <w:rPr/>
            </w:pPr>
            <w:r>
              <w:rPr/>
              <w:t>Wholesale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52" w:type="dxa"/>
            <w:tcBorders/>
            <w:shd w:fill="auto" w:val="clear"/>
            <w:vAlign w:val="center"/>
          </w:tcPr>
          <w:p>
            <w:pPr>
              <w:pStyle w:val="TableContents"/>
              <w:spacing w:before="0" w:after="283"/>
              <w:jc w:val="center"/>
              <w:rPr/>
            </w:pPr>
            <w:r>
              <w:rPr/>
              <w:t>First Lien Secured Debt,</w:t>
              <w:br/>
              <w:t>1M L+875, 03/31/2027</w:t>
              <w:br/>
              <w:t>Common Equity</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133" w:type="dxa"/>
            <w:tcBorders/>
            <w:shd w:fill="auto" w:val="clear"/>
            <w:vAlign w:val="center"/>
          </w:tcPr>
          <w:p>
            <w:pPr>
              <w:pStyle w:val="TableContents"/>
              <w:spacing w:before="0" w:after="283"/>
              <w:jc w:val="right"/>
              <w:rPr/>
            </w:pPr>
            <w:r>
              <w:rPr/>
              <w:t>3.2</w:t>
            </w:r>
          </w:p>
        </w:tc>
        <w:tc>
          <w:tcPr>
            <w:tcW w:w="45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4" w:type="dxa"/>
            <w:tcBorders/>
            <w:shd w:fill="auto" w:val="clear"/>
            <w:vAlign w:val="center"/>
          </w:tcPr>
          <w:p>
            <w:pPr>
              <w:pStyle w:val="TableContents"/>
              <w:spacing w:before="0" w:after="283"/>
              <w:jc w:val="right"/>
              <w:rPr/>
            </w:pPr>
            <w:r>
              <w:rPr/>
              <w:t>8,473</w:t>
            </w:r>
          </w:p>
        </w:tc>
        <w:tc>
          <w:tcPr>
            <w:tcW w:w="78" w:type="dxa"/>
            <w:tcBorders/>
            <w:shd w:fill="auto"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sz w:val="4"/>
                <w:szCs w:val="4"/>
              </w:rPr>
            </w:pPr>
            <w:r>
              <w:rPr>
                <w:sz w:val="4"/>
                <w:szCs w:val="4"/>
              </w:rPr>
            </w:r>
          </w:p>
        </w:tc>
        <w:tc>
          <w:tcPr>
            <w:tcW w:w="26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12" w:type="dxa"/>
            <w:gridSpan w:val="2"/>
            <w:tcBorders/>
            <w:shd w:fill="auto" w:val="clear"/>
            <w:vAlign w:val="center"/>
          </w:tcPr>
          <w:p>
            <w:pPr>
              <w:pStyle w:val="TableContents"/>
              <w:spacing w:before="0" w:after="283"/>
              <w:rPr>
                <w:sz w:val="4"/>
                <w:szCs w:val="4"/>
              </w:rPr>
            </w:pPr>
            <w:r>
              <w:rPr>
                <w:sz w:val="4"/>
                <w:szCs w:val="4"/>
              </w:rPr>
            </w:r>
          </w:p>
        </w:tc>
        <w:tc>
          <w:tcPr>
            <w:tcW w:w="180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850"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WCP IvyRehab QP CF Feeder, LP</w:t>
            </w:r>
          </w:p>
          <w:p>
            <w:pPr>
              <w:pStyle w:val="TableContents"/>
              <w:spacing w:before="0" w:after="0"/>
              <w:rPr>
                <w:rFonts w:ascii="Times New Roman" w:hAnsi="Times New Roman"/>
                <w:sz w:val="16"/>
              </w:rPr>
            </w:pPr>
            <w:r>
              <w:rPr>
                <w:rFonts w:ascii="Times New Roman" w:hAnsi="Times New Roman"/>
                <w:sz w:val="16"/>
              </w:rPr>
              <w:t>1311 Mamaroneck Avenue, Suite 140</w:t>
            </w:r>
          </w:p>
          <w:p>
            <w:pPr>
              <w:pStyle w:val="TableContents"/>
              <w:spacing w:before="0" w:after="20"/>
              <w:rPr>
                <w:rFonts w:ascii="Times New Roman" w:hAnsi="Times New Roman"/>
                <w:sz w:val="16"/>
              </w:rPr>
            </w:pPr>
            <w:r>
              <w:rPr>
                <w:rFonts w:ascii="Times New Roman" w:hAnsi="Times New Roman"/>
                <w:sz w:val="16"/>
              </w:rPr>
              <w:t>White Plains, NY 10605</w:t>
            </w:r>
          </w:p>
        </w:tc>
        <w:tc>
          <w:tcPr>
            <w:tcW w:w="60" w:type="dxa"/>
            <w:tcBorders/>
            <w:shd w:fill="CCEEFF" w:val="clear"/>
            <w:vAlign w:val="center"/>
          </w:tcPr>
          <w:p>
            <w:pPr>
              <w:pStyle w:val="TableContents"/>
              <w:spacing w:before="0" w:after="283"/>
              <w:rPr/>
            </w:pPr>
            <w:r>
              <w:rPr/>
              <w:t> </w:t>
            </w:r>
          </w:p>
        </w:tc>
        <w:tc>
          <w:tcPr>
            <w:tcW w:w="2611" w:type="dxa"/>
            <w:tcBorders/>
            <w:shd w:fill="CCEEFF" w:val="clear"/>
            <w:vAlign w:val="center"/>
          </w:tcPr>
          <w:p>
            <w:pPr>
              <w:pStyle w:val="TableContents"/>
              <w:spacing w:before="0" w:after="283"/>
              <w:jc w:val="center"/>
              <w:rPr/>
            </w:pPr>
            <w:r>
              <w:rPr/>
              <w:t>Healthcare Providers and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52" w:type="dxa"/>
            <w:tcBorders/>
            <w:shd w:fill="CCEEFF" w:val="clear"/>
            <w:vAlign w:val="center"/>
          </w:tcPr>
          <w:p>
            <w:pPr>
              <w:pStyle w:val="TableContents"/>
              <w:spacing w:before="0" w:after="283"/>
              <w:jc w:val="center"/>
              <w:rPr/>
            </w:pPr>
            <w:r>
              <w:rPr/>
              <w:t>Common Equity(4)</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133" w:type="dxa"/>
            <w:tcBorders/>
            <w:shd w:fill="CCEEFF" w:val="clear"/>
            <w:vAlign w:val="center"/>
          </w:tcPr>
          <w:p>
            <w:pPr>
              <w:pStyle w:val="TableContents"/>
              <w:spacing w:before="0" w:after="283"/>
              <w:jc w:val="right"/>
              <w:rPr/>
            </w:pPr>
            <w:r>
              <w:rPr/>
              <w:t>1.8</w:t>
            </w:r>
          </w:p>
        </w:tc>
        <w:tc>
          <w:tcPr>
            <w:tcW w:w="45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4" w:type="dxa"/>
            <w:tcBorders/>
            <w:shd w:fill="CCEEFF" w:val="clear"/>
            <w:vAlign w:val="center"/>
          </w:tcPr>
          <w:p>
            <w:pPr>
              <w:pStyle w:val="TableContents"/>
              <w:spacing w:before="0" w:after="283"/>
              <w:jc w:val="right"/>
              <w:rPr/>
            </w:pPr>
            <w:r>
              <w:rPr/>
              <w:t>3,762</w:t>
            </w:r>
          </w:p>
        </w:tc>
        <w:tc>
          <w:tcPr>
            <w:tcW w:w="78" w:type="dxa"/>
            <w:tcBorders/>
            <w:shd w:fill="CCEEFF"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sz w:val="4"/>
                <w:szCs w:val="4"/>
              </w:rPr>
            </w:pPr>
            <w:r>
              <w:rPr>
                <w:sz w:val="4"/>
                <w:szCs w:val="4"/>
              </w:rPr>
            </w:r>
          </w:p>
        </w:tc>
        <w:tc>
          <w:tcPr>
            <w:tcW w:w="26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12" w:type="dxa"/>
            <w:gridSpan w:val="2"/>
            <w:tcBorders/>
            <w:shd w:fill="auto" w:val="clear"/>
            <w:vAlign w:val="center"/>
          </w:tcPr>
          <w:p>
            <w:pPr>
              <w:pStyle w:val="TableContents"/>
              <w:spacing w:before="0" w:after="283"/>
              <w:rPr>
                <w:sz w:val="4"/>
                <w:szCs w:val="4"/>
              </w:rPr>
            </w:pPr>
            <w:r>
              <w:rPr>
                <w:sz w:val="4"/>
                <w:szCs w:val="4"/>
              </w:rPr>
            </w:r>
          </w:p>
        </w:tc>
        <w:tc>
          <w:tcPr>
            <w:tcW w:w="180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Wildcat Buyerco, Inc.</w:t>
            </w:r>
          </w:p>
          <w:p>
            <w:pPr>
              <w:pStyle w:val="TableContents"/>
              <w:spacing w:before="0" w:after="0"/>
              <w:rPr>
                <w:rFonts w:ascii="Times New Roman" w:hAnsi="Times New Roman"/>
                <w:sz w:val="16"/>
              </w:rPr>
            </w:pPr>
            <w:r>
              <w:rPr>
                <w:rFonts w:ascii="Times New Roman" w:hAnsi="Times New Roman"/>
                <w:sz w:val="16"/>
              </w:rPr>
              <w:t>(Wildcat Parent, LP(5))</w:t>
            </w:r>
          </w:p>
          <w:p>
            <w:pPr>
              <w:pStyle w:val="TableContents"/>
              <w:spacing w:before="0" w:after="0"/>
              <w:rPr>
                <w:rFonts w:ascii="Times New Roman" w:hAnsi="Times New Roman"/>
                <w:sz w:val="16"/>
              </w:rPr>
            </w:pPr>
            <w:r>
              <w:rPr>
                <w:rFonts w:ascii="Times New Roman" w:hAnsi="Times New Roman"/>
                <w:sz w:val="16"/>
              </w:rPr>
              <w:t>9730 Northcross Center Court</w:t>
            </w:r>
          </w:p>
          <w:p>
            <w:pPr>
              <w:pStyle w:val="TableContents"/>
              <w:spacing w:before="0" w:after="20"/>
              <w:rPr>
                <w:rFonts w:ascii="Times New Roman" w:hAnsi="Times New Roman"/>
                <w:sz w:val="16"/>
              </w:rPr>
            </w:pPr>
            <w:r>
              <w:rPr>
                <w:rFonts w:ascii="Times New Roman" w:hAnsi="Times New Roman"/>
                <w:sz w:val="16"/>
              </w:rPr>
              <w:t>Huntersville, NC 28078</w:t>
            </w:r>
          </w:p>
        </w:tc>
        <w:tc>
          <w:tcPr>
            <w:tcW w:w="60" w:type="dxa"/>
            <w:tcBorders/>
            <w:shd w:fill="auto" w:val="clear"/>
            <w:vAlign w:val="center"/>
          </w:tcPr>
          <w:p>
            <w:pPr>
              <w:pStyle w:val="TableContents"/>
              <w:spacing w:before="0" w:after="283"/>
              <w:rPr/>
            </w:pPr>
            <w:r>
              <w:rPr/>
              <w:t> </w:t>
            </w:r>
          </w:p>
        </w:tc>
        <w:tc>
          <w:tcPr>
            <w:tcW w:w="2611" w:type="dxa"/>
            <w:tcBorders/>
            <w:shd w:fill="auto" w:val="clear"/>
            <w:vAlign w:val="center"/>
          </w:tcPr>
          <w:p>
            <w:pPr>
              <w:pStyle w:val="TableContents"/>
              <w:spacing w:before="0" w:after="283"/>
              <w:jc w:val="center"/>
              <w:rPr/>
            </w:pPr>
            <w:r>
              <w:rPr/>
              <w:t>Electronic Equipment, Instruments and Components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52" w:type="dxa"/>
            <w:tcBorders/>
            <w:shd w:fill="auto" w:val="clear"/>
            <w:vAlign w:val="center"/>
          </w:tcPr>
          <w:p>
            <w:pPr>
              <w:pStyle w:val="TableContents"/>
              <w:spacing w:before="0" w:after="283"/>
              <w:jc w:val="center"/>
              <w:rPr/>
            </w:pPr>
            <w:r>
              <w:rPr/>
              <w:t>First Lien Secured Debt(4),</w:t>
              <w:br/>
              <w:t>3M L+575, 02/27/2026</w:t>
              <w:br/>
              <w:t>Common Equity</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133" w:type="dxa"/>
            <w:tcBorders/>
            <w:shd w:fill="auto" w:val="clear"/>
            <w:vAlign w:val="center"/>
          </w:tcPr>
          <w:p>
            <w:pPr>
              <w:pStyle w:val="TableContents"/>
              <w:spacing w:before="0" w:after="283"/>
              <w:jc w:val="right"/>
              <w:rPr/>
            </w:pPr>
            <w:r>
              <w:rPr/>
              <w:t>—</w:t>
            </w:r>
          </w:p>
        </w:tc>
        <w:tc>
          <w:tcPr>
            <w:tcW w:w="457"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4" w:type="dxa"/>
            <w:tcBorders/>
            <w:shd w:fill="auto" w:val="clear"/>
            <w:vAlign w:val="center"/>
          </w:tcPr>
          <w:p>
            <w:pPr>
              <w:pStyle w:val="TableContents"/>
              <w:spacing w:before="0" w:after="283"/>
              <w:jc w:val="right"/>
              <w:rPr/>
            </w:pPr>
            <w:r>
              <w:rPr/>
              <w:t>10,094</w:t>
            </w:r>
          </w:p>
        </w:tc>
        <w:tc>
          <w:tcPr>
            <w:tcW w:w="78" w:type="dxa"/>
            <w:tcBorders/>
            <w:shd w:fill="auto"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sz w:val="4"/>
                <w:szCs w:val="4"/>
              </w:rPr>
            </w:pPr>
            <w:r>
              <w:rPr>
                <w:sz w:val="4"/>
                <w:szCs w:val="4"/>
              </w:rPr>
            </w:r>
          </w:p>
        </w:tc>
        <w:tc>
          <w:tcPr>
            <w:tcW w:w="26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12" w:type="dxa"/>
            <w:gridSpan w:val="2"/>
            <w:tcBorders/>
            <w:shd w:fill="auto" w:val="clear"/>
            <w:vAlign w:val="center"/>
          </w:tcPr>
          <w:p>
            <w:pPr>
              <w:pStyle w:val="TableContents"/>
              <w:spacing w:before="0" w:after="283"/>
              <w:rPr>
                <w:sz w:val="4"/>
                <w:szCs w:val="4"/>
              </w:rPr>
            </w:pPr>
            <w:r>
              <w:rPr>
                <w:sz w:val="4"/>
                <w:szCs w:val="4"/>
              </w:rPr>
            </w:r>
          </w:p>
        </w:tc>
        <w:tc>
          <w:tcPr>
            <w:tcW w:w="180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850"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Zips Car Wash, LLC</w:t>
            </w:r>
          </w:p>
          <w:p>
            <w:pPr>
              <w:pStyle w:val="TableContents"/>
              <w:spacing w:before="0" w:after="0"/>
              <w:rPr>
                <w:rFonts w:ascii="Times New Roman" w:hAnsi="Times New Roman"/>
                <w:sz w:val="16"/>
              </w:rPr>
            </w:pPr>
            <w:r>
              <w:rPr>
                <w:rFonts w:ascii="Times New Roman" w:hAnsi="Times New Roman"/>
                <w:sz w:val="16"/>
              </w:rPr>
              <w:t>1809 East Parker Road</w:t>
            </w:r>
          </w:p>
          <w:p>
            <w:pPr>
              <w:pStyle w:val="TableContents"/>
              <w:spacing w:before="0" w:after="20"/>
              <w:rPr>
                <w:rFonts w:ascii="Times New Roman" w:hAnsi="Times New Roman"/>
                <w:sz w:val="16"/>
              </w:rPr>
            </w:pPr>
            <w:r>
              <w:rPr>
                <w:rFonts w:ascii="Times New Roman" w:hAnsi="Times New Roman"/>
                <w:sz w:val="16"/>
              </w:rPr>
              <w:t>Jonesboro, AR 72404</w:t>
            </w:r>
          </w:p>
        </w:tc>
        <w:tc>
          <w:tcPr>
            <w:tcW w:w="60" w:type="dxa"/>
            <w:tcBorders/>
            <w:shd w:fill="CCEEFF" w:val="clear"/>
            <w:vAlign w:val="center"/>
          </w:tcPr>
          <w:p>
            <w:pPr>
              <w:pStyle w:val="TableContents"/>
              <w:spacing w:before="0" w:after="283"/>
              <w:rPr/>
            </w:pPr>
            <w:r>
              <w:rPr/>
              <w:t> </w:t>
            </w:r>
          </w:p>
        </w:tc>
        <w:tc>
          <w:tcPr>
            <w:tcW w:w="2611" w:type="dxa"/>
            <w:tcBorders/>
            <w:shd w:fill="CCEEFF" w:val="clear"/>
            <w:vAlign w:val="center"/>
          </w:tcPr>
          <w:p>
            <w:pPr>
              <w:pStyle w:val="TableContents"/>
              <w:spacing w:before="0" w:after="283"/>
              <w:jc w:val="center"/>
              <w:rPr/>
            </w:pPr>
            <w:r>
              <w:rPr/>
              <w:t>Automobiles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52" w:type="dxa"/>
            <w:tcBorders/>
            <w:shd w:fill="CCEEFF" w:val="clear"/>
            <w:vAlign w:val="center"/>
          </w:tcPr>
          <w:p>
            <w:pPr>
              <w:pStyle w:val="TableContents"/>
              <w:spacing w:before="0" w:after="283"/>
              <w:jc w:val="center"/>
              <w:rPr/>
            </w:pPr>
            <w:r>
              <w:rPr/>
              <w:t>First Lien Secured Debt,</w:t>
              <w:br/>
              <w:t>3M L+725, 03/01/2024</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133" w:type="dxa"/>
            <w:tcBorders/>
            <w:shd w:fill="CCEEFF" w:val="clear"/>
            <w:vAlign w:val="center"/>
          </w:tcPr>
          <w:p>
            <w:pPr>
              <w:pStyle w:val="TableContents"/>
              <w:spacing w:before="0" w:after="283"/>
              <w:jc w:val="right"/>
              <w:rPr/>
            </w:pPr>
            <w:r>
              <w:rPr/>
              <w:t>—  </w:t>
            </w:r>
          </w:p>
        </w:tc>
        <w:tc>
          <w:tcPr>
            <w:tcW w:w="45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4" w:type="dxa"/>
            <w:tcBorders/>
            <w:shd w:fill="CCEEFF" w:val="clear"/>
            <w:vAlign w:val="center"/>
          </w:tcPr>
          <w:p>
            <w:pPr>
              <w:pStyle w:val="TableContents"/>
              <w:spacing w:before="0" w:after="283"/>
              <w:jc w:val="right"/>
              <w:rPr/>
            </w:pPr>
            <w:r>
              <w:rPr/>
              <w:t>13,092</w:t>
            </w:r>
          </w:p>
        </w:tc>
        <w:tc>
          <w:tcPr>
            <w:tcW w:w="78" w:type="dxa"/>
            <w:tcBorders/>
            <w:shd w:fill="CCEEFF"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sz w:val="4"/>
                <w:szCs w:val="4"/>
              </w:rPr>
            </w:pPr>
            <w:r>
              <w:rPr>
                <w:sz w:val="4"/>
                <w:szCs w:val="4"/>
              </w:rPr>
            </w:r>
          </w:p>
        </w:tc>
        <w:tc>
          <w:tcPr>
            <w:tcW w:w="26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12" w:type="dxa"/>
            <w:gridSpan w:val="2"/>
            <w:tcBorders/>
            <w:shd w:fill="auto" w:val="clear"/>
            <w:vAlign w:val="center"/>
          </w:tcPr>
          <w:p>
            <w:pPr>
              <w:pStyle w:val="TableContents"/>
              <w:spacing w:before="0" w:after="283"/>
              <w:rPr>
                <w:sz w:val="4"/>
                <w:szCs w:val="4"/>
              </w:rPr>
            </w:pPr>
            <w:r>
              <w:rPr>
                <w:sz w:val="4"/>
                <w:szCs w:val="4"/>
              </w:rPr>
            </w:r>
          </w:p>
        </w:tc>
        <w:tc>
          <w:tcPr>
            <w:tcW w:w="180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Companies 25% or More Owned</w:t>
            </w:r>
          </w:p>
        </w:tc>
        <w:tc>
          <w:tcPr>
            <w:tcW w:w="60" w:type="dxa"/>
            <w:tcBorders/>
            <w:shd w:fill="auto" w:val="clear"/>
            <w:vAlign w:val="center"/>
          </w:tcPr>
          <w:p>
            <w:pPr>
              <w:pStyle w:val="TableContents"/>
              <w:spacing w:before="0" w:after="283"/>
              <w:rPr/>
            </w:pPr>
            <w:r>
              <w:rPr/>
              <w:t> </w:t>
            </w:r>
          </w:p>
        </w:tc>
        <w:tc>
          <w:tcPr>
            <w:tcW w:w="26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Marketplace Events, LLC</w:t>
            </w:r>
          </w:p>
          <w:p>
            <w:pPr>
              <w:pStyle w:val="TableContents"/>
              <w:spacing w:before="0" w:after="0"/>
              <w:rPr>
                <w:rFonts w:ascii="Times New Roman" w:hAnsi="Times New Roman"/>
                <w:sz w:val="16"/>
              </w:rPr>
            </w:pPr>
            <w:r>
              <w:rPr>
                <w:rFonts w:ascii="Times New Roman" w:hAnsi="Times New Roman"/>
                <w:sz w:val="16"/>
              </w:rPr>
              <w:t>(New MPE Holdings, LLC(5))</w:t>
            </w:r>
          </w:p>
          <w:p>
            <w:pPr>
              <w:pStyle w:val="TableContents"/>
              <w:spacing w:before="0" w:after="0"/>
              <w:rPr>
                <w:rFonts w:ascii="Times New Roman" w:hAnsi="Times New Roman"/>
                <w:sz w:val="16"/>
              </w:rPr>
            </w:pPr>
            <w:r>
              <w:rPr>
                <w:rFonts w:ascii="Times New Roman" w:hAnsi="Times New Roman"/>
                <w:sz w:val="16"/>
              </w:rPr>
              <w:t>31105 Bainbridge Road, Suite 3</w:t>
            </w:r>
          </w:p>
          <w:p>
            <w:pPr>
              <w:pStyle w:val="TableContents"/>
              <w:spacing w:before="0" w:after="20"/>
              <w:rPr>
                <w:rFonts w:ascii="Times New Roman" w:hAnsi="Times New Roman"/>
                <w:sz w:val="16"/>
              </w:rPr>
            </w:pPr>
            <w:r>
              <w:rPr>
                <w:rFonts w:ascii="Times New Roman" w:hAnsi="Times New Roman"/>
                <w:sz w:val="16"/>
              </w:rPr>
              <w:t>Solon, OH 44139</w:t>
            </w:r>
          </w:p>
        </w:tc>
        <w:tc>
          <w:tcPr>
            <w:tcW w:w="60" w:type="dxa"/>
            <w:tcBorders/>
            <w:shd w:fill="CCEEFF" w:val="clear"/>
            <w:vAlign w:val="center"/>
          </w:tcPr>
          <w:p>
            <w:pPr>
              <w:pStyle w:val="TableContents"/>
              <w:spacing w:before="0" w:after="283"/>
              <w:rPr/>
            </w:pPr>
            <w:r>
              <w:rPr/>
              <w:t> </w:t>
            </w:r>
          </w:p>
        </w:tc>
        <w:tc>
          <w:tcPr>
            <w:tcW w:w="2611" w:type="dxa"/>
            <w:tcBorders/>
            <w:shd w:fill="CCEEFF" w:val="clear"/>
            <w:vAlign w:val="center"/>
          </w:tcPr>
          <w:p>
            <w:pPr>
              <w:pStyle w:val="TableContents"/>
              <w:spacing w:before="0" w:after="283"/>
              <w:jc w:val="center"/>
              <w:rPr/>
            </w:pPr>
            <w:r>
              <w:rPr/>
              <w:t>Media: Diversified and Production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52" w:type="dxa"/>
            <w:tcBorders/>
            <w:shd w:fill="CCEEFF" w:val="clear"/>
            <w:vAlign w:val="center"/>
          </w:tcPr>
          <w:p>
            <w:pPr>
              <w:pStyle w:val="TableContents"/>
              <w:spacing w:before="0" w:after="283"/>
              <w:jc w:val="center"/>
              <w:rPr/>
            </w:pPr>
            <w:r>
              <w:rPr/>
              <w:t>First Lien Secured Debt(4),</w:t>
              <w:br/>
              <w:t>3M L+525 (PIK 5.25%), 09/30/2026</w:t>
              <w:br/>
              <w:t>Common Equity</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133" w:type="dxa"/>
            <w:tcBorders/>
            <w:shd w:fill="CCEEFF" w:val="clear"/>
            <w:vAlign w:val="center"/>
          </w:tcPr>
          <w:p>
            <w:pPr>
              <w:pStyle w:val="TableContents"/>
              <w:spacing w:before="0" w:after="283"/>
              <w:jc w:val="right"/>
              <w:rPr/>
            </w:pPr>
            <w:r>
              <w:rPr/>
              <w:t>32.6</w:t>
            </w:r>
          </w:p>
        </w:tc>
        <w:tc>
          <w:tcPr>
            <w:tcW w:w="457"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1234" w:type="dxa"/>
            <w:tcBorders/>
            <w:shd w:fill="CCEEFF" w:val="clear"/>
            <w:vAlign w:val="center"/>
          </w:tcPr>
          <w:p>
            <w:pPr>
              <w:pStyle w:val="TableContents"/>
              <w:spacing w:before="0" w:after="283"/>
              <w:jc w:val="right"/>
              <w:rPr/>
            </w:pPr>
            <w:r>
              <w:rPr/>
              <w:t>31,389</w:t>
            </w:r>
          </w:p>
        </w:tc>
        <w:tc>
          <w:tcPr>
            <w:tcW w:w="78" w:type="dxa"/>
            <w:tcBorders/>
            <w:shd w:fill="CCEEFF"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sz w:val="4"/>
                <w:szCs w:val="4"/>
              </w:rPr>
            </w:pPr>
            <w:r>
              <w:rPr>
                <w:sz w:val="4"/>
                <w:szCs w:val="4"/>
              </w:rPr>
            </w:r>
          </w:p>
        </w:tc>
        <w:tc>
          <w:tcPr>
            <w:tcW w:w="2671" w:type="dxa"/>
            <w:gridSpan w:val="2"/>
            <w:tcBorders/>
            <w:shd w:fill="auto" w:val="clear"/>
            <w:vAlign w:val="center"/>
          </w:tcPr>
          <w:p>
            <w:pPr>
              <w:pStyle w:val="TableContents"/>
              <w:spacing w:before="0" w:after="283"/>
              <w:rPr>
                <w:sz w:val="4"/>
                <w:szCs w:val="4"/>
              </w:rPr>
            </w:pPr>
            <w:r>
              <w:rPr>
                <w:sz w:val="4"/>
                <w:szCs w:val="4"/>
              </w:rPr>
            </w:r>
          </w:p>
        </w:tc>
        <w:tc>
          <w:tcPr>
            <w:tcW w:w="120" w:type="dxa"/>
            <w:gridSpan w:val="2"/>
            <w:tcBorders/>
            <w:shd w:fill="auto" w:val="clear"/>
            <w:vAlign w:val="center"/>
          </w:tcPr>
          <w:p>
            <w:pPr>
              <w:pStyle w:val="TableContents"/>
              <w:spacing w:before="0" w:after="283"/>
              <w:rPr>
                <w:sz w:val="4"/>
                <w:szCs w:val="4"/>
              </w:rPr>
            </w:pPr>
            <w:r>
              <w:rPr>
                <w:sz w:val="4"/>
                <w:szCs w:val="4"/>
              </w:rPr>
            </w:r>
          </w:p>
        </w:tc>
        <w:tc>
          <w:tcPr>
            <w:tcW w:w="2212" w:type="dxa"/>
            <w:gridSpan w:val="2"/>
            <w:tcBorders/>
            <w:shd w:fill="auto" w:val="clear"/>
            <w:vAlign w:val="center"/>
          </w:tcPr>
          <w:p>
            <w:pPr>
              <w:pStyle w:val="TableContents"/>
              <w:spacing w:before="0" w:after="283"/>
              <w:rPr>
                <w:sz w:val="4"/>
                <w:szCs w:val="4"/>
              </w:rPr>
            </w:pPr>
            <w:r>
              <w:rPr>
                <w:sz w:val="4"/>
                <w:szCs w:val="4"/>
              </w:rPr>
            </w:r>
          </w:p>
        </w:tc>
        <w:tc>
          <w:tcPr>
            <w:tcW w:w="1804" w:type="dxa"/>
            <w:gridSpan w:val="4"/>
            <w:tcBorders/>
            <w:shd w:fill="auto" w:val="clear"/>
            <w:vAlign w:val="center"/>
          </w:tcPr>
          <w:p>
            <w:pPr>
              <w:pStyle w:val="TableContents"/>
              <w:spacing w:before="0" w:after="283"/>
              <w:rPr>
                <w:sz w:val="4"/>
                <w:szCs w:val="4"/>
              </w:rPr>
            </w:pPr>
            <w:r>
              <w:rPr>
                <w:sz w:val="4"/>
                <w:szCs w:val="4"/>
              </w:rPr>
            </w:r>
          </w:p>
        </w:tc>
        <w:tc>
          <w:tcPr>
            <w:tcW w:w="1548" w:type="dxa"/>
            <w:gridSpan w:val="4"/>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PennantPark Senior Secured Loan Fund I, LLC(6)</w:t>
            </w:r>
          </w:p>
          <w:p>
            <w:pPr>
              <w:pStyle w:val="TableContents"/>
              <w:spacing w:before="0" w:after="0"/>
              <w:rPr>
                <w:rFonts w:ascii="Times New Roman" w:hAnsi="Times New Roman"/>
                <w:sz w:val="16"/>
              </w:rPr>
            </w:pPr>
            <w:r>
              <w:rPr>
                <w:rFonts w:ascii="Times New Roman" w:hAnsi="Times New Roman"/>
                <w:sz w:val="16"/>
              </w:rPr>
              <w:t>1691 Michigan Avenue</w:t>
            </w:r>
          </w:p>
          <w:p>
            <w:pPr>
              <w:pStyle w:val="TableContents"/>
              <w:spacing w:before="0" w:after="20"/>
              <w:rPr>
                <w:rFonts w:ascii="Times New Roman" w:hAnsi="Times New Roman"/>
                <w:sz w:val="16"/>
              </w:rPr>
            </w:pPr>
            <w:r>
              <w:rPr>
                <w:rFonts w:ascii="Times New Roman" w:hAnsi="Times New Roman"/>
                <w:sz w:val="16"/>
              </w:rPr>
              <w:t>Miami, FL 33139</w:t>
            </w:r>
          </w:p>
        </w:tc>
        <w:tc>
          <w:tcPr>
            <w:tcW w:w="60" w:type="dxa"/>
            <w:tcBorders/>
            <w:shd w:fill="auto" w:val="clear"/>
            <w:vAlign w:val="center"/>
          </w:tcPr>
          <w:p>
            <w:pPr>
              <w:pStyle w:val="TableContents"/>
              <w:spacing w:before="0" w:after="283"/>
              <w:rPr/>
            </w:pPr>
            <w:r>
              <w:rPr/>
              <w:t> </w:t>
            </w:r>
          </w:p>
        </w:tc>
        <w:tc>
          <w:tcPr>
            <w:tcW w:w="2611" w:type="dxa"/>
            <w:tcBorders/>
            <w:shd w:fill="auto" w:val="clear"/>
            <w:vAlign w:val="center"/>
          </w:tcPr>
          <w:p>
            <w:pPr>
              <w:pStyle w:val="TableContents"/>
              <w:spacing w:before="0" w:after="283"/>
              <w:jc w:val="center"/>
              <w:rPr/>
            </w:pPr>
            <w:r>
              <w:rPr/>
              <w:t>Financial Services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52" w:type="dxa"/>
            <w:tcBorders/>
            <w:shd w:fill="auto" w:val="clear"/>
            <w:vAlign w:val="center"/>
          </w:tcPr>
          <w:p>
            <w:pPr>
              <w:pStyle w:val="TableContents"/>
              <w:spacing w:before="0" w:after="283"/>
              <w:jc w:val="center"/>
              <w:rPr/>
            </w:pPr>
            <w:r>
              <w:rPr/>
              <w:t>First Lien Secured Debt,</w:t>
              <w:br/>
              <w:t>3M L+800, 05/06/2024</w:t>
              <w:br/>
              <w:t>Common Equity</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133" w:type="dxa"/>
            <w:tcBorders/>
            <w:shd w:fill="auto" w:val="clear"/>
            <w:vAlign w:val="center"/>
          </w:tcPr>
          <w:p>
            <w:pPr>
              <w:pStyle w:val="TableContents"/>
              <w:spacing w:before="0" w:after="283"/>
              <w:jc w:val="right"/>
              <w:rPr/>
            </w:pPr>
            <w:r>
              <w:rPr/>
              <w:t>50.0</w:t>
            </w:r>
          </w:p>
        </w:tc>
        <w:tc>
          <w:tcPr>
            <w:tcW w:w="457"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234" w:type="dxa"/>
            <w:tcBorders/>
            <w:shd w:fill="auto" w:val="clear"/>
            <w:vAlign w:val="center"/>
          </w:tcPr>
          <w:p>
            <w:pPr>
              <w:pStyle w:val="TableContents"/>
              <w:spacing w:before="0" w:after="283"/>
              <w:jc w:val="right"/>
              <w:rPr/>
            </w:pPr>
            <w:r>
              <w:rPr/>
              <w:t>239,615</w:t>
            </w:r>
          </w:p>
        </w:tc>
        <w:tc>
          <w:tcPr>
            <w:tcW w:w="78" w:type="dxa"/>
            <w:tcBorders/>
            <w:shd w:fill="auto"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pBdr>
                <w:top w:val="single" w:sz="2" w:space="1" w:color="000000"/>
              </w:pBdr>
              <w:spacing w:before="0" w:after="0"/>
              <w:rPr/>
            </w:pPr>
            <w:r>
              <w:rPr/>
              <w:t> </w:t>
            </w:r>
          </w:p>
        </w:tc>
        <w:tc>
          <w:tcPr>
            <w:tcW w:w="1234" w:type="dxa"/>
            <w:tcBorders/>
            <w:shd w:fill="auto" w:val="clear"/>
            <w:vAlign w:val="center"/>
          </w:tcPr>
          <w:p>
            <w:pPr>
              <w:pStyle w:val="TableContents"/>
              <w:pBdr>
                <w:top w:val="single" w:sz="2" w:space="1" w:color="000000"/>
              </w:pBdr>
              <w:spacing w:before="0" w:after="0"/>
              <w:rPr/>
            </w:pPr>
            <w:r>
              <w:rPr/>
              <w:t> </w:t>
            </w:r>
          </w:p>
        </w:tc>
        <w:tc>
          <w:tcPr>
            <w:tcW w:w="78" w:type="dxa"/>
            <w:tcBorders/>
            <w:shd w:fill="auto"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Total Investments</w:t>
            </w:r>
          </w:p>
        </w:tc>
        <w:tc>
          <w:tcPr>
            <w:tcW w:w="60" w:type="dxa"/>
            <w:tcBorders/>
            <w:shd w:fill="CCEEFF" w:val="clear"/>
            <w:vAlign w:val="center"/>
          </w:tcPr>
          <w:p>
            <w:pPr>
              <w:pStyle w:val="TableContents"/>
              <w:spacing w:before="0" w:after="283"/>
              <w:rPr/>
            </w:pPr>
            <w:r>
              <w:rPr/>
              <w:t> </w:t>
            </w:r>
          </w:p>
        </w:tc>
        <w:tc>
          <w:tcPr>
            <w:tcW w:w="261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21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sz w:val="4"/>
                <w:szCs w:val="4"/>
              </w:rPr>
            </w:pPr>
            <w:r>
              <w:rPr>
                <w:sz w:val="4"/>
                <w:szCs w:val="4"/>
              </w:rPr>
            </w:r>
          </w:p>
        </w:tc>
        <w:tc>
          <w:tcPr>
            <w:tcW w:w="1133" w:type="dxa"/>
            <w:tcBorders/>
            <w:shd w:fill="CCEEFF" w:val="clear"/>
            <w:vAlign w:val="center"/>
          </w:tcPr>
          <w:p>
            <w:pPr>
              <w:pStyle w:val="TableContents"/>
              <w:spacing w:before="0" w:after="283"/>
              <w:rPr>
                <w:sz w:val="4"/>
                <w:szCs w:val="4"/>
              </w:rPr>
            </w:pPr>
            <w:r>
              <w:rPr>
                <w:sz w:val="4"/>
                <w:szCs w:val="4"/>
              </w:rPr>
            </w:r>
          </w:p>
        </w:tc>
        <w:tc>
          <w:tcPr>
            <w:tcW w:w="45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w:t>
            </w:r>
          </w:p>
        </w:tc>
        <w:tc>
          <w:tcPr>
            <w:tcW w:w="1234" w:type="dxa"/>
            <w:tcBorders/>
            <w:shd w:fill="CCEEFF" w:val="clear"/>
            <w:vAlign w:val="center"/>
          </w:tcPr>
          <w:p>
            <w:pPr>
              <w:pStyle w:val="TableContents"/>
              <w:spacing w:before="0" w:after="283"/>
              <w:jc w:val="right"/>
              <w:rPr/>
            </w:pPr>
            <w:r>
              <w:rPr/>
              <w:t>1,164,254</w:t>
            </w:r>
          </w:p>
        </w:tc>
        <w:tc>
          <w:tcPr>
            <w:tcW w:w="78" w:type="dxa"/>
            <w:tcBorders/>
            <w:shd w:fill="CCEEFF"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pBdr>
                <w:top w:val="double" w:sz="6" w:space="1" w:color="000000"/>
              </w:pBdr>
              <w:spacing w:before="0" w:after="0"/>
              <w:rPr/>
            </w:pPr>
            <w:r>
              <w:rPr/>
              <w:t> </w:t>
            </w:r>
          </w:p>
        </w:tc>
        <w:tc>
          <w:tcPr>
            <w:tcW w:w="1234" w:type="dxa"/>
            <w:tcBorders/>
            <w:shd w:fill="auto" w:val="clear"/>
            <w:vAlign w:val="center"/>
          </w:tcPr>
          <w:p>
            <w:pPr>
              <w:pStyle w:val="TableContents"/>
              <w:pBdr>
                <w:top w:val="double" w:sz="6" w:space="1" w:color="000000"/>
              </w:pBdr>
              <w:spacing w:before="0" w:after="0"/>
              <w:rPr/>
            </w:pPr>
            <w:r>
              <w:rPr/>
              <w:t> </w:t>
            </w:r>
          </w:p>
        </w:tc>
        <w:tc>
          <w:tcPr>
            <w:tcW w:w="78"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(1)</w:t>
            </w:r>
          </w:p>
        </w:tc>
        <w:tc>
          <w:tcPr>
            <w:tcW w:w="9965" w:type="dxa"/>
            <w:tcBorders/>
            <w:shd w:fill="auto" w:val="clear"/>
            <w:vAlign w:val="center"/>
          </w:tcPr>
          <w:p>
            <w:pPr>
              <w:pStyle w:val="TableContents"/>
              <w:spacing w:before="0" w:after="0"/>
              <w:jc w:val="left"/>
              <w:rPr>
                <w:rFonts w:ascii="Times New Roman" w:hAnsi="Times New Roman"/>
                <w:sz w:val="16"/>
              </w:rPr>
            </w:pPr>
            <w:r>
              <w:rPr>
                <w:rFonts w:ascii="Times New Roman" w:hAnsi="Times New Roman"/>
                <w:sz w:val="16"/>
              </w:rPr>
              <w:t xml:space="preserve">Represents floating rate instruments that accrue interest at a predetermined spread relative to an index, typically the applicable London Interbank Offered Rate, or LIBOR or “L,” the Euro Interbank Offered Rate, or EURIBOR or “E,” , or Secured Overnight Financing Rate, or “SOFR”, or Prime rate, or “P.” The spread may change based on the type of rate used. The terms disclosed are the actual interest rate in effect as 09/30/2022. LIBOR loans are typically indexed to a 30-day, 90-day or 180-day LIBOR rate (1M L, 3M L, or 6M L, respectively), and EURIBOR loans are typically indexed to a 90-day EURIBOR rate (3M E), SOFR loans are typically indexed to a 30-day, 90-day or 180-day SOFR rates (1M L, 3M L, or 6M L, respectively) at the borrower’s option. All securities are subject to a LIBOR, SOFR or Prime rate floor where a spread is provided, unless noted. The spread provided includes PIK interest and other fee rates, if any. </w:t>
            </w:r>
          </w:p>
        </w:tc>
      </w:tr>
    </w:tbl>
    <w:tbl>
      <w:tblPr>
        <w:tblW w:w="9715" w:type="dxa"/>
        <w:jc w:val="left"/>
        <w:tblInd w:w="0" w:type="dxa"/>
        <w:tblCellMar>
          <w:top w:w="0" w:type="dxa"/>
          <w:left w:w="0" w:type="dxa"/>
          <w:bottom w:w="0" w:type="dxa"/>
          <w:right w:w="0" w:type="dxa"/>
        </w:tblCellMar>
      </w:tblPr>
      <w:tblGrid>
        <w:gridCol w:w="305"/>
        <w:gridCol w:w="9410"/>
      </w:tblGrid>
      <w:tr>
        <w:trPr/>
        <w:tc>
          <w:tcPr>
            <w:tcW w:w="305" w:type="dxa"/>
            <w:tcBorders/>
            <w:shd w:fill="auto" w:val="clear"/>
            <w:vAlign w:val="center"/>
          </w:tcPr>
          <w:p>
            <w:pPr>
              <w:pStyle w:val="TableContents"/>
              <w:spacing w:before="0" w:after="283"/>
              <w:jc w:val="left"/>
              <w:rPr/>
            </w:pPr>
            <w:r>
              <w:rPr/>
              <w:t>(2)</w:t>
            </w:r>
          </w:p>
        </w:tc>
        <w:tc>
          <w:tcPr>
            <w:tcW w:w="9410" w:type="dxa"/>
            <w:tcBorders/>
            <w:shd w:fill="auto" w:val="clear"/>
            <w:vAlign w:val="center"/>
          </w:tcPr>
          <w:p>
            <w:pPr>
              <w:pStyle w:val="TableContents"/>
              <w:spacing w:before="0" w:after="0"/>
              <w:jc w:val="left"/>
              <w:rPr>
                <w:rFonts w:ascii="Times New Roman" w:hAnsi="Times New Roman"/>
                <w:sz w:val="16"/>
              </w:rPr>
            </w:pPr>
            <w:r>
              <w:rPr>
                <w:rFonts w:ascii="Times New Roman" w:hAnsi="Times New Roman"/>
                <w:sz w:val="16"/>
              </w:rPr>
              <w:t xml:space="preserve">Voting ownership percentage refers only to common equity, preferred equity and warrants held, if any, were we to have voting rights. </w:t>
            </w:r>
          </w:p>
        </w:tc>
      </w:tr>
    </w:tbl>
    <w:tbl>
      <w:tblPr>
        <w:tblW w:w="6715" w:type="dxa"/>
        <w:jc w:val="left"/>
        <w:tblInd w:w="0" w:type="dxa"/>
        <w:tblCellMar>
          <w:top w:w="0" w:type="dxa"/>
          <w:left w:w="0" w:type="dxa"/>
          <w:bottom w:w="0" w:type="dxa"/>
          <w:right w:w="0" w:type="dxa"/>
        </w:tblCellMar>
      </w:tblPr>
      <w:tblGrid>
        <w:gridCol w:w="305"/>
        <w:gridCol w:w="6410"/>
      </w:tblGrid>
      <w:tr>
        <w:trPr/>
        <w:tc>
          <w:tcPr>
            <w:tcW w:w="305" w:type="dxa"/>
            <w:tcBorders/>
            <w:shd w:fill="auto" w:val="clear"/>
            <w:vAlign w:val="center"/>
          </w:tcPr>
          <w:p>
            <w:pPr>
              <w:pStyle w:val="TableContents"/>
              <w:spacing w:before="0" w:after="283"/>
              <w:jc w:val="left"/>
              <w:rPr/>
            </w:pPr>
            <w:r>
              <w:rPr/>
              <w:t>(3)</w:t>
            </w:r>
          </w:p>
        </w:tc>
        <w:tc>
          <w:tcPr>
            <w:tcW w:w="6410" w:type="dxa"/>
            <w:tcBorders/>
            <w:shd w:fill="auto" w:val="clear"/>
            <w:vAlign w:val="center"/>
          </w:tcPr>
          <w:p>
            <w:pPr>
              <w:pStyle w:val="TableContents"/>
              <w:spacing w:before="0" w:after="0"/>
              <w:jc w:val="left"/>
              <w:rPr>
                <w:rFonts w:ascii="Times New Roman" w:hAnsi="Times New Roman"/>
                <w:sz w:val="16"/>
              </w:rPr>
            </w:pPr>
            <w:r>
              <w:rPr>
                <w:rFonts w:ascii="Times New Roman" w:hAnsi="Times New Roman"/>
                <w:sz w:val="16"/>
              </w:rPr>
              <w:t xml:space="preserve">We hold one or more voting seats on the portfolio company’s board of directors/managers. </w:t>
            </w:r>
          </w:p>
        </w:tc>
      </w:tr>
    </w:tbl>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pPr>
            <w:r>
              <w:rPr/>
              <w:t>(4)</w:t>
            </w:r>
          </w:p>
        </w:tc>
        <w:tc>
          <w:tcPr>
            <w:tcW w:w="9925" w:type="dxa"/>
            <w:tcBorders/>
            <w:shd w:fill="auto" w:val="clear"/>
            <w:vAlign w:val="center"/>
          </w:tcPr>
          <w:p>
            <w:pPr>
              <w:pStyle w:val="TableContents"/>
              <w:spacing w:before="0" w:after="0"/>
              <w:jc w:val="left"/>
              <w:rPr>
                <w:rFonts w:ascii="Times New Roman" w:hAnsi="Times New Roman"/>
                <w:sz w:val="16"/>
              </w:rPr>
            </w:pPr>
            <w:r>
              <w:rPr>
                <w:rFonts w:ascii="Times New Roman" w:hAnsi="Times New Roman"/>
                <w:sz w:val="16"/>
              </w:rPr>
              <w:t xml:space="preserve">Includes the purchase of a security with delayed settlement or a revolving line of credit that is currently an unfunded investment, that does not earn a basis point spread above an index while it is unfunded. </w:t>
            </w:r>
          </w:p>
        </w:tc>
      </w:tr>
    </w:tbl>
    <w:tbl>
      <w:tblPr>
        <w:tblW w:w="3955" w:type="dxa"/>
        <w:jc w:val="left"/>
        <w:tblInd w:w="0" w:type="dxa"/>
        <w:tblCellMar>
          <w:top w:w="0" w:type="dxa"/>
          <w:left w:w="0" w:type="dxa"/>
          <w:bottom w:w="0" w:type="dxa"/>
          <w:right w:w="0" w:type="dxa"/>
        </w:tblCellMar>
      </w:tblPr>
      <w:tblGrid>
        <w:gridCol w:w="305"/>
        <w:gridCol w:w="3650"/>
      </w:tblGrid>
      <w:tr>
        <w:trPr/>
        <w:tc>
          <w:tcPr>
            <w:tcW w:w="305" w:type="dxa"/>
            <w:tcBorders/>
            <w:shd w:fill="auto" w:val="clear"/>
            <w:vAlign w:val="center"/>
          </w:tcPr>
          <w:p>
            <w:pPr>
              <w:pStyle w:val="TableContents"/>
              <w:spacing w:before="0" w:after="283"/>
              <w:jc w:val="left"/>
              <w:rPr/>
            </w:pPr>
            <w:r>
              <w:rPr/>
              <w:t>(5)</w:t>
            </w:r>
          </w:p>
        </w:tc>
        <w:tc>
          <w:tcPr>
            <w:tcW w:w="3650" w:type="dxa"/>
            <w:tcBorders/>
            <w:shd w:fill="auto" w:val="clear"/>
            <w:vAlign w:val="center"/>
          </w:tcPr>
          <w:p>
            <w:pPr>
              <w:pStyle w:val="TableContents"/>
              <w:spacing w:before="0" w:after="0"/>
              <w:jc w:val="left"/>
              <w:rPr>
                <w:rFonts w:ascii="Times New Roman" w:hAnsi="Times New Roman"/>
                <w:sz w:val="16"/>
              </w:rPr>
            </w:pPr>
            <w:r>
              <w:rPr>
                <w:rFonts w:ascii="Times New Roman" w:hAnsi="Times New Roman"/>
                <w:sz w:val="16"/>
              </w:rPr>
              <w:t xml:space="preserve">Investment is held through our Taxable Subsidiary. </w:t>
            </w:r>
          </w:p>
        </w:tc>
      </w:tr>
    </w:tbl>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pPr>
            <w:r>
              <w:rPr/>
              <w:t>(6)</w:t>
            </w:r>
          </w:p>
        </w:tc>
        <w:tc>
          <w:tcPr>
            <w:tcW w:w="9952" w:type="dxa"/>
            <w:tcBorders/>
            <w:shd w:fill="auto" w:val="clear"/>
            <w:vAlign w:val="center"/>
          </w:tcPr>
          <w:p>
            <w:pPr>
              <w:pStyle w:val="TableContents"/>
              <w:spacing w:before="0" w:after="0"/>
              <w:jc w:val="left"/>
              <w:rPr>
                <w:rFonts w:ascii="Times New Roman" w:hAnsi="Times New Roman"/>
                <w:sz w:val="16"/>
              </w:rPr>
            </w:pPr>
            <w:r>
              <w:rPr>
                <w:rFonts w:ascii="Times New Roman" w:hAnsi="Times New Roman"/>
                <w:sz w:val="16"/>
              </w:rPr>
              <w:t xml:space="preserve">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81% of the Company’s total assets and non-qualifying assets represent 19% of the Company’s total assets. </w:t>
            </w:r>
          </w:p>
        </w:tc>
      </w:tr>
    </w:tbl>
    <w:tbl>
      <w:tblPr>
        <w:tblW w:w="3535" w:type="dxa"/>
        <w:jc w:val="left"/>
        <w:tblInd w:w="0" w:type="dxa"/>
        <w:tblCellMar>
          <w:top w:w="0" w:type="dxa"/>
          <w:left w:w="0" w:type="dxa"/>
          <w:bottom w:w="0" w:type="dxa"/>
          <w:right w:w="0" w:type="dxa"/>
        </w:tblCellMar>
      </w:tblPr>
      <w:tblGrid>
        <w:gridCol w:w="305"/>
        <w:gridCol w:w="3230"/>
      </w:tblGrid>
      <w:tr>
        <w:trPr/>
        <w:tc>
          <w:tcPr>
            <w:tcW w:w="305" w:type="dxa"/>
            <w:tcBorders/>
            <w:shd w:fill="auto" w:val="clear"/>
            <w:vAlign w:val="center"/>
          </w:tcPr>
          <w:p>
            <w:pPr>
              <w:pStyle w:val="TableContents"/>
              <w:spacing w:before="0" w:after="283"/>
              <w:jc w:val="left"/>
              <w:rPr/>
            </w:pPr>
            <w:r>
              <w:rPr/>
              <w:t>(7)</w:t>
            </w:r>
          </w:p>
        </w:tc>
        <w:tc>
          <w:tcPr>
            <w:tcW w:w="3230" w:type="dxa"/>
            <w:tcBorders/>
            <w:shd w:fill="auto" w:val="clear"/>
            <w:vAlign w:val="center"/>
          </w:tcPr>
          <w:p>
            <w:pPr>
              <w:pStyle w:val="TableContents"/>
              <w:spacing w:before="0" w:after="0"/>
              <w:jc w:val="left"/>
              <w:rPr>
                <w:rFonts w:ascii="Times New Roman" w:hAnsi="Times New Roman"/>
                <w:sz w:val="16"/>
              </w:rPr>
            </w:pPr>
            <w:r>
              <w:rPr>
                <w:rFonts w:ascii="Times New Roman" w:hAnsi="Times New Roman"/>
                <w:sz w:val="16"/>
              </w:rPr>
              <w:t xml:space="preserve">Less than 0.1% voting ownership percentage.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Set forth below is a brief description of each portfolio company in which we have made an investment that represents greater than 5% of our total assets as of September 30, 2022: </w:t>
      </w:r>
    </w:p>
    <w:p>
      <w:pPr>
        <w:pStyle w:val="TextBody"/>
        <w:spacing w:before="0" w:after="0"/>
        <w:jc w:val="left"/>
        <w:rPr/>
      </w:pPr>
      <w:r>
        <w:rPr/>
        <w:t> </w:t>
      </w:r>
    </w:p>
    <w:tbl>
      <w:tblPr>
        <w:tblW w:w="5635" w:type="dxa"/>
        <w:jc w:val="left"/>
        <w:tblInd w:w="0" w:type="dxa"/>
        <w:tblCellMar>
          <w:top w:w="0" w:type="dxa"/>
          <w:left w:w="0" w:type="dxa"/>
          <w:bottom w:w="0" w:type="dxa"/>
          <w:right w:w="0" w:type="dxa"/>
        </w:tblCellMar>
      </w:tblPr>
      <w:tblGrid>
        <w:gridCol w:w="1235"/>
        <w:gridCol w:w="4400"/>
      </w:tblGrid>
      <w:tr>
        <w:trPr/>
        <w:tc>
          <w:tcPr>
            <w:tcW w:w="1235" w:type="dxa"/>
            <w:tcBorders/>
            <w:shd w:fill="auto" w:val="clear"/>
            <w:vAlign w:val="center"/>
          </w:tcPr>
          <w:p>
            <w:pPr>
              <w:pStyle w:val="TableContents"/>
              <w:spacing w:before="0" w:after="283"/>
              <w:jc w:val="left"/>
              <w:rPr>
                <w:u w:val="single"/>
              </w:rPr>
            </w:pPr>
            <w:r>
              <w:rPr>
                <w:u w:val="single"/>
              </w:rPr>
              <w:t>PennantPark</w:t>
            </w:r>
          </w:p>
        </w:tc>
        <w:tc>
          <w:tcPr>
            <w:tcW w:w="4400" w:type="dxa"/>
            <w:tcBorders/>
            <w:shd w:fill="auto" w:val="clear"/>
            <w:vAlign w:val="center"/>
          </w:tcPr>
          <w:p>
            <w:pPr>
              <w:pStyle w:val="TableContents"/>
              <w:spacing w:before="0" w:after="0"/>
              <w:jc w:val="left"/>
              <w:rPr>
                <w:rFonts w:ascii="Times New Roman" w:hAnsi="Times New Roman"/>
                <w:sz w:val="20"/>
                <w:u w:val="single"/>
              </w:rPr>
            </w:pPr>
            <w:r>
              <w:rPr>
                <w:rFonts w:ascii="Times New Roman" w:hAnsi="Times New Roman"/>
                <w:sz w:val="20"/>
                <w:u w:val="single"/>
              </w:rPr>
              <w:t>Senior Secured Loan Fund I, LLC (Financial Services)</w:t>
            </w:r>
          </w:p>
        </w:tc>
      </w:tr>
    </w:tbl>
    <w:p>
      <w:pPr>
        <w:pStyle w:val="TextBody"/>
        <w:spacing w:before="120" w:after="0"/>
        <w:jc w:val="left"/>
        <w:rPr>
          <w:rFonts w:ascii="Times New Roman" w:hAnsi="Times New Roman"/>
          <w:sz w:val="20"/>
        </w:rPr>
      </w:pPr>
      <w:r>
        <w:rPr>
          <w:rFonts w:ascii="Times New Roman" w:hAnsi="Times New Roman"/>
          <w:sz w:val="20"/>
        </w:rPr>
        <w:t xml:space="preserve">PSSL is an unconsolidated joint venture between the Company and certain entities of Kemper Insurance Corporation, or Kemper, which invests primarily in floating rate loans, with an emphasis on senior secured loans, in middle-market leveraged companies. </w:t>
      </w:r>
    </w:p>
    <w:p>
      <w:pPr>
        <w:pStyle w:val="TextBody"/>
        <w:spacing w:before="120" w:after="0"/>
        <w:jc w:val="left"/>
        <w:rPr>
          <w:rFonts w:ascii="Times New Roman" w:hAnsi="Times New Roman"/>
          <w:sz w:val="20"/>
        </w:rPr>
      </w:pPr>
      <w:r>
        <w:rPr>
          <w:rFonts w:ascii="Times New Roman" w:hAnsi="Times New Roman"/>
          <w:sz w:val="20"/>
        </w:rPr>
        <w:t xml:space="preserve">The table below describes investments by industry classification and enumerates the percentage, by fair value, of the total portfolio assets (excluding cash and cash equivalents) in such industries as of: </w:t>
      </w:r>
    </w:p>
    <w:p>
      <w:pPr>
        <w:pStyle w:val="TextBody"/>
        <w:spacing w:before="0" w:after="0"/>
        <w:jc w:val="left"/>
        <w:rPr/>
      </w:pPr>
      <w:r>
        <w:rPr/>
        <w:t> </w:t>
      </w:r>
    </w:p>
    <w:tbl>
      <w:tblPr>
        <w:tblW w:w="8020" w:type="dxa"/>
        <w:jc w:val="left"/>
        <w:tblInd w:w="0" w:type="dxa"/>
        <w:tblCellMar>
          <w:top w:w="0" w:type="dxa"/>
          <w:left w:w="0" w:type="dxa"/>
          <w:bottom w:w="0" w:type="dxa"/>
          <w:right w:w="0" w:type="dxa"/>
        </w:tblCellMar>
      </w:tblPr>
      <w:tblGrid>
        <w:gridCol w:w="4325"/>
        <w:gridCol w:w="120"/>
        <w:gridCol w:w="442"/>
        <w:gridCol w:w="1033"/>
        <w:gridCol w:w="275"/>
        <w:gridCol w:w="60"/>
        <w:gridCol w:w="442"/>
        <w:gridCol w:w="1033"/>
        <w:gridCol w:w="290"/>
      </w:tblGrid>
      <w:tr>
        <w:trPr/>
        <w:tc>
          <w:tcPr>
            <w:tcW w:w="43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32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Industry Classification</w:t>
            </w:r>
          </w:p>
        </w:tc>
        <w:tc>
          <w:tcPr>
            <w:tcW w:w="120" w:type="dxa"/>
            <w:tcBorders/>
            <w:shd w:fill="auto" w:val="clear"/>
            <w:vAlign w:val="center"/>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September 30,</w:t>
              <w:br/>
              <w:t>2022(1)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September 30,</w:t>
              <w:br/>
              <w:t>2021(1)</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Professional Services</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8</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Media</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9</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Personal Products</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7</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IT Services</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5</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Commercial Services &amp; Supplies</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5</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High Tech Industries</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4</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Media: Diversified and Production</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5</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Aerospace and Defense</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4</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Capital Equipment</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6</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Diversified Consumer Services</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2</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Healthcare Technology</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4</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Business Services</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4</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Construction and Building</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3</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Electronic Equipment, Instruments, and Components</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3</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Healthcare Providers and Service</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1</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Chemicals, Plastics and Rubber</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2</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Consumer Services</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2</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Distributors</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0</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Diversified Financial Services</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2</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Healthcare Equipment and Supplies</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2</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Insurance</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1</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Media: Broadcasting and Subscription</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2</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Air Freight and Logistics</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0</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Automobiles</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2</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Banking, Finance, Insurance &amp; Real Estate</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1</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Building Products</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1</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Energy Equipment and Services</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1</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Financial Services</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2</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Food Products</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0</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Hotels, Restaurants and Leisure</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2</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Leisure Products</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0</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Textiles, Apparel and Luxury Goods</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0</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Wholesale</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2</w:t>
            </w:r>
          </w:p>
        </w:tc>
        <w:tc>
          <w:tcPr>
            <w:tcW w:w="290" w:type="dxa"/>
            <w:tcBorders/>
            <w:shd w:fill="CCEEFF"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Construction &amp; Engineering</w:t>
            </w:r>
          </w:p>
        </w:tc>
        <w:tc>
          <w:tcPr>
            <w:tcW w:w="12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1033" w:type="dxa"/>
            <w:tcBorders/>
            <w:shd w:fill="auto" w:val="clear"/>
            <w:vAlign w:val="center"/>
          </w:tcPr>
          <w:p>
            <w:pPr>
              <w:pStyle w:val="TableContents"/>
              <w:spacing w:before="0" w:after="283"/>
              <w:jc w:val="right"/>
              <w:rPr/>
            </w:pPr>
            <w:r>
              <w:rPr/>
              <w:t>1</w:t>
            </w:r>
          </w:p>
        </w:tc>
        <w:tc>
          <w:tcPr>
            <w:tcW w:w="29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Hotel, Gaming and Leisure</w:t>
            </w:r>
          </w:p>
        </w:tc>
        <w:tc>
          <w:tcPr>
            <w:tcW w:w="12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42" w:type="dxa"/>
            <w:tcBorders/>
            <w:shd w:fill="CCEEFF" w:val="clear"/>
            <w:vAlign w:val="center"/>
          </w:tcPr>
          <w:p>
            <w:pPr>
              <w:pStyle w:val="TableContents"/>
              <w:spacing w:before="0" w:after="283"/>
              <w:rPr/>
            </w:pPr>
            <w:r>
              <w:rPr/>
              <w:t> </w:t>
            </w:r>
          </w:p>
        </w:tc>
        <w:tc>
          <w:tcPr>
            <w:tcW w:w="1033" w:type="dxa"/>
            <w:tcBorders/>
            <w:shd w:fill="CCEEFF" w:val="clear"/>
            <w:vAlign w:val="center"/>
          </w:tcPr>
          <w:p>
            <w:pPr>
              <w:pStyle w:val="TableContents"/>
              <w:spacing w:before="0" w:after="283"/>
              <w:jc w:val="right"/>
              <w:rPr/>
            </w:pPr>
            <w:r>
              <w:rPr/>
              <w:t>1</w:t>
            </w:r>
          </w:p>
        </w:tc>
        <w:tc>
          <w:tcPr>
            <w:tcW w:w="290" w:type="dxa"/>
            <w:tcBorders/>
            <w:shd w:fill="CCEEFF"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rPr/>
      </w:pPr>
      <w:r>
        <w:rPr/>
      </w:r>
    </w:p>
    <w:tbl>
      <w:tblPr>
        <w:tblW w:w="7130" w:type="dxa"/>
        <w:jc w:val="left"/>
        <w:tblInd w:w="0" w:type="dxa"/>
        <w:tblCellMar>
          <w:top w:w="0" w:type="dxa"/>
          <w:left w:w="0" w:type="dxa"/>
          <w:bottom w:w="0" w:type="dxa"/>
          <w:right w:w="0" w:type="dxa"/>
        </w:tblCellMar>
      </w:tblPr>
      <w:tblGrid>
        <w:gridCol w:w="3650"/>
        <w:gridCol w:w="120"/>
        <w:gridCol w:w="201"/>
        <w:gridCol w:w="1274"/>
        <w:gridCol w:w="60"/>
        <w:gridCol w:w="60"/>
        <w:gridCol w:w="201"/>
        <w:gridCol w:w="1274"/>
        <w:gridCol w:w="290"/>
      </w:tblGrid>
      <w:tr>
        <w:trPr/>
        <w:tc>
          <w:tcPr>
            <w:tcW w:w="36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65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Industry Classification</w:t>
            </w:r>
          </w:p>
        </w:tc>
        <w:tc>
          <w:tcPr>
            <w:tcW w:w="120" w:type="dxa"/>
            <w:tcBorders/>
            <w:shd w:fill="auto" w:val="clear"/>
            <w:vAlign w:val="center"/>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September 30,</w:t>
              <w:br/>
              <w:t>2022(1)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September 30,</w:t>
              <w:br/>
              <w:t>2021(1)</w:t>
            </w:r>
          </w:p>
        </w:tc>
        <w:tc>
          <w:tcPr>
            <w:tcW w:w="290" w:type="dxa"/>
            <w:tcBorders/>
            <w:shd w:fill="auto" w:val="clear"/>
            <w:vAlign w:val="center"/>
          </w:tcPr>
          <w:p>
            <w:pPr>
              <w:pStyle w:val="TableContents"/>
              <w:spacing w:before="0" w:after="283"/>
              <w:rPr/>
            </w:pPr>
            <w:r>
              <w:rPr/>
              <w:t> </w:t>
            </w:r>
          </w:p>
        </w:tc>
      </w:tr>
      <w:tr>
        <w:trPr/>
        <w:tc>
          <w:tcPr>
            <w:tcW w:w="36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Media: Advertising, Printing and Publishing</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274" w:type="dxa"/>
            <w:tcBorders/>
            <w:shd w:fill="CCEEFF" w:val="clear"/>
            <w:vAlign w:val="center"/>
          </w:tcPr>
          <w:p>
            <w:pPr>
              <w:pStyle w:val="TableContents"/>
              <w:spacing w:before="0" w:after="283"/>
              <w:jc w:val="right"/>
              <w:rPr/>
            </w:pPr>
            <w:r>
              <w:rPr/>
              <w:t>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274" w:type="dxa"/>
            <w:tcBorders/>
            <w:shd w:fill="CCEEFF" w:val="clear"/>
            <w:vAlign w:val="center"/>
          </w:tcPr>
          <w:p>
            <w:pPr>
              <w:pStyle w:val="TableContents"/>
              <w:spacing w:before="0" w:after="283"/>
              <w:jc w:val="right"/>
              <w:rPr/>
            </w:pPr>
            <w:r>
              <w:rPr/>
              <w:t>2</w:t>
            </w:r>
          </w:p>
        </w:tc>
        <w:tc>
          <w:tcPr>
            <w:tcW w:w="290" w:type="dxa"/>
            <w:tcBorders/>
            <w:shd w:fill="CCEEFF" w:val="clear"/>
            <w:vAlign w:val="center"/>
          </w:tcPr>
          <w:p>
            <w:pPr>
              <w:pStyle w:val="TableContents"/>
              <w:spacing w:before="0" w:after="283"/>
              <w:rPr/>
            </w:pPr>
            <w:r>
              <w:rPr/>
              <w:t> </w:t>
            </w:r>
          </w:p>
        </w:tc>
      </w:tr>
      <w:tr>
        <w:trPr/>
        <w:tc>
          <w:tcPr>
            <w:tcW w:w="36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All Other</w:t>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274" w:type="dxa"/>
            <w:tcBorders/>
            <w:shd w:fill="auto" w:val="clear"/>
            <w:vAlign w:val="center"/>
          </w:tcPr>
          <w:p>
            <w:pPr>
              <w:pStyle w:val="TableContents"/>
              <w:spacing w:before="0" w:after="283"/>
              <w:jc w:val="right"/>
              <w:rPr/>
            </w:pPr>
            <w:r>
              <w:rPr/>
              <w:t>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spacing w:before="0" w:after="283"/>
              <w:rPr/>
            </w:pPr>
            <w:r>
              <w:rPr/>
              <w:t> </w:t>
            </w:r>
          </w:p>
        </w:tc>
        <w:tc>
          <w:tcPr>
            <w:tcW w:w="1274" w:type="dxa"/>
            <w:tcBorders/>
            <w:shd w:fill="auto" w:val="clear"/>
            <w:vAlign w:val="center"/>
          </w:tcPr>
          <w:p>
            <w:pPr>
              <w:pStyle w:val="TableContents"/>
              <w:spacing w:before="0" w:after="283"/>
              <w:jc w:val="right"/>
              <w:rPr/>
            </w:pPr>
            <w:r>
              <w:rPr/>
              <w:t>4</w:t>
            </w:r>
          </w:p>
        </w:tc>
        <w:tc>
          <w:tcPr>
            <w:tcW w:w="290" w:type="dxa"/>
            <w:tcBorders/>
            <w:shd w:fill="auto" w:val="clear"/>
            <w:vAlign w:val="center"/>
          </w:tcPr>
          <w:p>
            <w:pPr>
              <w:pStyle w:val="TableContents"/>
              <w:spacing w:before="0" w:after="283"/>
              <w:rPr/>
            </w:pPr>
            <w:r>
              <w:rPr/>
              <w:t> </w:t>
            </w:r>
          </w:p>
        </w:tc>
      </w:tr>
      <w:tr>
        <w:trPr/>
        <w:tc>
          <w:tcPr>
            <w:tcW w:w="36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pBdr>
                <w:top w:val="single" w:sz="2" w:space="1" w:color="000000"/>
              </w:pBdr>
              <w:spacing w:before="0" w:after="0"/>
              <w:rPr/>
            </w:pPr>
            <w:r>
              <w:rPr/>
              <w:t> </w:t>
            </w:r>
          </w:p>
        </w:tc>
        <w:tc>
          <w:tcPr>
            <w:tcW w:w="1274"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pBdr>
                <w:top w:val="single" w:sz="2" w:space="1" w:color="000000"/>
              </w:pBdr>
              <w:spacing w:before="0" w:after="0"/>
              <w:rPr/>
            </w:pPr>
            <w:r>
              <w:rPr/>
              <w:t> </w:t>
            </w:r>
          </w:p>
        </w:tc>
        <w:tc>
          <w:tcPr>
            <w:tcW w:w="1274" w:type="dxa"/>
            <w:tcBorders/>
            <w:shd w:fill="auto" w:val="clear"/>
            <w:vAlign w:val="center"/>
          </w:tcPr>
          <w:p>
            <w:pPr>
              <w:pStyle w:val="TableContents"/>
              <w:pBdr>
                <w:top w:val="single" w:sz="2"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r>
        <w:trPr/>
        <w:tc>
          <w:tcPr>
            <w:tcW w:w="36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274" w:type="dxa"/>
            <w:tcBorders/>
            <w:shd w:fill="CCEEFF" w:val="clear"/>
            <w:vAlign w:val="center"/>
          </w:tcPr>
          <w:p>
            <w:pPr>
              <w:pStyle w:val="TableContents"/>
              <w:spacing w:before="0" w:after="283"/>
              <w:rPr/>
            </w:pPr>
            <w:r>
              <w:rPr/>
              <w:t>100%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rPr/>
            </w:pPr>
            <w:r>
              <w:rPr/>
              <w:t> </w:t>
            </w:r>
          </w:p>
        </w:tc>
        <w:tc>
          <w:tcPr>
            <w:tcW w:w="1274" w:type="dxa"/>
            <w:tcBorders/>
            <w:shd w:fill="CCEEFF" w:val="clear"/>
            <w:vAlign w:val="center"/>
          </w:tcPr>
          <w:p>
            <w:pPr>
              <w:pStyle w:val="TableContents"/>
              <w:spacing w:before="0" w:after="283"/>
              <w:jc w:val="right"/>
              <w:rPr/>
            </w:pPr>
            <w:r>
              <w:rPr/>
              <w:t>100</w:t>
            </w:r>
          </w:p>
        </w:tc>
        <w:tc>
          <w:tcPr>
            <w:tcW w:w="290" w:type="dxa"/>
            <w:tcBorders/>
            <w:shd w:fill="CCEEFF" w:val="clear"/>
            <w:vAlign w:val="center"/>
          </w:tcPr>
          <w:p>
            <w:pPr>
              <w:pStyle w:val="TableContents"/>
              <w:spacing w:before="0" w:after="283"/>
              <w:rPr/>
            </w:pPr>
            <w:r>
              <w:rPr/>
              <w:t>% </w:t>
            </w:r>
          </w:p>
        </w:tc>
      </w:tr>
      <w:tr>
        <w:trPr/>
        <w:tc>
          <w:tcPr>
            <w:tcW w:w="36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pBdr>
                <w:top w:val="double" w:sz="6" w:space="1" w:color="000000"/>
              </w:pBdr>
              <w:spacing w:before="0" w:after="0"/>
              <w:rPr/>
            </w:pPr>
            <w:r>
              <w:rPr/>
              <w:t> </w:t>
            </w:r>
          </w:p>
        </w:tc>
        <w:tc>
          <w:tcPr>
            <w:tcW w:w="1274"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1" w:type="dxa"/>
            <w:tcBorders/>
            <w:shd w:fill="auto" w:val="clear"/>
            <w:vAlign w:val="center"/>
          </w:tcPr>
          <w:p>
            <w:pPr>
              <w:pStyle w:val="TableContents"/>
              <w:pBdr>
                <w:top w:val="double" w:sz="6" w:space="1" w:color="000000"/>
              </w:pBdr>
              <w:spacing w:before="0" w:after="0"/>
              <w:rPr/>
            </w:pPr>
            <w:r>
              <w:rPr/>
              <w:t> </w:t>
            </w:r>
          </w:p>
        </w:tc>
        <w:tc>
          <w:tcPr>
            <w:tcW w:w="1274" w:type="dxa"/>
            <w:tcBorders/>
            <w:shd w:fill="auto" w:val="clear"/>
            <w:vAlign w:val="center"/>
          </w:tcPr>
          <w:p>
            <w:pPr>
              <w:pStyle w:val="TableContents"/>
              <w:pBdr>
                <w:top w:val="double" w:sz="6"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2890" w:type="dxa"/>
        <w:jc w:val="left"/>
        <w:tblInd w:w="0" w:type="dxa"/>
        <w:tblCellMar>
          <w:top w:w="0" w:type="dxa"/>
          <w:left w:w="0" w:type="dxa"/>
          <w:bottom w:w="0" w:type="dxa"/>
          <w:right w:w="0" w:type="dxa"/>
        </w:tblCellMar>
      </w:tblPr>
      <w:tblGrid>
        <w:gridCol w:w="305"/>
        <w:gridCol w:w="2585"/>
      </w:tblGrid>
      <w:tr>
        <w:trPr/>
        <w:tc>
          <w:tcPr>
            <w:tcW w:w="305" w:type="dxa"/>
            <w:tcBorders/>
            <w:shd w:fill="auto" w:val="clear"/>
            <w:vAlign w:val="center"/>
          </w:tcPr>
          <w:p>
            <w:pPr>
              <w:pStyle w:val="TableContents"/>
              <w:spacing w:before="0" w:after="283"/>
              <w:jc w:val="left"/>
              <w:rPr/>
            </w:pPr>
            <w:r>
              <w:rPr/>
              <w:t>(1)</w:t>
            </w:r>
          </w:p>
        </w:tc>
        <w:tc>
          <w:tcPr>
            <w:tcW w:w="25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Excludes investments in PSSL.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rPr/>
      </w:pPr>
      <w:r>
        <w:rPr/>
      </w:r>
    </w:p>
    <w:p>
      <w:pPr>
        <w:pStyle w:val="TextBody"/>
        <w:spacing w:before="0" w:after="0"/>
        <w:jc w:val="center"/>
        <w:rPr>
          <w:rFonts w:ascii="Times New Roman" w:hAnsi="Times New Roman"/>
          <w:b/>
          <w:sz w:val="20"/>
        </w:rPr>
      </w:pPr>
      <w:bookmarkStart w:id="16" w:name="toc478714_12"/>
      <w:bookmarkEnd w:id="16"/>
      <w:r>
        <w:rPr>
          <w:rFonts w:ascii="Times New Roman" w:hAnsi="Times New Roman"/>
          <w:b/>
          <w:sz w:val="20"/>
        </w:rPr>
        <w:t xml:space="preserve">PORTFOLIO MANAGEMENT </w:t>
      </w:r>
    </w:p>
    <w:p>
      <w:pPr>
        <w:pStyle w:val="TextBody"/>
        <w:spacing w:before="240" w:after="0"/>
        <w:jc w:val="left"/>
        <w:rPr>
          <w:rFonts w:ascii="Times New Roman" w:hAnsi="Times New Roman"/>
          <w:sz w:val="20"/>
        </w:rPr>
      </w:pPr>
      <w:r>
        <w:rPr>
          <w:rFonts w:ascii="Times New Roman" w:hAnsi="Times New Roman"/>
          <w:sz w:val="20"/>
        </w:rPr>
        <w:t xml:space="preserve">Our Investment Adviser, which manages our day-to-day investment activities under the supervision of our board of directors, has seven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 </w:t>
      </w:r>
    </w:p>
    <w:p>
      <w:pPr>
        <w:pStyle w:val="TextBody"/>
        <w:spacing w:before="240" w:after="0"/>
        <w:jc w:val="left"/>
        <w:rPr>
          <w:rFonts w:ascii="Times New Roman" w:hAnsi="Times New Roman"/>
          <w:sz w:val="20"/>
        </w:rPr>
      </w:pPr>
      <w:r>
        <w:rPr>
          <w:rFonts w:ascii="Times New Roman" w:hAnsi="Times New Roman"/>
          <w:sz w:val="20"/>
        </w:rPr>
        <w:t xml:space="preserve">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w:t>
      </w:r>
    </w:p>
    <w:p>
      <w:pPr>
        <w:pStyle w:val="TextBody"/>
        <w:spacing w:before="240" w:after="0"/>
        <w:jc w:val="left"/>
        <w:rPr>
          <w:rFonts w:ascii="Times New Roman" w:hAnsi="Times New Roman"/>
          <w:sz w:val="20"/>
        </w:rPr>
      </w:pPr>
      <w:r>
        <w:rPr>
          <w:rFonts w:ascii="Times New Roman" w:hAnsi="Times New Roman"/>
          <w:sz w:val="20"/>
        </w:rPr>
        <w:t xml:space="preserve">José A. Briones joined PennantPark Investment Advisers in December 2009 and became a member of the Board of Directors of PennantPark Floating Rate Capital Ltd. on May 3, 2022.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 </w:t>
      </w:r>
    </w:p>
    <w:p>
      <w:pPr>
        <w:pStyle w:val="TextBody"/>
        <w:spacing w:before="240" w:after="0"/>
        <w:jc w:val="left"/>
        <w:rPr>
          <w:rFonts w:ascii="Times New Roman" w:hAnsi="Times New Roman"/>
          <w:sz w:val="20"/>
        </w:rPr>
      </w:pPr>
      <w:r>
        <w:rPr>
          <w:rFonts w:ascii="Times New Roman" w:hAnsi="Times New Roman"/>
          <w:sz w:val="20"/>
        </w:rPr>
        <w:t xml:space="preserve">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 </w:t>
      </w:r>
    </w:p>
    <w:p>
      <w:pPr>
        <w:pStyle w:val="TextBody"/>
        <w:spacing w:before="240" w:after="0"/>
        <w:jc w:val="left"/>
        <w:rPr>
          <w:rFonts w:ascii="Times New Roman" w:hAnsi="Times New Roman"/>
          <w:sz w:val="20"/>
        </w:rPr>
      </w:pPr>
      <w:r>
        <w:rPr>
          <w:rFonts w:ascii="Times New Roman" w:hAnsi="Times New Roman"/>
          <w:sz w:val="20"/>
        </w:rPr>
        <w:t xml:space="preserve">Ryan Raskopf joined PennantPark Investment Advisers in August 2007. Previously, Mr. Raskopf was an Analyst in the Financial Institutions Group at Credit Suisse Securities (USA) LLC from 2005 to 2007. </w:t>
      </w:r>
    </w:p>
    <w:p>
      <w:pPr>
        <w:pStyle w:val="TextBody"/>
        <w:spacing w:before="240" w:after="0"/>
        <w:jc w:val="left"/>
        <w:rPr>
          <w:rFonts w:ascii="Times New Roman" w:hAnsi="Times New Roman"/>
          <w:sz w:val="20"/>
        </w:rPr>
      </w:pPr>
      <w:r>
        <w:rPr>
          <w:rFonts w:ascii="Times New Roman" w:hAnsi="Times New Roman"/>
          <w:sz w:val="20"/>
        </w:rPr>
        <w:t xml:space="preserve">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 </w:t>
      </w:r>
    </w:p>
    <w:p>
      <w:pPr>
        <w:pStyle w:val="TextBody"/>
        <w:spacing w:before="240" w:after="0"/>
        <w:jc w:val="left"/>
        <w:rPr>
          <w:rFonts w:ascii="Times New Roman" w:hAnsi="Times New Roman"/>
          <w:sz w:val="20"/>
        </w:rPr>
      </w:pPr>
      <w:r>
        <w:rPr>
          <w:rFonts w:ascii="Times New Roman" w:hAnsi="Times New Roman"/>
          <w:sz w:val="20"/>
        </w:rPr>
        <w:t xml:space="preserve">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 He is also currently a Director of Mspark, LLC and previously served as an Independent Director of Shopko Stores, Caesars Entertainment Operating Company, The Gymboree Corporation, and Linn Acquisition Company, LLC. </w:t>
      </w:r>
    </w:p>
    <w:p>
      <w:pPr>
        <w:pStyle w:val="TextBody"/>
        <w:spacing w:before="240" w:after="0"/>
        <w:jc w:val="left"/>
        <w:rPr>
          <w:rFonts w:ascii="Times New Roman" w:hAnsi="Times New Roman"/>
          <w:sz w:val="20"/>
        </w:rPr>
      </w:pPr>
      <w:r>
        <w:rPr>
          <w:rFonts w:ascii="Times New Roman" w:hAnsi="Times New Roman"/>
          <w:sz w:val="20"/>
        </w:rPr>
        <w:t xml:space="preserve">In addition to managing our investments, as of September 30, 2022, our portfolio managers also managed investments on behalf of the following entities: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37"/>
        <w:gridCol w:w="120"/>
        <w:gridCol w:w="2135"/>
        <w:gridCol w:w="120"/>
        <w:gridCol w:w="4569"/>
        <w:gridCol w:w="120"/>
        <w:gridCol w:w="107"/>
        <w:gridCol w:w="1221"/>
        <w:gridCol w:w="76"/>
      </w:tblGrid>
      <w:tr>
        <w:trPr/>
        <w:tc>
          <w:tcPr>
            <w:tcW w:w="17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6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1737"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2135" w:type="dxa"/>
            <w:tcBorders>
              <w:bottom w:val="single" w:sz="8" w:space="0" w:color="000000"/>
            </w:tcBorders>
            <w:shd w:fill="auto" w:val="clear"/>
            <w:tcMar>
              <w:bottom w:w="28" w:type="dxa"/>
            </w:tcMar>
            <w:vAlign w:val="center"/>
          </w:tcPr>
          <w:p>
            <w:pPr>
              <w:pStyle w:val="TableContents"/>
              <w:spacing w:before="0" w:after="283"/>
              <w:jc w:val="center"/>
              <w:rPr>
                <w:b/>
              </w:rPr>
            </w:pPr>
            <w:r>
              <w:rPr>
                <w:b/>
              </w:rPr>
              <w:t>Entity</w:t>
            </w:r>
          </w:p>
        </w:tc>
        <w:tc>
          <w:tcPr>
            <w:tcW w:w="120" w:type="dxa"/>
            <w:tcBorders/>
            <w:shd w:fill="auto" w:val="clear"/>
            <w:vAlign w:val="center"/>
          </w:tcPr>
          <w:p>
            <w:pPr>
              <w:pStyle w:val="TableContents"/>
              <w:spacing w:before="0" w:after="283"/>
              <w:rPr/>
            </w:pPr>
            <w:r>
              <w:rPr/>
              <w:t>  </w:t>
            </w:r>
          </w:p>
        </w:tc>
        <w:tc>
          <w:tcPr>
            <w:tcW w:w="4569"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Investment Focus</w:t>
            </w:r>
          </w:p>
        </w:tc>
        <w:tc>
          <w:tcPr>
            <w:tcW w:w="120" w:type="dxa"/>
            <w:tcBorders/>
            <w:shd w:fill="auto" w:val="clear"/>
            <w:vAlign w:val="center"/>
          </w:tcPr>
          <w:p>
            <w:pPr>
              <w:pStyle w:val="TableContents"/>
              <w:spacing w:before="0" w:after="283"/>
              <w:rPr/>
            </w:pPr>
            <w:r>
              <w:rPr/>
              <w:t>  </w:t>
            </w:r>
          </w:p>
        </w:tc>
        <w:tc>
          <w:tcPr>
            <w:tcW w:w="132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Gross Assets</w:t>
              <w:br/>
              <w:t>($ in millions)</w:t>
            </w:r>
          </w:p>
        </w:tc>
        <w:tc>
          <w:tcPr>
            <w:tcW w:w="76" w:type="dxa"/>
            <w:tcBorders/>
            <w:shd w:fill="auto" w:val="clear"/>
            <w:vAlign w:val="center"/>
          </w:tcPr>
          <w:p>
            <w:pPr>
              <w:pStyle w:val="TableContents"/>
              <w:spacing w:before="0" w:after="283"/>
              <w:rPr/>
            </w:pPr>
            <w:r>
              <w:rPr/>
              <w:t> </w:t>
            </w:r>
          </w:p>
        </w:tc>
      </w:tr>
      <w:tr>
        <w:trPr/>
        <w:tc>
          <w:tcPr>
            <w:tcW w:w="1737"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PennantPark Investment Corporation</w:t>
            </w:r>
          </w:p>
        </w:tc>
        <w:tc>
          <w:tcPr>
            <w:tcW w:w="120" w:type="dxa"/>
            <w:tcBorders/>
            <w:shd w:fill="CCEEFF" w:val="clear"/>
            <w:vAlign w:val="center"/>
          </w:tcPr>
          <w:p>
            <w:pPr>
              <w:pStyle w:val="TableContents"/>
              <w:spacing w:before="0" w:after="283"/>
              <w:rPr/>
            </w:pPr>
            <w:r>
              <w:rPr/>
              <w:t>  </w:t>
            </w:r>
          </w:p>
        </w:tc>
        <w:tc>
          <w:tcPr>
            <w:tcW w:w="2135" w:type="dxa"/>
            <w:tcBorders/>
            <w:shd w:fill="CCEEFF" w:val="clear"/>
            <w:vAlign w:val="center"/>
          </w:tcPr>
          <w:p>
            <w:pPr>
              <w:pStyle w:val="TableContents"/>
              <w:spacing w:before="0" w:after="283"/>
              <w:rPr/>
            </w:pPr>
            <w:r>
              <w:rPr/>
              <w:t>Business development</w:t>
              <w:br/>
              <w:t>company</w:t>
            </w:r>
          </w:p>
        </w:tc>
        <w:tc>
          <w:tcPr>
            <w:tcW w:w="120" w:type="dxa"/>
            <w:tcBorders/>
            <w:shd w:fill="CCEEFF" w:val="clear"/>
            <w:vAlign w:val="center"/>
          </w:tcPr>
          <w:p>
            <w:pPr>
              <w:pStyle w:val="TableContents"/>
              <w:spacing w:before="0" w:after="283"/>
              <w:rPr/>
            </w:pPr>
            <w:r>
              <w:rPr/>
              <w:t>  </w:t>
            </w:r>
          </w:p>
        </w:tc>
        <w:tc>
          <w:tcPr>
            <w:tcW w:w="4569" w:type="dxa"/>
            <w:tcBorders/>
            <w:shd w:fill="CCEEFF" w:val="clear"/>
            <w:vAlign w:val="center"/>
          </w:tcPr>
          <w:p>
            <w:pPr>
              <w:pStyle w:val="TableContents"/>
              <w:spacing w:before="0" w:after="283"/>
              <w:rPr/>
            </w:pPr>
            <w:r>
              <w:rPr/>
              <w:t>Primarily in U.S. middle market companies in the form of first lien secured loans, second lien secured debt, subordinated debt and equity investments</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221" w:type="dxa"/>
            <w:tcBorders/>
            <w:shd w:fill="CCEEFF" w:val="clear"/>
            <w:vAlign w:val="center"/>
          </w:tcPr>
          <w:p>
            <w:pPr>
              <w:pStyle w:val="TableContents"/>
              <w:spacing w:before="0" w:after="283"/>
              <w:jc w:val="right"/>
              <w:rPr/>
            </w:pPr>
            <w:r>
              <w:rPr/>
              <w:t>$1,319</w:t>
            </w:r>
          </w:p>
        </w:tc>
        <w:tc>
          <w:tcPr>
            <w:tcW w:w="76" w:type="dxa"/>
            <w:tcBorders/>
            <w:shd w:fill="CCEEFF" w:val="clear"/>
            <w:vAlign w:val="center"/>
          </w:tcPr>
          <w:p>
            <w:pPr>
              <w:pStyle w:val="TableContents"/>
              <w:spacing w:before="0" w:after="283"/>
              <w:rPr/>
            </w:pPr>
            <w:r>
              <w:rPr/>
              <w:t> </w:t>
            </w:r>
          </w:p>
        </w:tc>
      </w:tr>
      <w:tr>
        <w:trPr/>
        <w:tc>
          <w:tcPr>
            <w:tcW w:w="1737" w:type="dxa"/>
            <w:tcBorders/>
            <w:shd w:fill="auto" w:val="clear"/>
            <w:vAlign w:val="center"/>
          </w:tcPr>
          <w:p>
            <w:pPr>
              <w:pStyle w:val="TableContents"/>
              <w:spacing w:before="0" w:after="283"/>
              <w:rPr>
                <w:sz w:val="4"/>
                <w:szCs w:val="4"/>
              </w:rPr>
            </w:pPr>
            <w:r>
              <w:rPr>
                <w:sz w:val="4"/>
                <w:szCs w:val="4"/>
              </w:rPr>
            </w:r>
          </w:p>
        </w:tc>
        <w:tc>
          <w:tcPr>
            <w:tcW w:w="2255" w:type="dxa"/>
            <w:gridSpan w:val="2"/>
            <w:tcBorders/>
            <w:shd w:fill="auto" w:val="clear"/>
            <w:vAlign w:val="center"/>
          </w:tcPr>
          <w:p>
            <w:pPr>
              <w:pStyle w:val="TableContents"/>
              <w:spacing w:before="0" w:after="283"/>
              <w:rPr>
                <w:sz w:val="4"/>
                <w:szCs w:val="4"/>
              </w:rPr>
            </w:pPr>
            <w:r>
              <w:rPr>
                <w:sz w:val="4"/>
                <w:szCs w:val="4"/>
              </w:rPr>
            </w:r>
          </w:p>
        </w:tc>
        <w:tc>
          <w:tcPr>
            <w:tcW w:w="4689" w:type="dxa"/>
            <w:gridSpan w:val="2"/>
            <w:tcBorders/>
            <w:shd w:fill="auto" w:val="clear"/>
            <w:vAlign w:val="center"/>
          </w:tcPr>
          <w:p>
            <w:pPr>
              <w:pStyle w:val="TableContents"/>
              <w:spacing w:before="0" w:after="283"/>
              <w:rPr>
                <w:sz w:val="4"/>
                <w:szCs w:val="4"/>
              </w:rPr>
            </w:pPr>
            <w:r>
              <w:rPr>
                <w:sz w:val="4"/>
                <w:szCs w:val="4"/>
              </w:rPr>
            </w:r>
          </w:p>
        </w:tc>
        <w:tc>
          <w:tcPr>
            <w:tcW w:w="1524" w:type="dxa"/>
            <w:gridSpan w:val="4"/>
            <w:tcBorders/>
            <w:shd w:fill="auto" w:val="clear"/>
            <w:vAlign w:val="center"/>
          </w:tcPr>
          <w:p>
            <w:pPr>
              <w:pStyle w:val="TableContents"/>
              <w:spacing w:before="0" w:after="283"/>
              <w:rPr>
                <w:sz w:val="4"/>
                <w:szCs w:val="4"/>
              </w:rPr>
            </w:pPr>
            <w:r>
              <w:rPr>
                <w:sz w:val="4"/>
                <w:szCs w:val="4"/>
              </w:rPr>
            </w:r>
          </w:p>
        </w:tc>
      </w:tr>
      <w:tr>
        <w:trPr/>
        <w:tc>
          <w:tcPr>
            <w:tcW w:w="173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PennantPark Senior Secured Loan Fund I LLC</w:t>
            </w:r>
          </w:p>
        </w:tc>
        <w:tc>
          <w:tcPr>
            <w:tcW w:w="120" w:type="dxa"/>
            <w:tcBorders/>
            <w:shd w:fill="auto" w:val="clear"/>
            <w:vAlign w:val="center"/>
          </w:tcPr>
          <w:p>
            <w:pPr>
              <w:pStyle w:val="TableContents"/>
              <w:spacing w:before="0" w:after="283"/>
              <w:rPr/>
            </w:pPr>
            <w:r>
              <w:rPr/>
              <w:t>  </w:t>
            </w:r>
          </w:p>
        </w:tc>
        <w:tc>
          <w:tcPr>
            <w:tcW w:w="2135" w:type="dxa"/>
            <w:tcBorders/>
            <w:shd w:fill="auto" w:val="clear"/>
            <w:vAlign w:val="center"/>
          </w:tcPr>
          <w:p>
            <w:pPr>
              <w:pStyle w:val="TableContents"/>
              <w:spacing w:before="0" w:after="283"/>
              <w:rPr/>
            </w:pPr>
            <w:r>
              <w:rPr/>
              <w:t>Joint Venture</w:t>
            </w:r>
          </w:p>
        </w:tc>
        <w:tc>
          <w:tcPr>
            <w:tcW w:w="120" w:type="dxa"/>
            <w:tcBorders/>
            <w:shd w:fill="auto" w:val="clear"/>
            <w:vAlign w:val="center"/>
          </w:tcPr>
          <w:p>
            <w:pPr>
              <w:pStyle w:val="TableContents"/>
              <w:spacing w:before="0" w:after="283"/>
              <w:rPr/>
            </w:pPr>
            <w:r>
              <w:rPr/>
              <w:t>  </w:t>
            </w:r>
          </w:p>
        </w:tc>
        <w:tc>
          <w:tcPr>
            <w:tcW w:w="4569" w:type="dxa"/>
            <w:tcBorders/>
            <w:shd w:fill="auto" w:val="clear"/>
            <w:vAlign w:val="center"/>
          </w:tcPr>
          <w:p>
            <w:pPr>
              <w:pStyle w:val="TableContents"/>
              <w:spacing w:before="0" w:after="283"/>
              <w:rPr/>
            </w:pPr>
            <w:r>
              <w:rPr/>
              <w:t>Primarily Floating Rate Loans, with an emphasis on senior secured loans, in middle-market leveraged companies.</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21" w:type="dxa"/>
            <w:tcBorders/>
            <w:shd w:fill="auto" w:val="clear"/>
            <w:vAlign w:val="center"/>
          </w:tcPr>
          <w:p>
            <w:pPr>
              <w:pStyle w:val="TableContents"/>
              <w:spacing w:before="0" w:after="283"/>
              <w:jc w:val="right"/>
              <w:rPr/>
            </w:pPr>
            <w:r>
              <w:rPr/>
              <w:t>$797</w:t>
            </w:r>
          </w:p>
        </w:tc>
        <w:tc>
          <w:tcPr>
            <w:tcW w:w="76" w:type="dxa"/>
            <w:tcBorders/>
            <w:shd w:fill="auto" w:val="clear"/>
            <w:vAlign w:val="center"/>
          </w:tcPr>
          <w:p>
            <w:pPr>
              <w:pStyle w:val="TableContents"/>
              <w:spacing w:before="0" w:after="283"/>
              <w:rPr/>
            </w:pPr>
            <w:r>
              <w:rPr/>
              <w:t> </w:t>
            </w:r>
          </w:p>
        </w:tc>
      </w:tr>
      <w:tr>
        <w:trPr/>
        <w:tc>
          <w:tcPr>
            <w:tcW w:w="1737" w:type="dxa"/>
            <w:tcBorders/>
            <w:shd w:fill="auto" w:val="clear"/>
            <w:vAlign w:val="center"/>
          </w:tcPr>
          <w:p>
            <w:pPr>
              <w:pStyle w:val="TableContents"/>
              <w:spacing w:before="0" w:after="283"/>
              <w:rPr>
                <w:sz w:val="4"/>
                <w:szCs w:val="4"/>
              </w:rPr>
            </w:pPr>
            <w:r>
              <w:rPr>
                <w:sz w:val="4"/>
                <w:szCs w:val="4"/>
              </w:rPr>
            </w:r>
          </w:p>
        </w:tc>
        <w:tc>
          <w:tcPr>
            <w:tcW w:w="2255" w:type="dxa"/>
            <w:gridSpan w:val="2"/>
            <w:tcBorders/>
            <w:shd w:fill="auto" w:val="clear"/>
            <w:vAlign w:val="center"/>
          </w:tcPr>
          <w:p>
            <w:pPr>
              <w:pStyle w:val="TableContents"/>
              <w:spacing w:before="0" w:after="283"/>
              <w:rPr>
                <w:sz w:val="4"/>
                <w:szCs w:val="4"/>
              </w:rPr>
            </w:pPr>
            <w:r>
              <w:rPr>
                <w:sz w:val="4"/>
                <w:szCs w:val="4"/>
              </w:rPr>
            </w:r>
          </w:p>
        </w:tc>
        <w:tc>
          <w:tcPr>
            <w:tcW w:w="4689" w:type="dxa"/>
            <w:gridSpan w:val="2"/>
            <w:tcBorders/>
            <w:shd w:fill="auto" w:val="clear"/>
            <w:vAlign w:val="center"/>
          </w:tcPr>
          <w:p>
            <w:pPr>
              <w:pStyle w:val="TableContents"/>
              <w:spacing w:before="0" w:after="283"/>
              <w:rPr>
                <w:sz w:val="4"/>
                <w:szCs w:val="4"/>
              </w:rPr>
            </w:pPr>
            <w:r>
              <w:rPr>
                <w:sz w:val="4"/>
                <w:szCs w:val="4"/>
              </w:rPr>
            </w:r>
          </w:p>
        </w:tc>
        <w:tc>
          <w:tcPr>
            <w:tcW w:w="1524" w:type="dxa"/>
            <w:gridSpan w:val="4"/>
            <w:tcBorders/>
            <w:shd w:fill="auto" w:val="clear"/>
            <w:vAlign w:val="center"/>
          </w:tcPr>
          <w:p>
            <w:pPr>
              <w:pStyle w:val="TableContents"/>
              <w:spacing w:before="0" w:after="283"/>
              <w:rPr>
                <w:sz w:val="4"/>
                <w:szCs w:val="4"/>
              </w:rPr>
            </w:pPr>
            <w:r>
              <w:rPr>
                <w:sz w:val="4"/>
                <w:szCs w:val="4"/>
              </w:rPr>
            </w:r>
          </w:p>
        </w:tc>
      </w:tr>
      <w:tr>
        <w:trPr/>
        <w:tc>
          <w:tcPr>
            <w:tcW w:w="1737"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PennantPark Senior Loan Fund, LLC</w:t>
            </w:r>
          </w:p>
        </w:tc>
        <w:tc>
          <w:tcPr>
            <w:tcW w:w="120" w:type="dxa"/>
            <w:tcBorders/>
            <w:shd w:fill="CCEEFF" w:val="clear"/>
            <w:vAlign w:val="center"/>
          </w:tcPr>
          <w:p>
            <w:pPr>
              <w:pStyle w:val="TableContents"/>
              <w:spacing w:before="0" w:after="283"/>
              <w:rPr/>
            </w:pPr>
            <w:r>
              <w:rPr/>
              <w:t>  </w:t>
            </w:r>
          </w:p>
        </w:tc>
        <w:tc>
          <w:tcPr>
            <w:tcW w:w="2135" w:type="dxa"/>
            <w:tcBorders/>
            <w:shd w:fill="CCEEFF" w:val="clear"/>
            <w:vAlign w:val="center"/>
          </w:tcPr>
          <w:p>
            <w:pPr>
              <w:pStyle w:val="TableContents"/>
              <w:spacing w:before="0" w:after="283"/>
              <w:rPr/>
            </w:pPr>
            <w:r>
              <w:rPr/>
              <w:t>Joint Venture</w:t>
            </w:r>
          </w:p>
        </w:tc>
        <w:tc>
          <w:tcPr>
            <w:tcW w:w="120" w:type="dxa"/>
            <w:tcBorders/>
            <w:shd w:fill="CCEEFF" w:val="clear"/>
            <w:vAlign w:val="center"/>
          </w:tcPr>
          <w:p>
            <w:pPr>
              <w:pStyle w:val="TableContents"/>
              <w:spacing w:before="0" w:after="283"/>
              <w:rPr/>
            </w:pPr>
            <w:r>
              <w:rPr/>
              <w:t>  </w:t>
            </w:r>
          </w:p>
        </w:tc>
        <w:tc>
          <w:tcPr>
            <w:tcW w:w="4569" w:type="dxa"/>
            <w:tcBorders/>
            <w:shd w:fill="CCEEFF" w:val="clear"/>
            <w:vAlign w:val="center"/>
          </w:tcPr>
          <w:p>
            <w:pPr>
              <w:pStyle w:val="TableContents"/>
              <w:spacing w:before="0" w:after="283"/>
              <w:rPr/>
            </w:pPr>
            <w:r>
              <w:rPr/>
              <w:t>Primarily invests in middle-market and other corporate debt consistent with PennantPark Investment Corporation’s strategy.</w:t>
            </w:r>
          </w:p>
        </w:tc>
        <w:tc>
          <w:tcPr>
            <w:tcW w:w="120"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1221" w:type="dxa"/>
            <w:tcBorders/>
            <w:shd w:fill="CCEEFF" w:val="clear"/>
            <w:vAlign w:val="center"/>
          </w:tcPr>
          <w:p>
            <w:pPr>
              <w:pStyle w:val="TableContents"/>
              <w:spacing w:before="0" w:after="283"/>
              <w:jc w:val="right"/>
              <w:rPr/>
            </w:pPr>
            <w:r>
              <w:rPr/>
              <w:t>$781</w:t>
            </w:r>
          </w:p>
        </w:tc>
        <w:tc>
          <w:tcPr>
            <w:tcW w:w="76" w:type="dxa"/>
            <w:tcBorders/>
            <w:shd w:fill="CCEEFF" w:val="clear"/>
            <w:vAlign w:val="center"/>
          </w:tcPr>
          <w:p>
            <w:pPr>
              <w:pStyle w:val="TableContents"/>
              <w:spacing w:before="0" w:after="283"/>
              <w:rPr/>
            </w:pPr>
            <w:r>
              <w:rPr/>
              <w:t> </w:t>
            </w:r>
          </w:p>
        </w:tc>
      </w:tr>
      <w:tr>
        <w:trPr/>
        <w:tc>
          <w:tcPr>
            <w:tcW w:w="1737" w:type="dxa"/>
            <w:tcBorders/>
            <w:shd w:fill="auto" w:val="clear"/>
            <w:vAlign w:val="center"/>
          </w:tcPr>
          <w:p>
            <w:pPr>
              <w:pStyle w:val="TableContents"/>
              <w:spacing w:before="0" w:after="283"/>
              <w:rPr>
                <w:sz w:val="4"/>
                <w:szCs w:val="4"/>
              </w:rPr>
            </w:pPr>
            <w:r>
              <w:rPr>
                <w:sz w:val="4"/>
                <w:szCs w:val="4"/>
              </w:rPr>
            </w:r>
          </w:p>
        </w:tc>
        <w:tc>
          <w:tcPr>
            <w:tcW w:w="2255" w:type="dxa"/>
            <w:gridSpan w:val="2"/>
            <w:tcBorders/>
            <w:shd w:fill="auto" w:val="clear"/>
            <w:vAlign w:val="center"/>
          </w:tcPr>
          <w:p>
            <w:pPr>
              <w:pStyle w:val="TableContents"/>
              <w:spacing w:before="0" w:after="283"/>
              <w:rPr>
                <w:sz w:val="4"/>
                <w:szCs w:val="4"/>
              </w:rPr>
            </w:pPr>
            <w:r>
              <w:rPr>
                <w:sz w:val="4"/>
                <w:szCs w:val="4"/>
              </w:rPr>
            </w:r>
          </w:p>
        </w:tc>
        <w:tc>
          <w:tcPr>
            <w:tcW w:w="4689" w:type="dxa"/>
            <w:gridSpan w:val="2"/>
            <w:tcBorders/>
            <w:shd w:fill="auto" w:val="clear"/>
            <w:vAlign w:val="center"/>
          </w:tcPr>
          <w:p>
            <w:pPr>
              <w:pStyle w:val="TableContents"/>
              <w:spacing w:before="0" w:after="283"/>
              <w:rPr>
                <w:sz w:val="4"/>
                <w:szCs w:val="4"/>
              </w:rPr>
            </w:pPr>
            <w:r>
              <w:rPr>
                <w:sz w:val="4"/>
                <w:szCs w:val="4"/>
              </w:rPr>
            </w:r>
          </w:p>
        </w:tc>
        <w:tc>
          <w:tcPr>
            <w:tcW w:w="1524" w:type="dxa"/>
            <w:gridSpan w:val="4"/>
            <w:tcBorders/>
            <w:shd w:fill="auto" w:val="clear"/>
            <w:vAlign w:val="center"/>
          </w:tcPr>
          <w:p>
            <w:pPr>
              <w:pStyle w:val="TableContents"/>
              <w:spacing w:before="0" w:after="283"/>
              <w:rPr>
                <w:sz w:val="4"/>
                <w:szCs w:val="4"/>
              </w:rPr>
            </w:pPr>
            <w:r>
              <w:rPr>
                <w:sz w:val="4"/>
                <w:szCs w:val="4"/>
              </w:rPr>
            </w:r>
          </w:p>
        </w:tc>
      </w:tr>
      <w:tr>
        <w:trPr/>
        <w:tc>
          <w:tcPr>
            <w:tcW w:w="173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Managed Funds</w:t>
            </w:r>
          </w:p>
        </w:tc>
        <w:tc>
          <w:tcPr>
            <w:tcW w:w="120" w:type="dxa"/>
            <w:tcBorders/>
            <w:shd w:fill="auto" w:val="clear"/>
            <w:vAlign w:val="center"/>
          </w:tcPr>
          <w:p>
            <w:pPr>
              <w:pStyle w:val="TableContents"/>
              <w:spacing w:before="0" w:after="283"/>
              <w:rPr/>
            </w:pPr>
            <w:r>
              <w:rPr/>
              <w:t>  </w:t>
            </w:r>
          </w:p>
        </w:tc>
        <w:tc>
          <w:tcPr>
            <w:tcW w:w="2135" w:type="dxa"/>
            <w:tcBorders/>
            <w:shd w:fill="auto" w:val="clear"/>
            <w:vAlign w:val="center"/>
          </w:tcPr>
          <w:p>
            <w:pPr>
              <w:pStyle w:val="TableContents"/>
              <w:spacing w:before="0" w:after="283"/>
              <w:rPr/>
            </w:pPr>
            <w:r>
              <w:rPr/>
              <w:t>Direct Lending Funds</w:t>
            </w:r>
          </w:p>
        </w:tc>
        <w:tc>
          <w:tcPr>
            <w:tcW w:w="120" w:type="dxa"/>
            <w:tcBorders/>
            <w:shd w:fill="auto" w:val="clear"/>
            <w:vAlign w:val="center"/>
          </w:tcPr>
          <w:p>
            <w:pPr>
              <w:pStyle w:val="TableContents"/>
              <w:spacing w:before="0" w:after="283"/>
              <w:rPr/>
            </w:pPr>
            <w:r>
              <w:rPr/>
              <w:t>  </w:t>
            </w:r>
          </w:p>
        </w:tc>
        <w:tc>
          <w:tcPr>
            <w:tcW w:w="4569" w:type="dxa"/>
            <w:tcBorders/>
            <w:shd w:fill="auto" w:val="clear"/>
            <w:vAlign w:val="center"/>
          </w:tcPr>
          <w:p>
            <w:pPr>
              <w:pStyle w:val="TableContents"/>
              <w:spacing w:before="0" w:after="283"/>
              <w:rPr/>
            </w:pPr>
            <w:r>
              <w:rPr/>
              <w:t>Other credit opportunities</w:t>
            </w:r>
          </w:p>
        </w:tc>
        <w:tc>
          <w:tcPr>
            <w:tcW w:w="12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1221" w:type="dxa"/>
            <w:tcBorders/>
            <w:shd w:fill="auto" w:val="clear"/>
            <w:vAlign w:val="center"/>
          </w:tcPr>
          <w:p>
            <w:pPr>
              <w:pStyle w:val="TableContents"/>
              <w:spacing w:before="0" w:after="283"/>
              <w:jc w:val="right"/>
              <w:rPr/>
            </w:pPr>
            <w:r>
              <w:rPr/>
              <w:t>$1,881</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The following table sets forth the dollar range of our common stock beneficially owned by each of our senior investment professionals as of September 30, 2022. Information as to the beneficial ownerships is based on information furnished to us by such persons. We are not part of a “family of investment companies,” as that term is defined in the 1940 Act. </w:t>
      </w:r>
    </w:p>
    <w:p>
      <w:pPr>
        <w:pStyle w:val="TextBody"/>
        <w:spacing w:before="0" w:after="0"/>
        <w:jc w:val="left"/>
        <w:rPr/>
      </w:pPr>
      <w:r>
        <w:rPr/>
        <w:t> </w:t>
      </w:r>
    </w:p>
    <w:tbl>
      <w:tblPr>
        <w:tblW w:w="4314" w:type="dxa"/>
        <w:jc w:val="left"/>
        <w:tblInd w:w="0" w:type="dxa"/>
        <w:tblCellMar>
          <w:top w:w="0" w:type="dxa"/>
          <w:left w:w="0" w:type="dxa"/>
          <w:bottom w:w="0" w:type="dxa"/>
          <w:right w:w="0" w:type="dxa"/>
        </w:tblCellMar>
      </w:tblPr>
      <w:tblGrid>
        <w:gridCol w:w="1835"/>
        <w:gridCol w:w="120"/>
        <w:gridCol w:w="60"/>
        <w:gridCol w:w="2224"/>
        <w:gridCol w:w="75"/>
      </w:tblGrid>
      <w:tr>
        <w:trPr/>
        <w:tc>
          <w:tcPr>
            <w:tcW w:w="1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84"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Dollar Range of the</w:t>
            </w:r>
            <w:r>
              <w:rPr/>
              <w:br/>
            </w:r>
            <w:r>
              <w:rPr>
                <w:b/>
              </w:rPr>
              <w:t>Common Stock of</w:t>
            </w:r>
            <w:r>
              <w:rPr/>
              <w:br/>
            </w:r>
            <w:r>
              <w:rPr>
                <w:b/>
              </w:rPr>
              <w:t>PennantPark Floating</w:t>
              <w:br/>
              <w:t>Rate Capital Ltd. (1)</w:t>
            </w:r>
          </w:p>
        </w:tc>
        <w:tc>
          <w:tcPr>
            <w:tcW w:w="75" w:type="dxa"/>
            <w:tcBorders/>
            <w:shd w:fill="auto" w:val="clear"/>
            <w:vAlign w:val="center"/>
          </w:tcPr>
          <w:p>
            <w:pPr>
              <w:pStyle w:val="TableContents"/>
              <w:spacing w:before="0" w:after="283"/>
              <w:rPr/>
            </w:pPr>
            <w:r>
              <w:rPr/>
              <w:t> </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Arthur H. Penn(2)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24" w:type="dxa"/>
            <w:tcBorders/>
            <w:shd w:fill="CCEEFF" w:val="clear"/>
            <w:vAlign w:val="center"/>
          </w:tcPr>
          <w:p>
            <w:pPr>
              <w:pStyle w:val="TableContents"/>
              <w:spacing w:before="0" w:after="283"/>
              <w:jc w:val="right"/>
              <w:rPr/>
            </w:pPr>
            <w:r>
              <w:rPr/>
              <w:t>Over $1,000,000</w:t>
            </w:r>
          </w:p>
        </w:tc>
        <w:tc>
          <w:tcPr>
            <w:tcW w:w="75" w:type="dxa"/>
            <w:tcBorders/>
            <w:shd w:fill="CCEEFF"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José A. Briones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24" w:type="dxa"/>
            <w:tcBorders/>
            <w:shd w:fill="auto" w:val="clear"/>
            <w:vAlign w:val="center"/>
          </w:tcPr>
          <w:p>
            <w:pPr>
              <w:pStyle w:val="TableContents"/>
              <w:spacing w:before="0" w:after="283"/>
              <w:jc w:val="right"/>
              <w:rPr/>
            </w:pPr>
            <w:r>
              <w:rPr/>
              <w:t>Over $1,000,000</w:t>
            </w:r>
          </w:p>
        </w:tc>
        <w:tc>
          <w:tcPr>
            <w:tcW w:w="75" w:type="dxa"/>
            <w:tcBorders/>
            <w:shd w:fill="auto" w:val="clear"/>
            <w:vAlign w:val="center"/>
          </w:tcPr>
          <w:p>
            <w:pPr>
              <w:pStyle w:val="TableContents"/>
              <w:spacing w:before="0" w:after="283"/>
              <w:rPr/>
            </w:pPr>
            <w:r>
              <w:rPr/>
              <w:t> </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Salvatore Giannetti III</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24" w:type="dxa"/>
            <w:tcBorders/>
            <w:shd w:fill="CCEEFF" w:val="clear"/>
            <w:vAlign w:val="center"/>
          </w:tcPr>
          <w:p>
            <w:pPr>
              <w:pStyle w:val="TableContents"/>
              <w:spacing w:before="0" w:after="283"/>
              <w:jc w:val="right"/>
              <w:rPr/>
            </w:pPr>
            <w:r>
              <w:rPr/>
              <w:t>Over $1,000,000</w:t>
            </w:r>
          </w:p>
        </w:tc>
        <w:tc>
          <w:tcPr>
            <w:tcW w:w="75" w:type="dxa"/>
            <w:tcBorders/>
            <w:shd w:fill="CCEEFF"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Ryan Raskopf</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24" w:type="dxa"/>
            <w:tcBorders/>
            <w:shd w:fill="auto" w:val="clear"/>
            <w:vAlign w:val="center"/>
          </w:tcPr>
          <w:p>
            <w:pPr>
              <w:pStyle w:val="TableContents"/>
              <w:spacing w:before="0" w:after="283"/>
              <w:jc w:val="right"/>
              <w:rPr/>
            </w:pPr>
            <w:r>
              <w:rPr/>
              <w:t>$100,001 - $500,000</w:t>
            </w:r>
          </w:p>
        </w:tc>
        <w:tc>
          <w:tcPr>
            <w:tcW w:w="75" w:type="dxa"/>
            <w:tcBorders/>
            <w:shd w:fill="auto" w:val="clear"/>
            <w:vAlign w:val="center"/>
          </w:tcPr>
          <w:p>
            <w:pPr>
              <w:pStyle w:val="TableContents"/>
              <w:spacing w:before="0" w:after="283"/>
              <w:rPr/>
            </w:pPr>
            <w:r>
              <w:rPr/>
              <w:t> </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Dan Horn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24" w:type="dxa"/>
            <w:tcBorders/>
            <w:shd w:fill="CCEEFF" w:val="clear"/>
            <w:vAlign w:val="center"/>
          </w:tcPr>
          <w:p>
            <w:pPr>
              <w:pStyle w:val="TableContents"/>
              <w:spacing w:before="0" w:after="283"/>
              <w:jc w:val="right"/>
              <w:rPr/>
            </w:pPr>
            <w:r>
              <w:rPr/>
              <w:t>Over $1,000,000</w:t>
            </w:r>
          </w:p>
        </w:tc>
        <w:tc>
          <w:tcPr>
            <w:tcW w:w="75" w:type="dxa"/>
            <w:tcBorders/>
            <w:shd w:fill="CCEEFF"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James Stone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24" w:type="dxa"/>
            <w:tcBorders/>
            <w:shd w:fill="auto" w:val="clear"/>
            <w:vAlign w:val="center"/>
          </w:tcPr>
          <w:p>
            <w:pPr>
              <w:pStyle w:val="TableContents"/>
              <w:spacing w:before="0" w:after="283"/>
              <w:jc w:val="right"/>
              <w:rPr/>
            </w:pPr>
            <w:r>
              <w:rPr/>
              <w:t>$10,001 - $50,000</w:t>
            </w:r>
          </w:p>
        </w:tc>
        <w:tc>
          <w:tcPr>
            <w:tcW w:w="75" w:type="dxa"/>
            <w:tcBorders/>
            <w:shd w:fill="auto" w:val="clear"/>
            <w:vAlign w:val="center"/>
          </w:tcPr>
          <w:p>
            <w:pPr>
              <w:pStyle w:val="TableContents"/>
              <w:spacing w:before="0" w:after="283"/>
              <w:rPr/>
            </w:pPr>
            <w:r>
              <w:rPr/>
              <w:t> </w:t>
            </w:r>
          </w:p>
        </w:tc>
      </w:tr>
      <w:tr>
        <w:trPr/>
        <w:tc>
          <w:tcPr>
            <w:tcW w:w="18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Steve Winograd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24" w:type="dxa"/>
            <w:tcBorders/>
            <w:shd w:fill="CCEEFF" w:val="clear"/>
            <w:vAlign w:val="center"/>
          </w:tcPr>
          <w:p>
            <w:pPr>
              <w:pStyle w:val="TableContents"/>
              <w:spacing w:before="0" w:after="283"/>
              <w:jc w:val="right"/>
              <w:rPr/>
            </w:pPr>
            <w:r>
              <w:rPr/>
              <w:t>$500,001 - $1,000,000</w:t>
            </w:r>
          </w:p>
        </w:tc>
        <w:tc>
          <w:tcPr>
            <w:tcW w:w="75"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t>(1)</w:t>
            </w:r>
          </w:p>
        </w:tc>
        <w:tc>
          <w:tcPr>
            <w:tcW w:w="994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Dollar ranges are as follows: None; $1-$10,000; $10,001-$50,000; $50,001-$100,000; $100,001-$500,000; $500,001-$1,000,000; or over $1,000,000. Beneficial ownership has been determined in accordance with Rule 16a-1(a)(2) promulgated under the Exchange Act. </w:t>
            </w:r>
          </w:p>
        </w:tc>
      </w:tr>
    </w:tbl>
    <w:p>
      <w:pPr>
        <w:pStyle w:val="TextBody"/>
        <w:spacing w:before="0" w:after="0"/>
        <w:jc w:val="left"/>
        <w:rPr/>
      </w:pPr>
      <w:r>
        <w:rPr/>
        <w:t> </w:t>
      </w:r>
    </w:p>
    <w:tbl>
      <w:tblPr>
        <w:tblW w:w="5635" w:type="dxa"/>
        <w:jc w:val="left"/>
        <w:tblInd w:w="0" w:type="dxa"/>
        <w:tblCellMar>
          <w:top w:w="0" w:type="dxa"/>
          <w:left w:w="0" w:type="dxa"/>
          <w:bottom w:w="0" w:type="dxa"/>
          <w:right w:w="0" w:type="dxa"/>
        </w:tblCellMar>
      </w:tblPr>
      <w:tblGrid>
        <w:gridCol w:w="305"/>
        <w:gridCol w:w="5330"/>
      </w:tblGrid>
      <w:tr>
        <w:trPr/>
        <w:tc>
          <w:tcPr>
            <w:tcW w:w="305" w:type="dxa"/>
            <w:tcBorders/>
            <w:shd w:fill="auto" w:val="clear"/>
            <w:vAlign w:val="center"/>
          </w:tcPr>
          <w:p>
            <w:pPr>
              <w:pStyle w:val="TableContents"/>
              <w:spacing w:before="0" w:after="283"/>
              <w:jc w:val="left"/>
              <w:rPr/>
            </w:pPr>
            <w:r>
              <w:rPr/>
              <w:t>(2)</w:t>
            </w:r>
          </w:p>
        </w:tc>
        <w:tc>
          <w:tcPr>
            <w:tcW w:w="53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Also reflects holdings of PennantPark Investment Advisers, LLC.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rPr/>
      </w:pPr>
      <w:r>
        <w:rPr/>
      </w:r>
    </w:p>
    <w:p>
      <w:pPr>
        <w:pStyle w:val="TextBody"/>
        <w:spacing w:before="0" w:after="0"/>
        <w:jc w:val="center"/>
        <w:rPr>
          <w:rFonts w:ascii="Times New Roman" w:hAnsi="Times New Roman"/>
          <w:b/>
          <w:sz w:val="20"/>
        </w:rPr>
      </w:pPr>
      <w:bookmarkStart w:id="17" w:name="toc478714_13"/>
      <w:bookmarkEnd w:id="17"/>
      <w:r>
        <w:rPr>
          <w:rFonts w:ascii="Times New Roman" w:hAnsi="Times New Roman"/>
          <w:b/>
          <w:sz w:val="20"/>
        </w:rPr>
        <w:t xml:space="preserve">DETERMINATION OF NET ASSET VALUE </w:t>
      </w:r>
    </w:p>
    <w:p>
      <w:pPr>
        <w:pStyle w:val="TextBody"/>
        <w:spacing w:before="240" w:after="0"/>
        <w:jc w:val="left"/>
        <w:rPr>
          <w:rFonts w:ascii="Times New Roman" w:hAnsi="Times New Roman"/>
          <w:sz w:val="20"/>
        </w:rPr>
      </w:pPr>
      <w:r>
        <w:rPr>
          <w:rFonts w:ascii="Times New Roman" w:hAnsi="Times New Roman"/>
          <w:sz w:val="20"/>
        </w:rPr>
        <w:t xml:space="preserve">The NAV per share of our outstanding shares of common stock is determined quarterly by dividing the value of total assets minus liabilities by the total number of shares outstanding. </w:t>
      </w:r>
    </w:p>
    <w:p>
      <w:pPr>
        <w:pStyle w:val="TextBody"/>
        <w:spacing w:before="240" w:after="0"/>
        <w:jc w:val="left"/>
        <w:rPr>
          <w:rFonts w:ascii="Times New Roman" w:hAnsi="Times New Roman"/>
          <w:sz w:val="20"/>
        </w:rPr>
      </w:pPr>
      <w:r>
        <w:rPr>
          <w:rFonts w:ascii="Times New Roman" w:hAnsi="Times New Roman"/>
          <w:sz w:val="20"/>
        </w:rPr>
        <w:t xml:space="preserve">As a BDC, we generally invest in illiquid securities including debt and equity investments of middle-market companies. </w:t>
      </w:r>
    </w:p>
    <w:p>
      <w:pPr>
        <w:pStyle w:val="TextBody"/>
        <w:spacing w:before="240" w:after="0"/>
        <w:jc w:val="left"/>
        <w:rPr>
          <w:rFonts w:ascii="Times New Roman" w:hAnsi="Times New Roman"/>
          <w:sz w:val="20"/>
        </w:rPr>
      </w:pPr>
      <w:r>
        <w:rPr>
          <w:rFonts w:ascii="Times New Roman" w:hAnsi="Times New Roman"/>
          <w:sz w:val="20"/>
        </w:rPr>
        <w:t xml:space="preserve">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57"/>
        <w:gridCol w:w="9873"/>
      </w:tblGrid>
      <w:tr>
        <w:trPr/>
        <w:tc>
          <w:tcPr>
            <w:tcW w:w="75"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jc w:val="left"/>
              <w:rPr/>
            </w:pPr>
            <w:r>
              <w:rPr/>
              <w:t>(1)</w:t>
            </w:r>
          </w:p>
        </w:tc>
        <w:tc>
          <w:tcPr>
            <w:tcW w:w="987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quarterly valuation process begins with each portfolio company or investment being initially valued by the investment professionals of our Investment Adviser responsible for the portfolio investment; </w:t>
            </w:r>
          </w:p>
        </w:tc>
      </w:tr>
    </w:tbl>
    <w:p>
      <w:pPr>
        <w:pStyle w:val="TextBody"/>
        <w:spacing w:before="0" w:after="0"/>
        <w:jc w:val="left"/>
        <w:rPr/>
      </w:pPr>
      <w:r>
        <w:rPr/>
        <w:t> </w:t>
      </w:r>
    </w:p>
    <w:tbl>
      <w:tblPr>
        <w:tblW w:w="10135" w:type="dxa"/>
        <w:jc w:val="left"/>
        <w:tblInd w:w="0" w:type="dxa"/>
        <w:tblCellMar>
          <w:top w:w="0" w:type="dxa"/>
          <w:left w:w="0" w:type="dxa"/>
          <w:bottom w:w="0" w:type="dxa"/>
          <w:right w:w="0" w:type="dxa"/>
        </w:tblCellMar>
      </w:tblPr>
      <w:tblGrid>
        <w:gridCol w:w="75"/>
        <w:gridCol w:w="290"/>
        <w:gridCol w:w="977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(2)</w:t>
            </w:r>
          </w:p>
        </w:tc>
        <w:tc>
          <w:tcPr>
            <w:tcW w:w="97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Preliminary valuation conclusions are then documented and discussed with the management of our Investment Adviser;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31"/>
        <w:gridCol w:w="9899"/>
      </w:tblGrid>
      <w:tr>
        <w:trPr/>
        <w:tc>
          <w:tcPr>
            <w:tcW w:w="75"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(3)</w:t>
            </w:r>
          </w:p>
        </w:tc>
        <w:tc>
          <w:tcPr>
            <w:tcW w:w="989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35"/>
        <w:gridCol w:w="9895"/>
      </w:tblGrid>
      <w:tr>
        <w:trPr/>
        <w:tc>
          <w:tcPr>
            <w:tcW w:w="75"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jc w:val="left"/>
              <w:rPr/>
            </w:pPr>
            <w:r>
              <w:rPr/>
              <w:t>(4)</w:t>
            </w:r>
          </w:p>
        </w:tc>
        <w:tc>
          <w:tcPr>
            <w:tcW w:w="98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50"/>
        <w:gridCol w:w="9880"/>
      </w:tblGrid>
      <w:tr>
        <w:trPr/>
        <w:tc>
          <w:tcPr>
            <w:tcW w:w="75"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jc w:val="left"/>
              <w:rPr/>
            </w:pPr>
            <w:r>
              <w:rPr/>
              <w:t>(5)</w:t>
            </w:r>
          </w:p>
        </w:tc>
        <w:tc>
          <w:tcPr>
            <w:tcW w:w="98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board of directors discusses these valuations and determines the fair value of each investment in our portfolio in good faith, based on the input of our Investment Adviser, the respective independent valuation firms and the audit committee. </w:t>
            </w:r>
          </w:p>
        </w:tc>
      </w:tr>
    </w:tbl>
    <w:p>
      <w:pPr>
        <w:pStyle w:val="TextBody"/>
        <w:spacing w:before="240" w:after="0"/>
        <w:jc w:val="left"/>
        <w:rPr>
          <w:rFonts w:ascii="Times New Roman" w:hAnsi="Times New Roman"/>
          <w:sz w:val="20"/>
        </w:rPr>
      </w:pPr>
      <w:r>
        <w:rPr>
          <w:rFonts w:ascii="Times New Roman" w:hAnsi="Times New Roman"/>
          <w:sz w:val="20"/>
        </w:rPr>
        <w:t xml:space="preserve">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To the extent we invest in derivative instruments in the future, such instruments would be valued in accordance with our valuation policy. </w:t>
      </w:r>
    </w:p>
    <w:p>
      <w:pPr>
        <w:pStyle w:val="TextBody"/>
        <w:spacing w:before="240" w:after="0"/>
        <w:jc w:val="left"/>
        <w:rPr>
          <w:rFonts w:ascii="Times New Roman" w:hAnsi="Times New Roman"/>
          <w:sz w:val="20"/>
        </w:rPr>
      </w:pPr>
      <w:r>
        <w:rPr>
          <w:rFonts w:ascii="Times New Roman" w:hAnsi="Times New Roman"/>
          <w:sz w:val="20"/>
        </w:rPr>
        <w:t xml:space="preserve">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 </w:t>
      </w:r>
    </w:p>
    <w:p>
      <w:pPr>
        <w:pStyle w:val="TextBody"/>
        <w:spacing w:before="240" w:after="0"/>
        <w:jc w:val="left"/>
        <w:rPr>
          <w:rFonts w:ascii="Times New Roman" w:hAnsi="Times New Roman"/>
          <w:sz w:val="20"/>
        </w:rPr>
      </w:pPr>
      <w:r>
        <w:rPr>
          <w:rFonts w:ascii="Times New Roman" w:hAnsi="Times New Roman"/>
          <w:sz w:val="20"/>
        </w:rPr>
        <w:t xml:space="preserve">ASC 820 classifies the inputs used to measure these fair values into the following hierarchies: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790"/>
        <w:gridCol w:w="9340"/>
      </w:tblGrid>
      <w:tr>
        <w:trPr/>
        <w:tc>
          <w:tcPr>
            <w:tcW w:w="75" w:type="dxa"/>
            <w:tcBorders/>
            <w:shd w:fill="auto" w:val="clear"/>
            <w:vAlign w:val="center"/>
          </w:tcPr>
          <w:p>
            <w:pPr>
              <w:pStyle w:val="TableContents"/>
              <w:spacing w:before="0" w:after="283"/>
              <w:rPr/>
            </w:pPr>
            <w:r>
              <w:rPr/>
              <w:t> </w:t>
            </w:r>
          </w:p>
        </w:tc>
        <w:tc>
          <w:tcPr>
            <w:tcW w:w="790" w:type="dxa"/>
            <w:tcBorders/>
            <w:shd w:fill="auto" w:val="clear"/>
            <w:vAlign w:val="center"/>
          </w:tcPr>
          <w:p>
            <w:pPr>
              <w:pStyle w:val="TableContents"/>
              <w:spacing w:before="0" w:after="283"/>
              <w:jc w:val="left"/>
              <w:rPr/>
            </w:pPr>
            <w:r>
              <w:rPr/>
              <w:t>Level 1:</w:t>
            </w:r>
          </w:p>
        </w:tc>
        <w:tc>
          <w:tcPr>
            <w:tcW w:w="93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Inputs that are quoted prices (unadjusted) in active markets for identical assets or liabilities, accessible by us at the measurement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759"/>
        <w:gridCol w:w="9371"/>
      </w:tblGrid>
      <w:tr>
        <w:trPr/>
        <w:tc>
          <w:tcPr>
            <w:tcW w:w="75" w:type="dxa"/>
            <w:tcBorders/>
            <w:shd w:fill="auto" w:val="clear"/>
            <w:vAlign w:val="center"/>
          </w:tcPr>
          <w:p>
            <w:pPr>
              <w:pStyle w:val="TableContents"/>
              <w:spacing w:before="0" w:after="283"/>
              <w:rPr/>
            </w:pPr>
            <w:r>
              <w:rPr/>
              <w:t> </w:t>
            </w:r>
          </w:p>
        </w:tc>
        <w:tc>
          <w:tcPr>
            <w:tcW w:w="759" w:type="dxa"/>
            <w:tcBorders/>
            <w:shd w:fill="auto" w:val="clear"/>
            <w:vAlign w:val="center"/>
          </w:tcPr>
          <w:p>
            <w:pPr>
              <w:pStyle w:val="TableContents"/>
              <w:spacing w:before="0" w:after="283"/>
              <w:jc w:val="left"/>
              <w:rPr/>
            </w:pPr>
            <w:r>
              <w:rPr/>
              <w:t>Level 2:</w:t>
            </w:r>
          </w:p>
        </w:tc>
        <w:tc>
          <w:tcPr>
            <w:tcW w:w="937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780"/>
        <w:gridCol w:w="9350"/>
      </w:tblGrid>
      <w:tr>
        <w:trPr/>
        <w:tc>
          <w:tcPr>
            <w:tcW w:w="75" w:type="dxa"/>
            <w:tcBorders/>
            <w:shd w:fill="auto" w:val="clear"/>
            <w:vAlign w:val="center"/>
          </w:tcPr>
          <w:p>
            <w:pPr>
              <w:pStyle w:val="TableContents"/>
              <w:spacing w:before="0" w:after="283"/>
              <w:rPr/>
            </w:pPr>
            <w:r>
              <w:rPr/>
              <w:t> </w:t>
            </w:r>
          </w:p>
        </w:tc>
        <w:tc>
          <w:tcPr>
            <w:tcW w:w="780" w:type="dxa"/>
            <w:tcBorders/>
            <w:shd w:fill="auto" w:val="clear"/>
            <w:vAlign w:val="center"/>
          </w:tcPr>
          <w:p>
            <w:pPr>
              <w:pStyle w:val="TableContents"/>
              <w:spacing w:before="0" w:after="283"/>
              <w:jc w:val="left"/>
              <w:rPr/>
            </w:pPr>
            <w:r>
              <w:rPr/>
              <w:t>Level 3:</w:t>
            </w:r>
          </w:p>
        </w:tc>
        <w:tc>
          <w:tcPr>
            <w:tcW w:w="93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Inputs that are unobservable for an asset or liability because they are based on our own assumptions about how market participants would price the asset or liability. </w:t>
            </w:r>
          </w:p>
        </w:tc>
      </w:tr>
    </w:tbl>
    <w:p>
      <w:pPr>
        <w:pStyle w:val="TextBody"/>
        <w:spacing w:before="240" w:after="0"/>
        <w:jc w:val="left"/>
        <w:rPr>
          <w:rFonts w:ascii="Times New Roman" w:hAnsi="Times New Roman"/>
          <w:sz w:val="20"/>
        </w:rPr>
      </w:pPr>
      <w:r>
        <w:rPr>
          <w:rFonts w:ascii="Times New Roman" w:hAnsi="Times New Roman"/>
          <w:sz w:val="20"/>
        </w:rPr>
        <w:t xml:space="preserve">A financial instrument’s categorization within the valuation hierarchy is based upon the lowest level of input that is significant to the fair value measurement. Generally, most of our investments, our 2031 Asset-Backed Debt and the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 </w:t>
      </w:r>
    </w:p>
    <w:p>
      <w:pPr>
        <w:pStyle w:val="TextBody"/>
        <w:spacing w:before="240" w:after="0"/>
        <w:jc w:val="left"/>
        <w:rPr>
          <w:rFonts w:ascii="Times New Roman" w:hAnsi="Times New Roman"/>
          <w:sz w:val="20"/>
        </w:rPr>
      </w:pPr>
      <w:r>
        <w:rPr>
          <w:rFonts w:ascii="Times New Roman" w:hAnsi="Times New Roman"/>
          <w:sz w:val="20"/>
        </w:rPr>
        <w:t xml:space="preserve">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 </w:t>
      </w:r>
    </w:p>
    <w:p>
      <w:pPr>
        <w:pStyle w:val="TextBody"/>
        <w:spacing w:before="360" w:after="0"/>
        <w:jc w:val="left"/>
        <w:rPr>
          <w:rFonts w:ascii="Times New Roman" w:hAnsi="Times New Roman"/>
          <w:b/>
          <w:sz w:val="20"/>
        </w:rPr>
      </w:pPr>
      <w:r>
        <w:rPr>
          <w:rFonts w:ascii="Times New Roman" w:hAnsi="Times New Roman"/>
          <w:b/>
          <w:sz w:val="20"/>
        </w:rPr>
        <w:t xml:space="preserve">Determinations In Connection With Offerings </w:t>
      </w:r>
    </w:p>
    <w:p>
      <w:pPr>
        <w:pStyle w:val="TextBody"/>
        <w:spacing w:before="120" w:after="0"/>
        <w:jc w:val="left"/>
        <w:rPr>
          <w:rFonts w:ascii="Times New Roman" w:hAnsi="Times New Roman"/>
          <w:sz w:val="20"/>
        </w:rPr>
      </w:pPr>
      <w:r>
        <w:rPr>
          <w:rFonts w:ascii="Times New Roman" w:hAnsi="Times New Roman"/>
          <w:sz w:val="20"/>
        </w:rPr>
        <w:t xml:space="preserve">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directors decides that such an offering is in the best interests of our common stockholders. Our board of directors will consider the following factors, among others, in making such determination: </w:t>
      </w:r>
    </w:p>
    <w:p>
      <w:pPr>
        <w:pStyle w:val="TextBody"/>
        <w:spacing w:before="0" w:after="0"/>
        <w:jc w:val="left"/>
        <w:rPr/>
      </w:pPr>
      <w:r>
        <w:rPr/>
        <w:t> </w:t>
      </w:r>
    </w:p>
    <w:tbl>
      <w:tblPr>
        <w:tblW w:w="8545" w:type="dxa"/>
        <w:jc w:val="left"/>
        <w:tblInd w:w="0" w:type="dxa"/>
        <w:tblCellMar>
          <w:top w:w="0" w:type="dxa"/>
          <w:left w:w="0" w:type="dxa"/>
          <w:bottom w:w="0" w:type="dxa"/>
          <w:right w:w="0" w:type="dxa"/>
        </w:tblCellMar>
      </w:tblPr>
      <w:tblGrid>
        <w:gridCol w:w="75"/>
        <w:gridCol w:w="110"/>
        <w:gridCol w:w="60"/>
        <w:gridCol w:w="83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NAV of our common stock disclosed in the most recent periodic report that we filed with the SEC;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magnitude of the difference between the offering price of the shares of our common stock in the proposed offering and management’s assessment of any change in the NAV of our common stock during the period discussed above. </w:t>
            </w:r>
          </w:p>
        </w:tc>
      </w:tr>
    </w:tbl>
    <w:p>
      <w:pPr>
        <w:pStyle w:val="TextBody"/>
        <w:spacing w:before="240" w:after="0"/>
        <w:jc w:val="left"/>
        <w:rPr>
          <w:rFonts w:ascii="Times New Roman" w:hAnsi="Times New Roman"/>
          <w:sz w:val="20"/>
        </w:rPr>
      </w:pPr>
      <w:r>
        <w:rPr>
          <w:rFonts w:ascii="Times New Roman" w:hAnsi="Times New Roman"/>
          <w:sz w:val="20"/>
        </w:rPr>
        <w:t xml:space="preserve">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 </w:t>
      </w:r>
    </w:p>
    <w:p>
      <w:pPr>
        <w:pStyle w:val="TextBody"/>
        <w:spacing w:before="240" w:after="0"/>
        <w:jc w:val="left"/>
        <w:rPr>
          <w:rFonts w:ascii="Times New Roman" w:hAnsi="Times New Roman"/>
          <w:sz w:val="20"/>
        </w:rPr>
      </w:pPr>
      <w:r>
        <w:rPr>
          <w:rFonts w:ascii="Times New Roman" w:hAnsi="Times New Roman"/>
          <w:sz w:val="20"/>
        </w:rPr>
        <w:t xml:space="preserve">In addition, we will only sell shares of our common stock at a price below NAV per share if the following conditions are met: </w:t>
      </w:r>
    </w:p>
    <w:p>
      <w:pPr>
        <w:pStyle w:val="TextBody"/>
        <w:spacing w:before="0" w:after="0"/>
        <w:jc w:val="left"/>
        <w:rPr/>
      </w:pPr>
      <w:r>
        <w:rPr/>
        <w:t> </w:t>
      </w:r>
    </w:p>
    <w:tbl>
      <w:tblPr>
        <w:tblW w:w="9640" w:type="dxa"/>
        <w:jc w:val="left"/>
        <w:tblInd w:w="0" w:type="dxa"/>
        <w:tblCellMar>
          <w:top w:w="0" w:type="dxa"/>
          <w:left w:w="0" w:type="dxa"/>
          <w:bottom w:w="0" w:type="dxa"/>
          <w:right w:w="0" w:type="dxa"/>
        </w:tblCellMar>
      </w:tblPr>
      <w:tblGrid>
        <w:gridCol w:w="75"/>
        <w:gridCol w:w="110"/>
        <w:gridCol w:w="60"/>
        <w:gridCol w:w="93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majority of our independent directors who have no financial interest in the sale must have approved the sale;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 </w:t>
            </w:r>
          </w:p>
        </w:tc>
      </w:tr>
    </w:tbl>
    <w:p>
      <w:pPr>
        <w:pStyle w:val="TextBody"/>
        <w:spacing w:before="240" w:after="0"/>
        <w:jc w:val="left"/>
        <w:rPr>
          <w:rFonts w:ascii="Times New Roman" w:hAnsi="Times New Roman"/>
          <w:sz w:val="20"/>
        </w:rPr>
      </w:pPr>
      <w:r>
        <w:rPr>
          <w:rFonts w:ascii="Times New Roman" w:hAnsi="Times New Roman"/>
          <w:sz w:val="20"/>
        </w:rPr>
        <w:t xml:space="preserve">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 </w:t>
      </w:r>
    </w:p>
    <w:p>
      <w:pPr>
        <w:pStyle w:val="TextBody"/>
        <w:spacing w:before="240" w:after="0"/>
        <w:jc w:val="left"/>
        <w:rPr>
          <w:rFonts w:ascii="Times New Roman" w:hAnsi="Times New Roman"/>
          <w:sz w:val="20"/>
        </w:rPr>
      </w:pPr>
      <w:r>
        <w:rPr>
          <w:rFonts w:ascii="Times New Roman" w:hAnsi="Times New Roman"/>
          <w:sz w:val="20"/>
        </w:rPr>
        <w:t xml:space="preserve">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rPr/>
      </w:pPr>
      <w:r>
        <w:rPr/>
      </w:r>
    </w:p>
    <w:p>
      <w:pPr>
        <w:pStyle w:val="TextBody"/>
        <w:spacing w:before="0" w:after="0"/>
        <w:jc w:val="center"/>
        <w:rPr>
          <w:rFonts w:ascii="Times New Roman" w:hAnsi="Times New Roman"/>
          <w:b/>
          <w:sz w:val="20"/>
        </w:rPr>
      </w:pPr>
      <w:bookmarkStart w:id="18" w:name="toc478714_15"/>
      <w:bookmarkEnd w:id="18"/>
      <w:r>
        <w:rPr>
          <w:rFonts w:ascii="Times New Roman" w:hAnsi="Times New Roman"/>
          <w:b/>
          <w:sz w:val="20"/>
        </w:rPr>
        <w:t xml:space="preserve">DESCRIPTION OF OUR CAPITAL STOCK </w:t>
      </w:r>
    </w:p>
    <w:p>
      <w:pPr>
        <w:pStyle w:val="TextBody"/>
        <w:spacing w:before="240" w:after="0"/>
        <w:jc w:val="left"/>
        <w:rPr>
          <w:rFonts w:ascii="Times New Roman" w:hAnsi="Times New Roman"/>
          <w:sz w:val="20"/>
        </w:rPr>
      </w:pPr>
      <w:r>
        <w:rPr>
          <w:rFonts w:ascii="Times New Roman" w:hAnsi="Times New Roman"/>
          <w:sz w:val="20"/>
        </w:rPr>
        <w:t xml:space="preserve">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 </w:t>
      </w:r>
    </w:p>
    <w:p>
      <w:pPr>
        <w:pStyle w:val="TextBody"/>
        <w:spacing w:before="360" w:after="0"/>
        <w:jc w:val="left"/>
        <w:rPr>
          <w:rFonts w:ascii="Times New Roman" w:hAnsi="Times New Roman"/>
          <w:b/>
          <w:sz w:val="20"/>
        </w:rPr>
      </w:pPr>
      <w:r>
        <w:rPr>
          <w:rFonts w:ascii="Times New Roman" w:hAnsi="Times New Roman"/>
          <w:b/>
          <w:sz w:val="20"/>
        </w:rPr>
        <w:t xml:space="preserve">Capital Stock </w:t>
      </w:r>
    </w:p>
    <w:p>
      <w:pPr>
        <w:pStyle w:val="TextBody"/>
        <w:spacing w:before="120" w:after="0"/>
        <w:jc w:val="left"/>
        <w:rPr>
          <w:rFonts w:ascii="Times New Roman" w:hAnsi="Times New Roman"/>
          <w:sz w:val="20"/>
        </w:rPr>
      </w:pPr>
      <w:r>
        <w:rPr>
          <w:rFonts w:ascii="Times New Roman" w:hAnsi="Times New Roman"/>
          <w:sz w:val="20"/>
        </w:rPr>
        <w:t xml:space="preserve">As of September 30, 2022, our authorized capital stock consisted of 100,000,000 shares of stock, par value $0.001 per share, all of which is classified as common stock. Our common stock is quoted on The New York Stock Exchange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 </w:t>
      </w:r>
    </w:p>
    <w:p>
      <w:pPr>
        <w:pStyle w:val="TextBody"/>
        <w:spacing w:before="240" w:after="0"/>
        <w:jc w:val="left"/>
        <w:rPr>
          <w:rFonts w:ascii="Times New Roman" w:hAnsi="Times New Roman"/>
          <w:sz w:val="20"/>
        </w:rPr>
      </w:pPr>
      <w:r>
        <w:rPr>
          <w:rFonts w:ascii="Times New Roman" w:hAnsi="Times New Roman"/>
          <w:sz w:val="20"/>
        </w:rPr>
        <w:t xml:space="preserve">The last reported closing market price of our common stock on December 13, 2022 was $11.44 per share. As of September 30, 2022, we had 37 stockholders of record. </w:t>
      </w:r>
    </w:p>
    <w:p>
      <w:pPr>
        <w:pStyle w:val="TextBody"/>
        <w:spacing w:before="240" w:after="0"/>
        <w:jc w:val="left"/>
        <w:rPr>
          <w:rFonts w:ascii="Times New Roman" w:hAnsi="Times New Roman"/>
          <w:sz w:val="20"/>
        </w:rPr>
      </w:pPr>
      <w:r>
        <w:rPr>
          <w:rFonts w:ascii="Times New Roman" w:hAnsi="Times New Roman"/>
          <w:sz w:val="20"/>
        </w:rPr>
        <w:t xml:space="preserve">The following are our outstanding classes of securities as of November 30, 2022: </w:t>
      </w:r>
    </w:p>
    <w:p>
      <w:pPr>
        <w:pStyle w:val="TextBody"/>
        <w:spacing w:before="0" w:after="0"/>
        <w:jc w:val="left"/>
        <w:rPr/>
      </w:pPr>
      <w:r>
        <w:rPr/>
        <w:t> </w:t>
      </w:r>
    </w:p>
    <w:tbl>
      <w:tblPr>
        <w:tblW w:w="8345" w:type="dxa"/>
        <w:jc w:val="left"/>
        <w:tblInd w:w="0" w:type="dxa"/>
        <w:tblCellMar>
          <w:top w:w="0" w:type="dxa"/>
          <w:left w:w="0" w:type="dxa"/>
          <w:bottom w:w="0" w:type="dxa"/>
          <w:right w:w="0" w:type="dxa"/>
        </w:tblCellMar>
      </w:tblPr>
      <w:tblGrid>
        <w:gridCol w:w="3515"/>
        <w:gridCol w:w="120"/>
        <w:gridCol w:w="60"/>
        <w:gridCol w:w="1220"/>
        <w:gridCol w:w="60"/>
        <w:gridCol w:w="120"/>
        <w:gridCol w:w="233"/>
        <w:gridCol w:w="1482"/>
        <w:gridCol w:w="60"/>
        <w:gridCol w:w="120"/>
        <w:gridCol w:w="66"/>
        <w:gridCol w:w="1214"/>
        <w:gridCol w:w="75"/>
      </w:tblGrid>
      <w:tr>
        <w:trPr/>
        <w:tc>
          <w:tcPr>
            <w:tcW w:w="35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51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Title of Class</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Amount</w:t>
              <w:br/>
              <w:t>Authorized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Amount Held by</w:t>
              <w:br/>
              <w:t>Us or for Our</w:t>
              <w:br/>
              <w:t>Account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Amount</w:t>
              <w:br/>
              <w:t>Outstanding</w:t>
            </w:r>
          </w:p>
        </w:tc>
        <w:tc>
          <w:tcPr>
            <w:tcW w:w="75" w:type="dxa"/>
            <w:tcBorders/>
            <w:shd w:fill="auto" w:val="clear"/>
            <w:vAlign w:val="center"/>
          </w:tcPr>
          <w:p>
            <w:pPr>
              <w:pStyle w:val="TableContents"/>
              <w:spacing w:before="0" w:after="283"/>
              <w:rPr/>
            </w:pPr>
            <w:r>
              <w:rPr/>
              <w:t> </w:t>
            </w:r>
          </w:p>
        </w:tc>
      </w:tr>
      <w:tr>
        <w:trPr/>
        <w:tc>
          <w:tcPr>
            <w:tcW w:w="35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Common Stock, par value $0.001 per share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100,000,000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 </w:t>
            </w:r>
          </w:p>
        </w:tc>
        <w:tc>
          <w:tcPr>
            <w:tcW w:w="148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rPr/>
            </w:pPr>
            <w:r>
              <w:rPr/>
              <w:t> </w:t>
            </w:r>
          </w:p>
        </w:tc>
        <w:tc>
          <w:tcPr>
            <w:tcW w:w="1214" w:type="dxa"/>
            <w:tcBorders/>
            <w:shd w:fill="CCEEFF" w:val="clear"/>
            <w:vAlign w:val="center"/>
          </w:tcPr>
          <w:p>
            <w:pPr>
              <w:pStyle w:val="TableContents"/>
              <w:spacing w:before="0" w:after="283"/>
              <w:jc w:val="right"/>
              <w:rPr/>
            </w:pPr>
            <w:r>
              <w:rPr/>
              <w:t>45,345,638</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 </w:t>
      </w:r>
    </w:p>
    <w:p>
      <w:pPr>
        <w:pStyle w:val="TextBody"/>
        <w:spacing w:before="360" w:after="0"/>
        <w:jc w:val="left"/>
        <w:rPr>
          <w:rFonts w:ascii="Times New Roman" w:hAnsi="Times New Roman"/>
          <w:b/>
          <w:sz w:val="20"/>
        </w:rPr>
      </w:pPr>
      <w:r>
        <w:rPr>
          <w:rFonts w:ascii="Times New Roman" w:hAnsi="Times New Roman"/>
          <w:b/>
          <w:sz w:val="20"/>
        </w:rPr>
        <w:t xml:space="preserve">Common Stock </w:t>
      </w:r>
    </w:p>
    <w:p>
      <w:pPr>
        <w:pStyle w:val="TextBody"/>
        <w:spacing w:before="120" w:after="0"/>
        <w:jc w:val="left"/>
        <w:rPr>
          <w:rFonts w:ascii="Times New Roman" w:hAnsi="Times New Roman"/>
          <w:sz w:val="20"/>
        </w:rPr>
      </w:pPr>
      <w:r>
        <w:rPr>
          <w:rFonts w:ascii="Times New Roman" w:hAnsi="Times New Roman"/>
          <w:sz w:val="20"/>
        </w:rPr>
        <w:t xml:space="preserve">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 </w:t>
      </w:r>
    </w:p>
    <w:p>
      <w:pPr>
        <w:pStyle w:val="TextBody"/>
        <w:spacing w:before="360" w:after="0"/>
        <w:jc w:val="left"/>
        <w:rPr>
          <w:rFonts w:ascii="Times New Roman" w:hAnsi="Times New Roman"/>
          <w:b/>
          <w:sz w:val="20"/>
        </w:rPr>
      </w:pPr>
      <w:r>
        <w:rPr>
          <w:rFonts w:ascii="Times New Roman" w:hAnsi="Times New Roman"/>
          <w:b/>
          <w:sz w:val="20"/>
        </w:rPr>
        <w:t xml:space="preserve">Limitation on Liability of Directors and Officers; Indemnification and Advance of Expenses </w:t>
      </w:r>
    </w:p>
    <w:p>
      <w:pPr>
        <w:pStyle w:val="TextBody"/>
        <w:spacing w:before="120" w:after="0"/>
        <w:jc w:val="left"/>
        <w:rPr>
          <w:rFonts w:ascii="Times New Roman" w:hAnsi="Times New Roman"/>
          <w:sz w:val="20"/>
        </w:rPr>
      </w:pPr>
      <w:r>
        <w:rPr>
          <w:rFonts w:ascii="Times New Roman" w:hAnsi="Times New Roman"/>
          <w:sz w:val="20"/>
        </w:rPr>
        <w:t xml:space="preserve">Maryland law permits a Maryland corporation to include in its charter a provision eliminating the liability of its directors and officers to the corporation and its stockholders for money damages except for liability resulting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w:t>
      </w:r>
    </w:p>
    <w:p>
      <w:pPr>
        <w:pStyle w:val="TextBody"/>
        <w:spacing w:before="240" w:after="0"/>
        <w:jc w:val="left"/>
        <w:rPr>
          <w:rFonts w:ascii="Times New Roman" w:hAnsi="Times New Roman"/>
          <w:sz w:val="20"/>
        </w:rPr>
      </w:pPr>
      <w:r>
        <w:rPr>
          <w:rFonts w:ascii="Times New Roman" w:hAnsi="Times New Roman"/>
          <w:sz w:val="20"/>
        </w:rPr>
        <w:t xml:space="preserve">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w:t>
      </w:r>
    </w:p>
    <w:p>
      <w:pPr>
        <w:pStyle w:val="TextBody"/>
        <w:spacing w:before="240" w:after="0"/>
        <w:jc w:val="left"/>
        <w:rPr>
          <w:rFonts w:ascii="Times New Roman" w:hAnsi="Times New Roman"/>
          <w:sz w:val="20"/>
        </w:rPr>
      </w:pPr>
      <w:r>
        <w:rPr>
          <w:rFonts w:ascii="Times New Roman" w:hAnsi="Times New Roman"/>
          <w:sz w:val="20"/>
        </w:rPr>
        <w:t xml:space="preserve">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spacing w:before="240" w:after="0"/>
        <w:jc w:val="left"/>
        <w:rPr>
          <w:rFonts w:ascii="Times New Roman" w:hAnsi="Times New Roman"/>
          <w:sz w:val="20"/>
        </w:rPr>
      </w:pPr>
      <w:r>
        <w:rPr>
          <w:rFonts w:ascii="Times New Roman" w:hAnsi="Times New Roman"/>
          <w:sz w:val="20"/>
        </w:rPr>
        <w:t xml:space="preserve">In addition to the indemnification provided for in our charter and bylaws, we have entered into indemnification agreements with each of our current directors and certain of our officers that provide for the maximum indemnification permitted under Maryland law and the 1940 Act. </w:t>
      </w:r>
    </w:p>
    <w:p>
      <w:pPr>
        <w:pStyle w:val="TextBody"/>
        <w:spacing w:before="240" w:after="0"/>
        <w:jc w:val="left"/>
        <w:rPr>
          <w:rFonts w:ascii="Times New Roman" w:hAnsi="Times New Roman"/>
          <w:sz w:val="20"/>
        </w:rPr>
      </w:pPr>
      <w:r>
        <w:rPr>
          <w:rFonts w:ascii="Times New Roman" w:hAnsi="Times New Roman"/>
          <w:sz w:val="20"/>
        </w:rPr>
        <w:t xml:space="preserve">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 xml:space="preserve">Provisions of the Maryland General Corporation Law and our Charter and Bylaws </w:t>
      </w:r>
    </w:p>
    <w:p>
      <w:pPr>
        <w:pStyle w:val="TextBody"/>
        <w:spacing w:before="120" w:after="0"/>
        <w:jc w:val="left"/>
        <w:rPr>
          <w:rFonts w:ascii="Times New Roman" w:hAnsi="Times New Roman"/>
          <w:sz w:val="20"/>
        </w:rPr>
      </w:pPr>
      <w:r>
        <w:rPr>
          <w:rFonts w:ascii="Times New Roman" w:hAnsi="Times New Roman"/>
          <w:sz w:val="20"/>
        </w:rPr>
        <w:t xml:space="preserve">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 </w:t>
      </w:r>
    </w:p>
    <w:p>
      <w:pPr>
        <w:pStyle w:val="TextBody"/>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spacing w:before="120" w:after="0"/>
        <w:jc w:val="left"/>
        <w:rPr>
          <w:rFonts w:ascii="Times New Roman" w:hAnsi="Times New Roman"/>
          <w:sz w:val="20"/>
        </w:rPr>
      </w:pPr>
      <w:r>
        <w:rPr>
          <w:rFonts w:ascii="Times New Roman" w:hAnsi="Times New Roman"/>
          <w:sz w:val="20"/>
        </w:rPr>
        <w:t xml:space="preserve">Our board of directors is divided into three classes of directors serving staggered three-year terms. The terms of the first, second and third classes will expire at the annual meeting of stockholders held in 2024, 2025 and 2023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 </w:t>
      </w:r>
    </w:p>
    <w:p>
      <w:pPr>
        <w:pStyle w:val="TextBody"/>
        <w:spacing w:before="360" w:after="0"/>
        <w:jc w:val="left"/>
        <w:rPr>
          <w:rFonts w:ascii="Times New Roman" w:hAnsi="Times New Roman"/>
          <w:b/>
          <w:i/>
          <w:sz w:val="20"/>
        </w:rPr>
      </w:pPr>
      <w:r>
        <w:rPr>
          <w:rFonts w:ascii="Times New Roman" w:hAnsi="Times New Roman"/>
          <w:b/>
          <w:i/>
          <w:sz w:val="20"/>
        </w:rPr>
        <w:t xml:space="preserve">Election of directors </w:t>
      </w:r>
    </w:p>
    <w:p>
      <w:pPr>
        <w:pStyle w:val="TextBody"/>
        <w:spacing w:before="120" w:after="0"/>
        <w:jc w:val="left"/>
        <w:rPr>
          <w:rFonts w:ascii="Times New Roman" w:hAnsi="Times New Roman"/>
          <w:sz w:val="20"/>
        </w:rPr>
      </w:pPr>
      <w:r>
        <w:rPr>
          <w:rFonts w:ascii="Times New Roman" w:hAnsi="Times New Roman"/>
          <w:sz w:val="20"/>
        </w:rPr>
        <w:t xml:space="preserve">Our charter and bylaws provide that, to elect a director, the affirmative vote of a majority of the total votes cast with respect to a director nominee is required (i.e., the number of votes cast for a director nominee must exceed the number of votes cast against the nominee), provided that if the election is contested, directors shall be elected by a plurality of the votes cast. Pursuant to the charter, our board of directors may amend the bylaws to alter the vote required to elect directors. </w:t>
      </w:r>
    </w:p>
    <w:p>
      <w:pPr>
        <w:pStyle w:val="TextBody"/>
        <w:spacing w:before="360" w:after="0"/>
        <w:jc w:val="left"/>
        <w:rPr>
          <w:rFonts w:ascii="Times New Roman" w:hAnsi="Times New Roman"/>
          <w:b/>
          <w:i/>
          <w:sz w:val="20"/>
        </w:rPr>
      </w:pPr>
      <w:r>
        <w:rPr>
          <w:rFonts w:ascii="Times New Roman" w:hAnsi="Times New Roman"/>
          <w:b/>
          <w:i/>
          <w:sz w:val="20"/>
        </w:rPr>
        <w:t xml:space="preserve">Number of directors; vacancies; removal </w:t>
      </w:r>
    </w:p>
    <w:p>
      <w:pPr>
        <w:pStyle w:val="TextBody"/>
        <w:spacing w:before="120" w:after="0"/>
        <w:jc w:val="left"/>
        <w:rPr>
          <w:rFonts w:ascii="Times New Roman" w:hAnsi="Times New Roman"/>
          <w:sz w:val="20"/>
        </w:rPr>
      </w:pPr>
      <w:r>
        <w:rPr>
          <w:rFonts w:ascii="Times New Roman" w:hAnsi="Times New Roman"/>
          <w:sz w:val="20"/>
        </w:rPr>
        <w:t xml:space="preserve">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w:t>
      </w:r>
    </w:p>
    <w:p>
      <w:pPr>
        <w:pStyle w:val="TextBody"/>
        <w:spacing w:before="240" w:after="0"/>
        <w:jc w:val="left"/>
        <w:rPr>
          <w:rFonts w:ascii="Times New Roman" w:hAnsi="Times New Roman"/>
          <w:sz w:val="20"/>
        </w:rPr>
      </w:pPr>
      <w:r>
        <w:rPr>
          <w:rFonts w:ascii="Times New Roman" w:hAnsi="Times New Roman"/>
          <w:sz w:val="20"/>
        </w:rPr>
        <w:t xml:space="preserve">Our charter provides that a director may be removed only for cause, as defined in our charter, and then only by the affirmative vote of at least two-thirds of the votes entitled to be cast generally in the election of directors. </w:t>
      </w:r>
    </w:p>
    <w:p>
      <w:pPr>
        <w:pStyle w:val="TextBody"/>
        <w:spacing w:before="360" w:after="0"/>
        <w:jc w:val="left"/>
        <w:rPr>
          <w:rFonts w:ascii="Times New Roman" w:hAnsi="Times New Roman"/>
          <w:b/>
          <w:i/>
          <w:sz w:val="20"/>
        </w:rPr>
      </w:pPr>
      <w:r>
        <w:rPr>
          <w:rFonts w:ascii="Times New Roman" w:hAnsi="Times New Roman"/>
          <w:b/>
          <w:i/>
          <w:sz w:val="20"/>
        </w:rPr>
        <w:t xml:space="preserve">Action by stockholders </w:t>
      </w:r>
    </w:p>
    <w:p>
      <w:pPr>
        <w:pStyle w:val="TextBody"/>
        <w:spacing w:before="120" w:after="0"/>
        <w:jc w:val="left"/>
        <w:rPr>
          <w:rFonts w:ascii="Times New Roman" w:hAnsi="Times New Roman"/>
          <w:sz w:val="20"/>
        </w:rPr>
      </w:pPr>
      <w:r>
        <w:rPr>
          <w:rFonts w:ascii="Times New Roman" w:hAnsi="Times New Roman"/>
          <w:sz w:val="20"/>
        </w:rPr>
        <w:t xml:space="preserve">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rPr/>
      </w:pPr>
      <w:r>
        <w:rPr/>
      </w:r>
    </w:p>
    <w:p>
      <w:pPr>
        <w:pStyle w:val="TextBody"/>
        <w:spacing w:before="0" w:after="0"/>
        <w:jc w:val="left"/>
        <w:rPr>
          <w:rFonts w:ascii="Times New Roman" w:hAnsi="Times New Roman"/>
          <w:b/>
          <w:i/>
          <w:sz w:val="20"/>
        </w:rPr>
      </w:pPr>
      <w:r>
        <w:rPr>
          <w:rFonts w:ascii="Times New Roman" w:hAnsi="Times New Roman"/>
          <w:b/>
          <w:i/>
          <w:sz w:val="20"/>
        </w:rPr>
        <w:t xml:space="preserve">Advance notice provisions for stockholder nominations and stockholder proposals </w:t>
      </w:r>
    </w:p>
    <w:p>
      <w:pPr>
        <w:pStyle w:val="TextBody"/>
        <w:spacing w:before="120" w:after="0"/>
        <w:jc w:val="left"/>
        <w:rPr>
          <w:rFonts w:ascii="Times New Roman" w:hAnsi="Times New Roman"/>
          <w:sz w:val="20"/>
        </w:rPr>
      </w:pPr>
      <w:r>
        <w:rPr>
          <w:rFonts w:ascii="Times New Roman" w:hAnsi="Times New Roman"/>
          <w:sz w:val="20"/>
        </w:rPr>
        <w:t xml:space="preserve">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 </w:t>
      </w:r>
    </w:p>
    <w:p>
      <w:pPr>
        <w:pStyle w:val="TextBody"/>
        <w:spacing w:before="240" w:after="0"/>
        <w:jc w:val="left"/>
        <w:rPr>
          <w:rFonts w:ascii="Times New Roman" w:hAnsi="Times New Roman"/>
          <w:sz w:val="20"/>
        </w:rPr>
      </w:pPr>
      <w:r>
        <w:rPr>
          <w:rFonts w:ascii="Times New Roman" w:hAnsi="Times New Roman"/>
          <w:sz w:val="20"/>
        </w:rPr>
        <w:t xml:space="preserve">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 </w:t>
      </w:r>
    </w:p>
    <w:p>
      <w:pPr>
        <w:pStyle w:val="TextBody"/>
        <w:spacing w:before="360" w:after="0"/>
        <w:jc w:val="left"/>
        <w:rPr>
          <w:rFonts w:ascii="Times New Roman" w:hAnsi="Times New Roman"/>
          <w:b/>
          <w:i/>
          <w:sz w:val="20"/>
        </w:rPr>
      </w:pPr>
      <w:r>
        <w:rPr>
          <w:rFonts w:ascii="Times New Roman" w:hAnsi="Times New Roman"/>
          <w:b/>
          <w:i/>
          <w:sz w:val="20"/>
        </w:rPr>
        <w:t xml:space="preserve">Calling of special meetings of stockholders </w:t>
      </w:r>
    </w:p>
    <w:p>
      <w:pPr>
        <w:pStyle w:val="TextBody"/>
        <w:spacing w:before="120" w:after="0"/>
        <w:jc w:val="left"/>
        <w:rPr>
          <w:rFonts w:ascii="Times New Roman" w:hAnsi="Times New Roman"/>
          <w:sz w:val="20"/>
        </w:rPr>
      </w:pPr>
      <w:r>
        <w:rPr>
          <w:rFonts w:ascii="Times New Roman" w:hAnsi="Times New Roman"/>
          <w:sz w:val="20"/>
        </w:rPr>
        <w:t xml:space="preserve">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 </w:t>
      </w:r>
    </w:p>
    <w:p>
      <w:pPr>
        <w:pStyle w:val="TextBody"/>
        <w:spacing w:before="360" w:after="0"/>
        <w:jc w:val="left"/>
        <w:rPr>
          <w:rFonts w:ascii="Times New Roman" w:hAnsi="Times New Roman"/>
          <w:b/>
          <w:i/>
          <w:sz w:val="20"/>
        </w:rPr>
      </w:pPr>
      <w:r>
        <w:rPr>
          <w:rFonts w:ascii="Times New Roman" w:hAnsi="Times New Roman"/>
          <w:b/>
          <w:i/>
          <w:sz w:val="20"/>
        </w:rPr>
        <w:t xml:space="preserve">Approval of extraordinary corporate action; amendment of charter and bylaws </w:t>
      </w:r>
    </w:p>
    <w:p>
      <w:pPr>
        <w:pStyle w:val="TextBody"/>
        <w:spacing w:before="120" w:after="0"/>
        <w:jc w:val="left"/>
        <w:rPr>
          <w:rFonts w:ascii="Times New Roman" w:hAnsi="Times New Roman"/>
          <w:sz w:val="20"/>
        </w:rPr>
      </w:pPr>
      <w:r>
        <w:rPr>
          <w:rFonts w:ascii="Times New Roman" w:hAnsi="Times New Roman"/>
          <w:sz w:val="20"/>
        </w:rPr>
        <w:t xml:space="preserve">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Our charter and bylaws provide that the board of directors will have the exclusive power to adopt, alter or repeal any provision of our bylaws and to make new bylaws. </w:t>
      </w:r>
    </w:p>
    <w:p>
      <w:pPr>
        <w:pStyle w:val="TextBody"/>
        <w:spacing w:before="360" w:after="0"/>
        <w:jc w:val="left"/>
        <w:rPr>
          <w:rFonts w:ascii="Times New Roman" w:hAnsi="Times New Roman"/>
          <w:b/>
          <w:i/>
          <w:sz w:val="20"/>
        </w:rPr>
      </w:pPr>
      <w:r>
        <w:rPr>
          <w:rFonts w:ascii="Times New Roman" w:hAnsi="Times New Roman"/>
          <w:b/>
          <w:i/>
          <w:sz w:val="20"/>
        </w:rPr>
        <w:t xml:space="preserve">No appraisal rights </w:t>
      </w:r>
    </w:p>
    <w:p>
      <w:pPr>
        <w:pStyle w:val="TextBody"/>
        <w:spacing w:before="120" w:after="0"/>
        <w:jc w:val="left"/>
        <w:rPr>
          <w:rFonts w:ascii="Times New Roman" w:hAnsi="Times New Roman"/>
          <w:sz w:val="20"/>
        </w:rPr>
      </w:pPr>
      <w:r>
        <w:rPr>
          <w:rFonts w:ascii="Times New Roman" w:hAnsi="Times New Roman"/>
          <w:sz w:val="20"/>
        </w:rPr>
        <w:t xml:space="preserve">Except with respect to appraisal rights arising in connection with the Control Share Acquisition Act discussed below, as permitted by the Maryland General Corporation Law, our charter provides that stockholders will not be entitled to exercise appraisal rights. </w:t>
      </w:r>
    </w:p>
    <w:p>
      <w:pPr>
        <w:pStyle w:val="TextBody"/>
        <w:spacing w:before="360" w:after="0"/>
        <w:jc w:val="left"/>
        <w:rPr>
          <w:rFonts w:ascii="Times New Roman" w:hAnsi="Times New Roman"/>
          <w:b/>
          <w:i/>
          <w:sz w:val="20"/>
        </w:rPr>
      </w:pPr>
      <w:r>
        <w:rPr>
          <w:rFonts w:ascii="Times New Roman" w:hAnsi="Times New Roman"/>
          <w:b/>
          <w:i/>
          <w:sz w:val="20"/>
        </w:rPr>
        <w:t xml:space="preserve">Control share acquisitions </w:t>
      </w:r>
    </w:p>
    <w:p>
      <w:pPr>
        <w:pStyle w:val="TextBody"/>
        <w:spacing w:before="120" w:after="0"/>
        <w:jc w:val="left"/>
        <w:rPr>
          <w:rFonts w:ascii="Times New Roman" w:hAnsi="Times New Roman"/>
          <w:sz w:val="20"/>
        </w:rPr>
      </w:pPr>
      <w:r>
        <w:rPr>
          <w:rFonts w:ascii="Times New Roman" w:hAnsi="Times New Roman"/>
          <w:sz w:val="20"/>
        </w:rPr>
        <w:t xml:space="preserve">Our bylaws contain a provision exempting from the Control Share Acquisition Act any and all acquisitions by any person of shares of our stock. </w:t>
      </w:r>
    </w:p>
    <w:p>
      <w:pPr>
        <w:pStyle w:val="TextBody"/>
        <w:spacing w:before="240" w:after="0"/>
        <w:jc w:val="left"/>
        <w:rPr>
          <w:rFonts w:ascii="Times New Roman" w:hAnsi="Times New Roman"/>
          <w:sz w:val="20"/>
        </w:rPr>
      </w:pPr>
      <w:r>
        <w:rPr>
          <w:rFonts w:ascii="Times New Roman" w:hAnsi="Times New Roman"/>
          <w:sz w:val="20"/>
        </w:rPr>
        <w:t xml:space="preserve">There can be no assurance that such provision will not be amended or eliminated at any time in the future to the extent permitted by the 1940 Act. </w:t>
      </w:r>
    </w:p>
    <w:p>
      <w:pPr>
        <w:pStyle w:val="TextBody"/>
        <w:spacing w:before="240" w:after="0"/>
        <w:jc w:val="left"/>
        <w:rPr>
          <w:rFonts w:ascii="Times New Roman" w:hAnsi="Times New Roman"/>
          <w:sz w:val="20"/>
        </w:rPr>
      </w:pPr>
      <w:r>
        <w:rPr>
          <w:rFonts w:ascii="Times New Roman" w:hAnsi="Times New Roman"/>
          <w:sz w:val="20"/>
        </w:rPr>
        <w:t xml:space="preserve">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w:t>
      </w:r>
    </w:p>
    <w:p>
      <w:pPr>
        <w:pStyle w:val="TextBody"/>
        <w:spacing w:before="0" w:after="0"/>
        <w:jc w:val="left"/>
        <w:rPr/>
      </w:pPr>
      <w:r>
        <w:rPr/>
        <w:t> </w:t>
      </w:r>
    </w:p>
    <w:tbl>
      <w:tblPr>
        <w:tblW w:w="3685" w:type="dxa"/>
        <w:jc w:val="left"/>
        <w:tblInd w:w="0" w:type="dxa"/>
        <w:tblCellMar>
          <w:top w:w="0" w:type="dxa"/>
          <w:left w:w="0" w:type="dxa"/>
          <w:bottom w:w="0" w:type="dxa"/>
          <w:right w:w="0" w:type="dxa"/>
        </w:tblCellMar>
      </w:tblPr>
      <w:tblGrid>
        <w:gridCol w:w="75"/>
        <w:gridCol w:w="110"/>
        <w:gridCol w:w="60"/>
        <w:gridCol w:w="3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one-tenth or more but less than one-third; </w:t>
            </w:r>
          </w:p>
        </w:tc>
      </w:tr>
    </w:tbl>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75"/>
        <w:gridCol w:w="110"/>
        <w:gridCol w:w="60"/>
        <w:gridCol w:w="3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one-third or more but less than a majority; or </w:t>
            </w:r>
          </w:p>
        </w:tc>
      </w:tr>
    </w:tbl>
    <w:p>
      <w:pPr>
        <w:pStyle w:val="TextBody"/>
        <w:spacing w:before="0" w:after="0"/>
        <w:jc w:val="left"/>
        <w:rPr/>
      </w:pPr>
      <w:r>
        <w:rPr/>
        <w:t> </w:t>
      </w:r>
    </w:p>
    <w:tbl>
      <w:tblPr>
        <w:tblW w:w="3445" w:type="dxa"/>
        <w:jc w:val="left"/>
        <w:tblInd w:w="0" w:type="dxa"/>
        <w:tblCellMar>
          <w:top w:w="0" w:type="dxa"/>
          <w:left w:w="0" w:type="dxa"/>
          <w:bottom w:w="0" w:type="dxa"/>
          <w:right w:w="0" w:type="dxa"/>
        </w:tblCellMar>
      </w:tblPr>
      <w:tblGrid>
        <w:gridCol w:w="75"/>
        <w:gridCol w:w="110"/>
        <w:gridCol w:w="60"/>
        <w:gridCol w:w="32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majority or more of all voting power. </w:t>
            </w:r>
          </w:p>
        </w:tc>
      </w:tr>
    </w:tbl>
    <w:p>
      <w:pPr>
        <w:pStyle w:val="TextBody"/>
        <w:spacing w:before="240" w:after="0"/>
        <w:jc w:val="left"/>
        <w:rPr>
          <w:rFonts w:ascii="Times New Roman" w:hAnsi="Times New Roman"/>
          <w:sz w:val="20"/>
        </w:rPr>
      </w:pPr>
      <w:r>
        <w:rPr>
          <w:rFonts w:ascii="Times New Roman" w:hAnsi="Times New Roman"/>
          <w:sz w:val="20"/>
        </w:rPr>
        <w:t xml:space="preserve">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 </w:t>
      </w:r>
    </w:p>
    <w:p>
      <w:pPr>
        <w:pStyle w:val="TextBody"/>
        <w:spacing w:before="240" w:after="0"/>
        <w:jc w:val="left"/>
        <w:rPr>
          <w:rFonts w:ascii="Times New Roman" w:hAnsi="Times New Roman"/>
          <w:sz w:val="20"/>
        </w:rPr>
      </w:pPr>
      <w:r>
        <w:rPr>
          <w:rFonts w:ascii="Times New Roman" w:hAnsi="Times New Roman"/>
          <w:sz w:val="20"/>
        </w:rPr>
        <w:t xml:space="preserve">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spacing w:before="240" w:after="0"/>
        <w:jc w:val="left"/>
        <w:rPr>
          <w:rFonts w:ascii="Times New Roman" w:hAnsi="Times New Roman"/>
          <w:sz w:val="20"/>
        </w:rPr>
      </w:pPr>
      <w:r>
        <w:rPr>
          <w:rFonts w:ascii="Times New Roman" w:hAnsi="Times New Roman"/>
          <w:sz w:val="20"/>
        </w:rPr>
        <w:t xml:space="preserve">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The Control Share Acquisition Act does not apply (a) to shares acquired in a merger, consolidation or share exchange if the corporation is a party to the transaction or (b) to acquisitions approved or exempted by the charter or bylaws of the corporation. </w:t>
      </w:r>
    </w:p>
    <w:p>
      <w:pPr>
        <w:pStyle w:val="TextBody"/>
        <w:spacing w:before="360" w:after="0"/>
        <w:jc w:val="left"/>
        <w:rPr>
          <w:rFonts w:ascii="Times New Roman" w:hAnsi="Times New Roman"/>
          <w:b/>
          <w:i/>
          <w:sz w:val="20"/>
        </w:rPr>
      </w:pPr>
      <w:r>
        <w:rPr>
          <w:rFonts w:ascii="Times New Roman" w:hAnsi="Times New Roman"/>
          <w:b/>
          <w:i/>
          <w:sz w:val="20"/>
        </w:rPr>
        <w:t xml:space="preserve">Business combinations </w:t>
      </w:r>
    </w:p>
    <w:p>
      <w:pPr>
        <w:pStyle w:val="TextBody"/>
        <w:spacing w:before="120" w:after="0"/>
        <w:jc w:val="left"/>
        <w:rPr>
          <w:rFonts w:ascii="Times New Roman" w:hAnsi="Times New Roman"/>
          <w:sz w:val="20"/>
        </w:rPr>
      </w:pPr>
      <w:r>
        <w:rPr>
          <w:rFonts w:ascii="Times New Roman" w:hAnsi="Times New Roman"/>
          <w:sz w:val="20"/>
        </w:rPr>
        <w:t xml:space="preserve">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 </w:t>
      </w:r>
    </w:p>
    <w:p>
      <w:pPr>
        <w:pStyle w:val="TextBody"/>
        <w:spacing w:before="0" w:after="0"/>
        <w:jc w:val="left"/>
        <w:rPr/>
      </w:pPr>
      <w:r>
        <w:rPr/>
        <w:t> </w:t>
      </w:r>
    </w:p>
    <w:tbl>
      <w:tblPr>
        <w:tblW w:w="10060" w:type="dxa"/>
        <w:jc w:val="left"/>
        <w:tblInd w:w="0" w:type="dxa"/>
        <w:tblCellMar>
          <w:top w:w="0" w:type="dxa"/>
          <w:left w:w="0" w:type="dxa"/>
          <w:bottom w:w="0" w:type="dxa"/>
          <w:right w:w="0" w:type="dxa"/>
        </w:tblCellMar>
      </w:tblPr>
      <w:tblGrid>
        <w:gridCol w:w="75"/>
        <w:gridCol w:w="110"/>
        <w:gridCol w:w="60"/>
        <w:gridCol w:w="98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person who beneficially owns, directly or indirectly, 10% or more of the voting power of the corporation’s shares;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prior to the date in question, was the beneficial owner, directly or indirectly, of 10% or more of the voting power of the then outstanding voting stock of the corporation. </w:t>
            </w:r>
          </w:p>
        </w:tc>
      </w:tr>
    </w:tbl>
    <w:p>
      <w:pPr>
        <w:pStyle w:val="TextBody"/>
        <w:spacing w:before="240" w:after="0"/>
        <w:jc w:val="left"/>
        <w:rPr>
          <w:rFonts w:ascii="Times New Roman" w:hAnsi="Times New Roman"/>
          <w:sz w:val="20"/>
        </w:rPr>
      </w:pPr>
      <w:r>
        <w:rPr>
          <w:rFonts w:ascii="Times New Roman" w:hAnsi="Times New Roman"/>
          <w:sz w:val="20"/>
        </w:rPr>
        <w:t xml:space="preserve">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 </w:t>
      </w:r>
    </w:p>
    <w:p>
      <w:pPr>
        <w:pStyle w:val="TextBody"/>
        <w:spacing w:before="240" w:after="0"/>
        <w:jc w:val="left"/>
        <w:rPr>
          <w:rFonts w:ascii="Times New Roman" w:hAnsi="Times New Roman"/>
          <w:sz w:val="20"/>
        </w:rPr>
      </w:pPr>
      <w:r>
        <w:rPr>
          <w:rFonts w:ascii="Times New Roman" w:hAnsi="Times New Roman"/>
          <w:sz w:val="20"/>
        </w:rPr>
        <w:t xml:space="preserve">After the five-year prohibition, any business combination between the corporation and an interested stockholder generally must be recommended by the board of directors of the corporation and approved by the affirmative vote of at least: </w:t>
      </w:r>
    </w:p>
    <w:p>
      <w:pPr>
        <w:pStyle w:val="TextBody"/>
        <w:spacing w:before="0" w:after="0"/>
        <w:jc w:val="left"/>
        <w:rPr/>
      </w:pPr>
      <w:r>
        <w:rPr/>
        <w:t> </w:t>
      </w:r>
    </w:p>
    <w:tbl>
      <w:tblPr>
        <w:tblW w:w="9025" w:type="dxa"/>
        <w:jc w:val="left"/>
        <w:tblInd w:w="0" w:type="dxa"/>
        <w:tblCellMar>
          <w:top w:w="0" w:type="dxa"/>
          <w:left w:w="0" w:type="dxa"/>
          <w:bottom w:w="0" w:type="dxa"/>
          <w:right w:w="0" w:type="dxa"/>
        </w:tblCellMar>
      </w:tblPr>
      <w:tblGrid>
        <w:gridCol w:w="75"/>
        <w:gridCol w:w="110"/>
        <w:gridCol w:w="60"/>
        <w:gridCol w:w="8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80% of the votes entitled to be cast by holders of outstanding shares of voting stock of the corporation;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w:t>
            </w:r>
          </w:p>
        </w:tc>
      </w:tr>
    </w:tbl>
    <w:p>
      <w:pPr>
        <w:pStyle w:val="TextBody"/>
        <w:spacing w:before="240" w:after="0"/>
        <w:jc w:val="left"/>
        <w:rPr>
          <w:rFonts w:ascii="Times New Roman" w:hAnsi="Times New Roman"/>
          <w:sz w:val="20"/>
        </w:rPr>
      </w:pPr>
      <w:r>
        <w:rPr>
          <w:rFonts w:ascii="Times New Roman" w:hAnsi="Times New Roman"/>
          <w:sz w:val="20"/>
        </w:rPr>
        <w:t xml:space="preserve">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w:t>
      </w:r>
    </w:p>
    <w:p>
      <w:pPr>
        <w:pStyle w:val="TextBody"/>
        <w:spacing w:before="240" w:after="0"/>
        <w:jc w:val="left"/>
        <w:rPr>
          <w:rFonts w:ascii="Times New Roman" w:hAnsi="Times New Roman"/>
          <w:sz w:val="20"/>
        </w:rPr>
      </w:pPr>
      <w:r>
        <w:rPr>
          <w:rFonts w:ascii="Times New Roman" w:hAnsi="Times New Roman"/>
          <w:sz w:val="20"/>
        </w:rPr>
        <w:t xml:space="preserve">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 </w:t>
      </w:r>
    </w:p>
    <w:p>
      <w:pPr>
        <w:pStyle w:val="TextBody"/>
        <w:spacing w:before="360" w:after="0"/>
        <w:jc w:val="left"/>
        <w:rPr>
          <w:rFonts w:ascii="Times New Roman" w:hAnsi="Times New Roman"/>
          <w:b/>
          <w:i/>
          <w:sz w:val="20"/>
        </w:rPr>
      </w:pPr>
      <w:r>
        <w:rPr>
          <w:rFonts w:ascii="Times New Roman" w:hAnsi="Times New Roman"/>
          <w:b/>
          <w:i/>
          <w:sz w:val="20"/>
        </w:rPr>
        <w:t xml:space="preserve">Conflict with 1940 Act </w:t>
      </w:r>
    </w:p>
    <w:p>
      <w:pPr>
        <w:pStyle w:val="TextBody"/>
        <w:spacing w:before="240" w:after="0"/>
        <w:jc w:val="left"/>
        <w:rPr>
          <w:rFonts w:ascii="Times New Roman" w:hAnsi="Times New Roman"/>
          <w:sz w:val="20"/>
        </w:rPr>
      </w:pPr>
      <w:r>
        <w:rPr>
          <w:rFonts w:ascii="Times New Roman" w:hAnsi="Times New Roman"/>
          <w:sz w:val="20"/>
        </w:rPr>
        <w:t xml:space="preserve">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rPr/>
      </w:pPr>
      <w:r>
        <w:rPr/>
      </w:r>
    </w:p>
    <w:p>
      <w:pPr>
        <w:pStyle w:val="TextBody"/>
        <w:spacing w:before="0" w:after="0"/>
        <w:jc w:val="left"/>
        <w:rPr>
          <w:rFonts w:ascii="Times New Roman" w:hAnsi="Times New Roman"/>
          <w:b/>
          <w:i/>
          <w:sz w:val="20"/>
        </w:rPr>
      </w:pPr>
      <w:r>
        <w:rPr>
          <w:rFonts w:ascii="Times New Roman" w:hAnsi="Times New Roman"/>
          <w:b/>
          <w:i/>
          <w:sz w:val="20"/>
        </w:rPr>
        <w:t xml:space="preserve">Exclusive Forum </w:t>
      </w:r>
    </w:p>
    <w:p>
      <w:pPr>
        <w:pStyle w:val="TextBody"/>
        <w:spacing w:before="120" w:after="0"/>
        <w:jc w:val="left"/>
        <w:rPr>
          <w:rFonts w:ascii="Times New Roman" w:hAnsi="Times New Roman"/>
          <w:sz w:val="20"/>
        </w:rPr>
      </w:pPr>
      <w:r>
        <w:rPr>
          <w:rFonts w:ascii="Times New Roman" w:hAnsi="Times New Roman"/>
          <w:sz w:val="20"/>
        </w:rPr>
        <w:t xml:space="preserve">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Internal Corporate Claim, as such term is defined in Section 1-101(q) of the Maryland General Corporation Law, or any successor provision thereof, (b) any derivative action or proceeding brought on behalf of the Company, other than actions arising under federal securities laws, (c) any action asserting a claim of breach of any duty owed by any director or officer or other agent of the Company to the Company or to the stockholders of the Company, (d) any action asserting a claim against the Company or any director or officer or other agent of the Company arising pursuant to any provision of the Maryland General Corporation Law or our charter or bylaws or (e) any other action asserting a claim against the Company or any director or officer or other agent of the Company that is governed by the internal affairs doctrine. None of the foregoing actions, claims or proceedings may be brought in any court sitting outside the State of Maryland unless the Company consents in writing to such court. </w:t>
      </w:r>
    </w:p>
    <w:p>
      <w:pPr>
        <w:pStyle w:val="TextBody"/>
        <w:spacing w:before="480" w:after="0"/>
        <w:jc w:val="center"/>
        <w:rPr>
          <w:rFonts w:ascii="Times New Roman" w:hAnsi="Times New Roman"/>
          <w:b/>
          <w:sz w:val="20"/>
        </w:rPr>
      </w:pPr>
      <w:bookmarkStart w:id="19" w:name="toc478714_16"/>
      <w:bookmarkEnd w:id="19"/>
      <w:r>
        <w:rPr>
          <w:rFonts w:ascii="Times New Roman" w:hAnsi="Times New Roman"/>
          <w:b/>
          <w:sz w:val="20"/>
        </w:rPr>
        <w:t xml:space="preserve">DESCRIPTION OF OUR PREFERRED STOCK </w:t>
      </w:r>
    </w:p>
    <w:p>
      <w:pPr>
        <w:pStyle w:val="TextBody"/>
        <w:spacing w:before="240" w:after="0"/>
        <w:jc w:val="left"/>
        <w:rPr>
          <w:rFonts w:ascii="Times New Roman" w:hAnsi="Times New Roman"/>
          <w:sz w:val="20"/>
        </w:rPr>
      </w:pPr>
      <w:r>
        <w:rPr>
          <w:rFonts w:ascii="Times New Roman" w:hAnsi="Times New Roman"/>
          <w:sz w:val="20"/>
        </w:rPr>
        <w:t xml:space="preserve">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w:t>
      </w:r>
    </w:p>
    <w:p>
      <w:pPr>
        <w:pStyle w:val="TextBody"/>
        <w:spacing w:before="240" w:after="0"/>
        <w:jc w:val="left"/>
        <w:rPr>
          <w:rFonts w:ascii="Times New Roman" w:hAnsi="Times New Roman"/>
          <w:sz w:val="20"/>
        </w:rPr>
      </w:pPr>
      <w:r>
        <w:rPr>
          <w:rFonts w:ascii="Times New Roman" w:hAnsi="Times New Roman"/>
          <w:sz w:val="20"/>
        </w:rPr>
        <w:t xml:space="preserve">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 2/3%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 </w:t>
      </w:r>
    </w:p>
    <w:p>
      <w:pPr>
        <w:pStyle w:val="TextBody"/>
        <w:spacing w:before="240" w:after="0"/>
        <w:jc w:val="left"/>
        <w:rPr>
          <w:rFonts w:ascii="Times New Roman" w:hAnsi="Times New Roman"/>
          <w:sz w:val="20"/>
        </w:rPr>
      </w:pPr>
      <w:r>
        <w:rPr>
          <w:rFonts w:ascii="Times New Roman" w:hAnsi="Times New Roman"/>
          <w:sz w:val="20"/>
        </w:rPr>
        <w:t xml:space="preserve">For any series of preferred stock that we may issue, our board of directors will determine and the prospectus supplement relating to such series will describe: </w:t>
      </w:r>
    </w:p>
    <w:p>
      <w:pPr>
        <w:pStyle w:val="TextBody"/>
        <w:spacing w:before="0" w:after="0"/>
        <w:jc w:val="left"/>
        <w:rPr/>
      </w:pPr>
      <w:r>
        <w:rPr/>
        <w:t> </w:t>
      </w:r>
    </w:p>
    <w:tbl>
      <w:tblPr>
        <w:tblW w:w="4525" w:type="dxa"/>
        <w:jc w:val="left"/>
        <w:tblInd w:w="0" w:type="dxa"/>
        <w:tblCellMar>
          <w:top w:w="0" w:type="dxa"/>
          <w:left w:w="0" w:type="dxa"/>
          <w:bottom w:w="0" w:type="dxa"/>
          <w:right w:w="0" w:type="dxa"/>
        </w:tblCellMar>
      </w:tblPr>
      <w:tblGrid>
        <w:gridCol w:w="75"/>
        <w:gridCol w:w="110"/>
        <w:gridCol w:w="60"/>
        <w:gridCol w:w="42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designation and number of shares of such series;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rate and time at which, and the preferences and conditions under which, any dividends will be paid on shares of such series, as well as whether such dividends are cumulative or non-cumulative and participating or non-participating; </w:t>
            </w:r>
          </w:p>
        </w:tc>
      </w:tr>
    </w:tbl>
    <w:p>
      <w:pPr>
        <w:pStyle w:val="TextBody"/>
        <w:spacing w:before="0" w:after="0"/>
        <w:jc w:val="left"/>
        <w:rPr/>
      </w:pPr>
      <w:r>
        <w:rPr/>
        <w:t> </w:t>
      </w:r>
    </w:p>
    <w:tbl>
      <w:tblPr>
        <w:tblW w:w="7390" w:type="dxa"/>
        <w:jc w:val="left"/>
        <w:tblInd w:w="0" w:type="dxa"/>
        <w:tblCellMar>
          <w:top w:w="0" w:type="dxa"/>
          <w:left w:w="0" w:type="dxa"/>
          <w:bottom w:w="0" w:type="dxa"/>
          <w:right w:w="0" w:type="dxa"/>
        </w:tblCellMar>
      </w:tblPr>
      <w:tblGrid>
        <w:gridCol w:w="75"/>
        <w:gridCol w:w="110"/>
        <w:gridCol w:w="60"/>
        <w:gridCol w:w="71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series;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rights and preferences, if any, of holders of shares of such series upon our liquidation, dissolution or winding up of our affairs; </w:t>
            </w:r>
          </w:p>
        </w:tc>
      </w:tr>
    </w:tbl>
    <w:p>
      <w:pPr>
        <w:pStyle w:val="TextBody"/>
        <w:spacing w:before="0" w:after="0"/>
        <w:jc w:val="left"/>
        <w:rPr/>
      </w:pPr>
      <w:r>
        <w:rPr/>
        <w:t> </w:t>
      </w:r>
    </w:p>
    <w:tbl>
      <w:tblPr>
        <w:tblW w:w="5470" w:type="dxa"/>
        <w:jc w:val="left"/>
        <w:tblInd w:w="0" w:type="dxa"/>
        <w:tblCellMar>
          <w:top w:w="0" w:type="dxa"/>
          <w:left w:w="0" w:type="dxa"/>
          <w:bottom w:w="0" w:type="dxa"/>
          <w:right w:w="0" w:type="dxa"/>
        </w:tblCellMar>
      </w:tblPr>
      <w:tblGrid>
        <w:gridCol w:w="75"/>
        <w:gridCol w:w="110"/>
        <w:gridCol w:w="60"/>
        <w:gridCol w:w="52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voting powers, if any, of the holders of shares of such series;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rPr/>
      </w:pPr>
      <w:r>
        <w:rPr/>
      </w:r>
    </w:p>
    <w:tbl>
      <w:tblPr>
        <w:tblW w:w="5920" w:type="dxa"/>
        <w:jc w:val="left"/>
        <w:tblInd w:w="0" w:type="dxa"/>
        <w:tblCellMar>
          <w:top w:w="0" w:type="dxa"/>
          <w:left w:w="0" w:type="dxa"/>
          <w:bottom w:w="0" w:type="dxa"/>
          <w:right w:w="0" w:type="dxa"/>
        </w:tblCellMar>
      </w:tblPr>
      <w:tblGrid>
        <w:gridCol w:w="75"/>
        <w:gridCol w:w="110"/>
        <w:gridCol w:w="60"/>
        <w:gridCol w:w="5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provisions relating to the redemption of the shares of such series;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limitations on our ability to pay dividends or make distributions on, or acquire or redeem, other securities while shares of such series are outstanding; </w:t>
            </w:r>
          </w:p>
        </w:tc>
      </w:tr>
    </w:tbl>
    <w:p>
      <w:pPr>
        <w:pStyle w:val="TextBody"/>
        <w:spacing w:before="0" w:after="0"/>
        <w:jc w:val="left"/>
        <w:rPr/>
      </w:pPr>
      <w:r>
        <w:rPr/>
        <w:t> </w:t>
      </w:r>
    </w:p>
    <w:tbl>
      <w:tblPr>
        <w:tblW w:w="8605" w:type="dxa"/>
        <w:jc w:val="left"/>
        <w:tblInd w:w="0" w:type="dxa"/>
        <w:tblCellMar>
          <w:top w:w="0" w:type="dxa"/>
          <w:left w:w="0" w:type="dxa"/>
          <w:bottom w:w="0" w:type="dxa"/>
          <w:right w:w="0" w:type="dxa"/>
        </w:tblCellMar>
      </w:tblPr>
      <w:tblGrid>
        <w:gridCol w:w="75"/>
        <w:gridCol w:w="110"/>
        <w:gridCol w:w="60"/>
        <w:gridCol w:w="8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series or other securities; </w:t>
            </w:r>
          </w:p>
        </w:tc>
      </w:tr>
    </w:tbl>
    <w:p>
      <w:pPr>
        <w:pStyle w:val="TextBody"/>
        <w:spacing w:before="0" w:after="0"/>
        <w:jc w:val="left"/>
        <w:rPr/>
      </w:pPr>
      <w:r>
        <w:rPr/>
        <w:t> </w:t>
      </w:r>
    </w:p>
    <w:tbl>
      <w:tblPr>
        <w:tblW w:w="6790" w:type="dxa"/>
        <w:jc w:val="left"/>
        <w:tblInd w:w="0" w:type="dxa"/>
        <w:tblCellMar>
          <w:top w:w="0" w:type="dxa"/>
          <w:left w:w="0" w:type="dxa"/>
          <w:bottom w:w="0" w:type="dxa"/>
          <w:right w:w="0" w:type="dxa"/>
        </w:tblCellMar>
      </w:tblPr>
      <w:tblGrid>
        <w:gridCol w:w="75"/>
        <w:gridCol w:w="110"/>
        <w:gridCol w:w="60"/>
        <w:gridCol w:w="6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other relative power, preferences and participating, optional or special rights of shares of such series, and the qualifications, limitations or restrictions thereof. </w:t>
            </w:r>
          </w:p>
        </w:tc>
      </w:tr>
    </w:tbl>
    <w:p>
      <w:pPr>
        <w:pStyle w:val="TextBody"/>
        <w:spacing w:before="240" w:after="0"/>
        <w:jc w:val="left"/>
        <w:rPr>
          <w:rFonts w:ascii="Times New Roman" w:hAnsi="Times New Roman"/>
          <w:sz w:val="20"/>
        </w:rPr>
      </w:pPr>
      <w:r>
        <w:rPr>
          <w:rFonts w:ascii="Times New Roman" w:hAnsi="Times New Roman"/>
          <w:sz w:val="20"/>
        </w:rPr>
        <w:t xml:space="preserve">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 </w:t>
      </w:r>
    </w:p>
    <w:p>
      <w:pPr>
        <w:pStyle w:val="TextBody"/>
        <w:spacing w:before="480" w:after="0"/>
        <w:jc w:val="center"/>
        <w:rPr>
          <w:rFonts w:ascii="Times New Roman" w:hAnsi="Times New Roman"/>
          <w:b/>
          <w:sz w:val="20"/>
        </w:rPr>
      </w:pPr>
      <w:bookmarkStart w:id="20" w:name="toc478714_17"/>
      <w:bookmarkEnd w:id="20"/>
      <w:r>
        <w:rPr>
          <w:rFonts w:ascii="Times New Roman" w:hAnsi="Times New Roman"/>
          <w:b/>
          <w:sz w:val="20"/>
        </w:rPr>
        <w:t xml:space="preserve">DESCRIPTION OF OUR WARRANTS </w:t>
      </w:r>
    </w:p>
    <w:p>
      <w:pPr>
        <w:pStyle w:val="TextBody"/>
        <w:spacing w:before="240" w:after="0"/>
        <w:jc w:val="left"/>
        <w:rPr>
          <w:rFonts w:ascii="Times New Roman" w:hAnsi="Times New Roman"/>
          <w:sz w:val="20"/>
        </w:rPr>
      </w:pPr>
      <w:r>
        <w:rPr>
          <w:rFonts w:ascii="Times New Roman" w:hAnsi="Times New Roman"/>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spacing w:before="240" w:after="0"/>
        <w:jc w:val="left"/>
        <w:rPr>
          <w:rFonts w:ascii="Times New Roman" w:hAnsi="Times New Roman"/>
          <w:sz w:val="20"/>
        </w:rPr>
      </w:pPr>
      <w:r>
        <w:rPr>
          <w:rFonts w:ascii="Times New Roman" w:hAnsi="Times New Roman"/>
          <w:sz w:val="20"/>
        </w:rPr>
        <w:t xml:space="preserve">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spacing w:before="240" w:after="0"/>
        <w:jc w:val="left"/>
        <w:rPr>
          <w:rFonts w:ascii="Times New Roman" w:hAnsi="Times New Roman"/>
          <w:sz w:val="20"/>
        </w:rPr>
      </w:pPr>
      <w:r>
        <w:rPr>
          <w:rFonts w:ascii="Times New Roman" w:hAnsi="Times New Roman"/>
          <w:sz w:val="20"/>
        </w:rPr>
        <w:t xml:space="preserve">A prospectus supplement will describe the particular terms of any series of warrants we may issue, including the following: </w:t>
      </w:r>
    </w:p>
    <w:p>
      <w:pPr>
        <w:pStyle w:val="TextBody"/>
        <w:spacing w:before="0" w:after="0"/>
        <w:jc w:val="left"/>
        <w:rPr/>
      </w:pPr>
      <w:r>
        <w:rPr/>
        <w:t> </w:t>
      </w:r>
    </w:p>
    <w:tbl>
      <w:tblPr>
        <w:tblW w:w="2365" w:type="dxa"/>
        <w:jc w:val="left"/>
        <w:tblInd w:w="0" w:type="dxa"/>
        <w:tblCellMar>
          <w:top w:w="0" w:type="dxa"/>
          <w:left w:w="0" w:type="dxa"/>
          <w:bottom w:w="0" w:type="dxa"/>
          <w:right w:w="0" w:type="dxa"/>
        </w:tblCellMar>
      </w:tblPr>
      <w:tblGrid>
        <w:gridCol w:w="75"/>
        <w:gridCol w:w="110"/>
        <w:gridCol w:w="60"/>
        <w:gridCol w:w="2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spacing w:before="0" w:after="0"/>
        <w:jc w:val="left"/>
        <w:rPr/>
      </w:pPr>
      <w:r>
        <w:rPr/>
        <w:t> </w:t>
      </w:r>
    </w:p>
    <w:tbl>
      <w:tblPr>
        <w:tblW w:w="3490" w:type="dxa"/>
        <w:jc w:val="left"/>
        <w:tblInd w:w="0" w:type="dxa"/>
        <w:tblCellMar>
          <w:top w:w="0" w:type="dxa"/>
          <w:left w:w="0" w:type="dxa"/>
          <w:bottom w:w="0" w:type="dxa"/>
          <w:right w:w="0" w:type="dxa"/>
        </w:tblCellMar>
      </w:tblPr>
      <w:tblGrid>
        <w:gridCol w:w="75"/>
        <w:gridCol w:w="110"/>
        <w:gridCol w:w="60"/>
        <w:gridCol w:w="32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spacing w:before="0" w:after="0"/>
        <w:jc w:val="left"/>
        <w:rPr/>
      </w:pPr>
      <w:r>
        <w:rPr/>
        <w:t> </w:t>
      </w:r>
    </w:p>
    <w:tbl>
      <w:tblPr>
        <w:tblW w:w="4855" w:type="dxa"/>
        <w:jc w:val="left"/>
        <w:tblInd w:w="0" w:type="dxa"/>
        <w:tblCellMar>
          <w:top w:w="0" w:type="dxa"/>
          <w:left w:w="0" w:type="dxa"/>
          <w:bottom w:w="0" w:type="dxa"/>
          <w:right w:w="0" w:type="dxa"/>
        </w:tblCellMar>
      </w:tblPr>
      <w:tblGrid>
        <w:gridCol w:w="75"/>
        <w:gridCol w:w="110"/>
        <w:gridCol w:w="60"/>
        <w:gridCol w:w="4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spacing w:before="0" w:after="0"/>
        <w:jc w:val="left"/>
        <w:rPr/>
      </w:pPr>
      <w:r>
        <w:rPr/>
        <w:t> </w:t>
      </w:r>
    </w:p>
    <w:tbl>
      <w:tblPr>
        <w:tblW w:w="9325" w:type="dxa"/>
        <w:jc w:val="left"/>
        <w:tblInd w:w="0" w:type="dxa"/>
        <w:tblCellMar>
          <w:top w:w="0" w:type="dxa"/>
          <w:left w:w="0" w:type="dxa"/>
          <w:bottom w:w="0" w:type="dxa"/>
          <w:right w:w="0" w:type="dxa"/>
        </w:tblCellMar>
      </w:tblPr>
      <w:tblGrid>
        <w:gridCol w:w="75"/>
        <w:gridCol w:w="110"/>
        <w:gridCol w:w="60"/>
        <w:gridCol w:w="9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rPr/>
      </w:pPr>
      <w:r>
        <w:rPr/>
      </w:r>
    </w:p>
    <w:tbl>
      <w:tblPr>
        <w:tblW w:w="9490" w:type="dxa"/>
        <w:jc w:val="left"/>
        <w:tblInd w:w="0" w:type="dxa"/>
        <w:tblCellMar>
          <w:top w:w="0" w:type="dxa"/>
          <w:left w:w="0" w:type="dxa"/>
          <w:bottom w:w="0" w:type="dxa"/>
          <w:right w:w="0" w:type="dxa"/>
        </w:tblCellMar>
      </w:tblPr>
      <w:tblGrid>
        <w:gridCol w:w="75"/>
        <w:gridCol w:w="110"/>
        <w:gridCol w:w="60"/>
        <w:gridCol w:w="92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date on which the right to exercise such warrants will commence and the date on which such right will expire; </w:t>
            </w:r>
          </w:p>
        </w:tc>
      </w:tr>
    </w:tbl>
    <w:p>
      <w:pPr>
        <w:pStyle w:val="TextBody"/>
        <w:spacing w:before="0" w:after="0"/>
        <w:jc w:val="left"/>
        <w:rPr/>
      </w:pPr>
      <w:r>
        <w:rPr/>
        <w:t> </w:t>
      </w:r>
    </w:p>
    <w:tbl>
      <w:tblPr>
        <w:tblW w:w="5965" w:type="dxa"/>
        <w:jc w:val="left"/>
        <w:tblInd w:w="0" w:type="dxa"/>
        <w:tblCellMar>
          <w:top w:w="0" w:type="dxa"/>
          <w:left w:w="0" w:type="dxa"/>
          <w:bottom w:w="0" w:type="dxa"/>
          <w:right w:w="0" w:type="dxa"/>
        </w:tblCellMar>
      </w:tblPr>
      <w:tblGrid>
        <w:gridCol w:w="75"/>
        <w:gridCol w:w="110"/>
        <w:gridCol w:w="60"/>
        <w:gridCol w:w="57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whether such warrants will be issued in registered form or bearer form; </w:t>
            </w:r>
          </w:p>
        </w:tc>
      </w:tr>
    </w:tbl>
    <w:p>
      <w:pPr>
        <w:pStyle w:val="TextBody"/>
        <w:spacing w:before="0" w:after="0"/>
        <w:jc w:val="left"/>
        <w:rPr/>
      </w:pPr>
      <w:r>
        <w:rPr/>
        <w:t> </w:t>
      </w:r>
    </w:p>
    <w:tbl>
      <w:tblPr>
        <w:tblW w:w="8920" w:type="dxa"/>
        <w:jc w:val="left"/>
        <w:tblInd w:w="0" w:type="dxa"/>
        <w:tblCellMar>
          <w:top w:w="0" w:type="dxa"/>
          <w:left w:w="0" w:type="dxa"/>
          <w:bottom w:w="0" w:type="dxa"/>
          <w:right w:w="0" w:type="dxa"/>
        </w:tblCellMar>
      </w:tblPr>
      <w:tblGrid>
        <w:gridCol w:w="75"/>
        <w:gridCol w:w="110"/>
        <w:gridCol w:w="60"/>
        <w:gridCol w:w="8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spacing w:before="0" w:after="0"/>
        <w:jc w:val="left"/>
        <w:rPr/>
      </w:pPr>
      <w:r>
        <w:rPr/>
        <w:t> </w:t>
      </w:r>
    </w:p>
    <w:tbl>
      <w:tblPr>
        <w:tblW w:w="9340" w:type="dxa"/>
        <w:jc w:val="left"/>
        <w:tblInd w:w="0" w:type="dxa"/>
        <w:tblCellMar>
          <w:top w:w="0" w:type="dxa"/>
          <w:left w:w="0" w:type="dxa"/>
          <w:bottom w:w="0" w:type="dxa"/>
          <w:right w:w="0" w:type="dxa"/>
        </w:tblCellMar>
      </w:tblPr>
      <w:tblGrid>
        <w:gridCol w:w="75"/>
        <w:gridCol w:w="110"/>
        <w:gridCol w:w="60"/>
        <w:gridCol w:w="90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spacing w:before="0" w:after="0"/>
        <w:jc w:val="left"/>
        <w:rPr/>
      </w:pPr>
      <w:r>
        <w:rPr/>
        <w:t> </w:t>
      </w:r>
    </w:p>
    <w:tbl>
      <w:tblPr>
        <w:tblW w:w="5005" w:type="dxa"/>
        <w:jc w:val="left"/>
        <w:tblInd w:w="0" w:type="dxa"/>
        <w:tblCellMar>
          <w:top w:w="0" w:type="dxa"/>
          <w:left w:w="0" w:type="dxa"/>
          <w:bottom w:w="0" w:type="dxa"/>
          <w:right w:w="0" w:type="dxa"/>
        </w:tblCellMar>
      </w:tblPr>
      <w:tblGrid>
        <w:gridCol w:w="75"/>
        <w:gridCol w:w="110"/>
        <w:gridCol w:w="60"/>
        <w:gridCol w:w="47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spacing w:before="0" w:after="0"/>
        <w:jc w:val="left"/>
        <w:rPr/>
      </w:pPr>
      <w:r>
        <w:rPr/>
        <w:t> </w:t>
      </w:r>
    </w:p>
    <w:tbl>
      <w:tblPr>
        <w:tblW w:w="5545" w:type="dxa"/>
        <w:jc w:val="left"/>
        <w:tblInd w:w="0" w:type="dxa"/>
        <w:tblCellMar>
          <w:top w:w="0" w:type="dxa"/>
          <w:left w:w="0" w:type="dxa"/>
          <w:bottom w:w="0" w:type="dxa"/>
          <w:right w:w="0" w:type="dxa"/>
        </w:tblCellMar>
      </w:tblPr>
      <w:tblGrid>
        <w:gridCol w:w="75"/>
        <w:gridCol w:w="110"/>
        <w:gridCol w:w="60"/>
        <w:gridCol w:w="53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w:t>
            </w:r>
          </w:p>
        </w:tc>
      </w:tr>
    </w:tbl>
    <w:p>
      <w:pPr>
        <w:pStyle w:val="TextBody"/>
        <w:spacing w:before="0" w:after="0"/>
        <w:jc w:val="left"/>
        <w:rPr/>
      </w:pPr>
      <w:r>
        <w:rPr/>
        <w:t> </w:t>
      </w:r>
    </w:p>
    <w:tbl>
      <w:tblPr>
        <w:tblW w:w="6790" w:type="dxa"/>
        <w:jc w:val="left"/>
        <w:tblInd w:w="0" w:type="dxa"/>
        <w:tblCellMar>
          <w:top w:w="0" w:type="dxa"/>
          <w:left w:w="0" w:type="dxa"/>
          <w:bottom w:w="0" w:type="dxa"/>
          <w:right w:w="0" w:type="dxa"/>
        </w:tblCellMar>
      </w:tblPr>
      <w:tblGrid>
        <w:gridCol w:w="75"/>
        <w:gridCol w:w="110"/>
        <w:gridCol w:w="60"/>
        <w:gridCol w:w="6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spacing w:before="240" w:after="0"/>
        <w:jc w:val="left"/>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spacing w:before="240" w:after="0"/>
        <w:jc w:val="left"/>
        <w:rPr>
          <w:rFonts w:ascii="Times New Roman" w:hAnsi="Times New Roman"/>
          <w:sz w:val="20"/>
        </w:rPr>
      </w:pPr>
      <w:r>
        <w:rPr>
          <w:rFonts w:ascii="Times New Roman" w:hAnsi="Times New Roman"/>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spacing w:before="240" w:after="0"/>
        <w:jc w:val="left"/>
        <w:rPr>
          <w:rFonts w:ascii="Times New Roman" w:hAnsi="Times New Roman"/>
          <w:sz w:val="20"/>
        </w:rPr>
      </w:pPr>
      <w:r>
        <w:rPr>
          <w:rFonts w:ascii="Times New Roman" w:hAnsi="Times New Roman"/>
          <w:sz w:val="20"/>
        </w:rPr>
        <w:t xml:space="preserve">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 </w:t>
      </w:r>
    </w:p>
    <w:p>
      <w:pPr>
        <w:pStyle w:val="TextBody"/>
        <w:spacing w:before="480" w:after="0"/>
        <w:jc w:val="center"/>
        <w:rPr>
          <w:rFonts w:ascii="Times New Roman" w:hAnsi="Times New Roman"/>
          <w:b/>
          <w:sz w:val="20"/>
        </w:rPr>
      </w:pPr>
      <w:bookmarkStart w:id="21" w:name="toc478714_18"/>
      <w:bookmarkEnd w:id="21"/>
      <w:r>
        <w:rPr>
          <w:rFonts w:ascii="Times New Roman" w:hAnsi="Times New Roman"/>
          <w:b/>
          <w:sz w:val="20"/>
        </w:rPr>
        <w:t xml:space="preserve">DESCRIPTION OF OUR SUBSCRIPTION RIGHTS </w:t>
      </w:r>
    </w:p>
    <w:p>
      <w:pPr>
        <w:pStyle w:val="TextBody"/>
        <w:spacing w:before="240" w:after="0"/>
        <w:jc w:val="left"/>
        <w:rPr>
          <w:rFonts w:ascii="Times New Roman" w:hAnsi="Times New Roman"/>
          <w:sz w:val="20"/>
        </w:rPr>
      </w:pPr>
      <w:r>
        <w:rPr>
          <w:rFonts w:ascii="Times New Roman" w:hAnsi="Times New Roman"/>
          <w:sz w:val="20"/>
        </w:rPr>
        <w:t xml:space="preserve">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w:t>
      </w:r>
    </w:p>
    <w:p>
      <w:pPr>
        <w:pStyle w:val="TextBody"/>
        <w:spacing w:before="240" w:after="0"/>
        <w:jc w:val="left"/>
        <w:rPr>
          <w:rFonts w:ascii="Times New Roman" w:hAnsi="Times New Roman"/>
          <w:sz w:val="20"/>
        </w:rPr>
      </w:pPr>
      <w:r>
        <w:rPr>
          <w:rFonts w:ascii="Times New Roman" w:hAnsi="Times New Roman"/>
          <w:sz w:val="20"/>
        </w:rPr>
        <w:t xml:space="preserve">The applicable prospectus supplement would describe the following terms of subscription rights in respect of which this prospectus is being delivered: </w:t>
      </w:r>
    </w:p>
    <w:p>
      <w:pPr>
        <w:pStyle w:val="TextBody"/>
        <w:spacing w:before="0" w:after="0"/>
        <w:jc w:val="left"/>
        <w:rPr/>
      </w:pPr>
      <w:r>
        <w:rPr/>
        <w:t> </w:t>
      </w:r>
    </w:p>
    <w:tbl>
      <w:tblPr>
        <w:tblW w:w="3205" w:type="dxa"/>
        <w:jc w:val="left"/>
        <w:tblInd w:w="0" w:type="dxa"/>
        <w:tblCellMar>
          <w:top w:w="0" w:type="dxa"/>
          <w:left w:w="0" w:type="dxa"/>
          <w:bottom w:w="0" w:type="dxa"/>
          <w:right w:w="0" w:type="dxa"/>
        </w:tblCellMar>
      </w:tblPr>
      <w:tblGrid>
        <w:gridCol w:w="75"/>
        <w:gridCol w:w="110"/>
        <w:gridCol w:w="60"/>
        <w:gridCol w:w="2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title of such subscription rights; </w:t>
            </w:r>
          </w:p>
        </w:tc>
      </w:tr>
    </w:tbl>
    <w:p>
      <w:pPr>
        <w:pStyle w:val="TextBody"/>
        <w:spacing w:before="0" w:after="0"/>
        <w:jc w:val="left"/>
        <w:rPr/>
      </w:pPr>
      <w:r>
        <w:rPr/>
        <w:t> </w:t>
      </w:r>
    </w:p>
    <w:tbl>
      <w:tblPr>
        <w:tblW w:w="8485" w:type="dxa"/>
        <w:jc w:val="left"/>
        <w:tblInd w:w="0" w:type="dxa"/>
        <w:tblCellMar>
          <w:top w:w="0" w:type="dxa"/>
          <w:left w:w="0" w:type="dxa"/>
          <w:bottom w:w="0" w:type="dxa"/>
          <w:right w:w="0" w:type="dxa"/>
        </w:tblCellMar>
      </w:tblPr>
      <w:tblGrid>
        <w:gridCol w:w="75"/>
        <w:gridCol w:w="110"/>
        <w:gridCol w:w="60"/>
        <w:gridCol w:w="82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exercise price or a formula for the determination of the exercise price for such subscription rights; </w:t>
            </w:r>
          </w:p>
        </w:tc>
      </w:tr>
    </w:tbl>
    <w:p>
      <w:pPr>
        <w:pStyle w:val="TextBody"/>
        <w:spacing w:before="0" w:after="0"/>
        <w:jc w:val="left"/>
        <w:rPr/>
      </w:pPr>
      <w:r>
        <w:rPr/>
        <w:t> </w:t>
      </w:r>
    </w:p>
    <w:tbl>
      <w:tblPr>
        <w:tblW w:w="9625" w:type="dxa"/>
        <w:jc w:val="left"/>
        <w:tblInd w:w="0" w:type="dxa"/>
        <w:tblCellMar>
          <w:top w:w="0" w:type="dxa"/>
          <w:left w:w="0" w:type="dxa"/>
          <w:bottom w:w="0" w:type="dxa"/>
          <w:right w:w="0" w:type="dxa"/>
        </w:tblCellMar>
      </w:tblPr>
      <w:tblGrid>
        <w:gridCol w:w="75"/>
        <w:gridCol w:w="110"/>
        <w:gridCol w:w="60"/>
        <w:gridCol w:w="93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number or a formula for the determination of the number of such subscription rights issued to each stockholder; </w:t>
            </w:r>
          </w:p>
        </w:tc>
      </w:tr>
    </w:tbl>
    <w:p>
      <w:pPr>
        <w:pStyle w:val="TextBody"/>
        <w:spacing w:before="0" w:after="0"/>
        <w:jc w:val="left"/>
        <w:rPr/>
      </w:pPr>
      <w:r>
        <w:rPr/>
        <w:t> </w:t>
      </w:r>
    </w:p>
    <w:tbl>
      <w:tblPr>
        <w:tblW w:w="5200" w:type="dxa"/>
        <w:jc w:val="left"/>
        <w:tblInd w:w="0" w:type="dxa"/>
        <w:tblCellMar>
          <w:top w:w="0" w:type="dxa"/>
          <w:left w:w="0" w:type="dxa"/>
          <w:bottom w:w="0" w:type="dxa"/>
          <w:right w:w="0" w:type="dxa"/>
        </w:tblCellMar>
      </w:tblPr>
      <w:tblGrid>
        <w:gridCol w:w="75"/>
        <w:gridCol w:w="110"/>
        <w:gridCol w:w="60"/>
        <w:gridCol w:w="49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extent to which such subscription rights are transferable;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applicable, a discussion of the material U.S. federal income tax considerations applicable to the issuance or exercise of such subscription rights;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date on which the right to exercise such subscription rights would commence, and the date on which such rights will expire (subject to any extension);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extent to which such subscription rights include an over-subscription privilege with respect to unsubscribed securities;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applicable, the material terms of any standby underwriting or other purchase arrangement that we may enter into in connection with the subscription rights offering;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other terms of such subscription rights, including terms, procedures and limitations relating to the exchange and exercise of such subscription rights. </w:t>
            </w:r>
          </w:p>
        </w:tc>
      </w:tr>
    </w:tbl>
    <w:p>
      <w:pPr>
        <w:pStyle w:val="TextBody"/>
        <w:spacing w:before="360" w:after="0"/>
        <w:jc w:val="left"/>
        <w:rPr>
          <w:rFonts w:ascii="Times New Roman" w:hAnsi="Times New Roman"/>
          <w:b/>
          <w:sz w:val="20"/>
        </w:rPr>
      </w:pPr>
      <w:r>
        <w:rPr>
          <w:rFonts w:ascii="Times New Roman" w:hAnsi="Times New Roman"/>
          <w:b/>
          <w:sz w:val="20"/>
        </w:rPr>
        <w:t xml:space="preserve">Exercise of Subscription Rights </w:t>
      </w:r>
    </w:p>
    <w:p>
      <w:pPr>
        <w:pStyle w:val="TextBody"/>
        <w:spacing w:before="240" w:after="0"/>
        <w:jc w:val="left"/>
        <w:rPr>
          <w:rFonts w:ascii="Times New Roman" w:hAnsi="Times New Roman"/>
          <w:sz w:val="20"/>
        </w:rPr>
      </w:pPr>
      <w:r>
        <w:rPr>
          <w:rFonts w:ascii="Times New Roman" w:hAnsi="Times New Roman"/>
          <w:sz w:val="20"/>
        </w:rPr>
        <w:t xml:space="preserve">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 </w:t>
      </w:r>
    </w:p>
    <w:p>
      <w:pPr>
        <w:pStyle w:val="TextBody"/>
        <w:spacing w:before="240" w:after="0"/>
        <w:jc w:val="left"/>
        <w:rPr>
          <w:rFonts w:ascii="Times New Roman" w:hAnsi="Times New Roman"/>
          <w:sz w:val="20"/>
        </w:rPr>
      </w:pPr>
      <w:r>
        <w:rPr>
          <w:rFonts w:ascii="Times New Roman" w:hAnsi="Times New Roman"/>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rPr/>
      </w:pPr>
      <w:r>
        <w:rPr/>
      </w:r>
    </w:p>
    <w:p>
      <w:pPr>
        <w:pStyle w:val="TextBody"/>
        <w:spacing w:before="0" w:after="0"/>
        <w:jc w:val="center"/>
        <w:rPr>
          <w:rFonts w:ascii="Times New Roman" w:hAnsi="Times New Roman"/>
          <w:b/>
          <w:sz w:val="20"/>
        </w:rPr>
      </w:pPr>
      <w:bookmarkStart w:id="22" w:name="toc478714_19"/>
      <w:bookmarkEnd w:id="22"/>
      <w:r>
        <w:rPr>
          <w:rFonts w:ascii="Times New Roman" w:hAnsi="Times New Roman"/>
          <w:b/>
          <w:sz w:val="20"/>
        </w:rPr>
        <w:t xml:space="preserve">DESCRIPTION OF OUR DEBT SECURITIES </w:t>
      </w:r>
    </w:p>
    <w:p>
      <w:pPr>
        <w:pStyle w:val="TextBody"/>
        <w:spacing w:before="240" w:after="0"/>
        <w:jc w:val="left"/>
        <w:rPr>
          <w:rFonts w:ascii="Times New Roman" w:hAnsi="Times New Roman"/>
          <w:sz w:val="20"/>
        </w:rPr>
      </w:pPr>
      <w:r>
        <w:rPr>
          <w:rFonts w:ascii="Times New Roman" w:hAnsi="Times New Roman"/>
          <w:sz w:val="20"/>
        </w:rPr>
        <w:t xml:space="preserve">In November 2017, we issued $138.6 million in aggregate principal amount of our 2023 Notes. The 2023 Notes were issued pursuant to a deed of trust between the Company and Mishmeret Trust Company, Ltd. as trustee. </w:t>
      </w:r>
    </w:p>
    <w:p>
      <w:pPr>
        <w:pStyle w:val="TextBody"/>
        <w:spacing w:before="240" w:after="0"/>
        <w:jc w:val="left"/>
        <w:rPr>
          <w:rFonts w:ascii="Times New Roman" w:hAnsi="Times New Roman"/>
          <w:sz w:val="20"/>
        </w:rPr>
      </w:pPr>
      <w:r>
        <w:rPr>
          <w:rFonts w:ascii="Times New Roman" w:hAnsi="Times New Roman"/>
          <w:sz w:val="20"/>
        </w:rPr>
        <w:t xml:space="preserve">The 2023 Notes pay interest at a rate of 4.3%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 </w:t>
      </w:r>
    </w:p>
    <w:p>
      <w:pPr>
        <w:pStyle w:val="TextBody"/>
        <w:spacing w:before="240" w:after="0"/>
        <w:jc w:val="left"/>
        <w:rPr>
          <w:rFonts w:ascii="Times New Roman" w:hAnsi="Times New Roman"/>
          <w:sz w:val="20"/>
        </w:rPr>
      </w:pPr>
      <w:r>
        <w:rPr>
          <w:rFonts w:ascii="Times New Roman" w:hAnsi="Times New Roman"/>
          <w:sz w:val="20"/>
        </w:rPr>
        <w:t xml:space="preserve">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 </w:t>
      </w:r>
    </w:p>
    <w:p>
      <w:pPr>
        <w:pStyle w:val="TextBody"/>
        <w:spacing w:before="240" w:after="0"/>
        <w:jc w:val="left"/>
        <w:rPr>
          <w:rFonts w:ascii="Times New Roman" w:hAnsi="Times New Roman"/>
          <w:sz w:val="20"/>
        </w:rPr>
      </w:pPr>
      <w:r>
        <w:rPr>
          <w:rFonts w:ascii="Times New Roman" w:hAnsi="Times New Roman"/>
          <w:sz w:val="20"/>
        </w:rPr>
        <w:t xml:space="preserve">The 2023 Notes have not been and will not be registered under the Securities Act and may not be offered or sold in the United States absent registration under the Securities Act or in transactions exempt from, or not subject to, such registration requirements. </w:t>
      </w:r>
    </w:p>
    <w:p>
      <w:pPr>
        <w:pStyle w:val="TextBody"/>
        <w:spacing w:before="240" w:after="0"/>
        <w:jc w:val="left"/>
        <w:rPr>
          <w:rFonts w:ascii="Times New Roman" w:hAnsi="Times New Roman"/>
          <w:sz w:val="20"/>
        </w:rPr>
      </w:pPr>
      <w:r>
        <w:rPr>
          <w:rFonts w:ascii="Times New Roman" w:hAnsi="Times New Roman"/>
          <w:sz w:val="20"/>
        </w:rPr>
        <w:t xml:space="preserve">In March 2021, and in October 2021, we issued $100.0 million and $85.0 million, respectively, in aggregate principal amount of our 2026 Notes at a public offering price per note of 99.4% and 101.5%, respectively. The 2026 Notes were issued pursuant to the Base Indenture, dated March 23, 2021 (the “Base Indenture”), between the Company and American Stock Transfer &amp; Trust Company, LLC, or AST, as trustee, as supplemented by the First Supplemental Indenture, dated March 23, 2021, between the Company and AST. The 2026 Notes are due on April 1, 2026 and may be redeemed in whole or in part at the Company’s option. </w:t>
      </w:r>
    </w:p>
    <w:p>
      <w:pPr>
        <w:pStyle w:val="TextBody"/>
        <w:spacing w:before="240" w:after="0"/>
        <w:jc w:val="left"/>
        <w:rPr>
          <w:rFonts w:ascii="Times New Roman" w:hAnsi="Times New Roman"/>
          <w:sz w:val="20"/>
        </w:rPr>
      </w:pPr>
      <w:r>
        <w:rPr>
          <w:rFonts w:ascii="Times New Roman" w:hAnsi="Times New Roman"/>
          <w:sz w:val="20"/>
        </w:rPr>
        <w:t xml:space="preserve">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 </w:t>
      </w:r>
    </w:p>
    <w:p>
      <w:pPr>
        <w:pStyle w:val="TextBody"/>
        <w:spacing w:before="240" w:after="0"/>
        <w:jc w:val="left"/>
        <w:rPr>
          <w:rFonts w:ascii="Times New Roman" w:hAnsi="Times New Roman"/>
          <w:sz w:val="20"/>
        </w:rPr>
      </w:pPr>
      <w:r>
        <w:rPr>
          <w:rFonts w:ascii="Times New Roman" w:hAnsi="Times New Roman"/>
          <w:sz w:val="20"/>
        </w:rPr>
        <w:t xml:space="preserve">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spacing w:before="240" w:after="0"/>
        <w:jc w:val="left"/>
        <w:rPr>
          <w:rFonts w:ascii="Times New Roman" w:hAnsi="Times New Roman"/>
          <w:sz w:val="20"/>
        </w:rPr>
      </w:pPr>
      <w:r>
        <w:rPr>
          <w:rFonts w:ascii="Times New Roman" w:hAnsi="Times New Roman"/>
          <w:sz w:val="20"/>
        </w:rPr>
        <w:t xml:space="preserve">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 </w:t>
      </w:r>
    </w:p>
    <w:p>
      <w:pPr>
        <w:pStyle w:val="TextBody"/>
        <w:spacing w:before="240" w:after="0"/>
        <w:jc w:val="left"/>
        <w:rPr>
          <w:rFonts w:ascii="Times New Roman" w:hAnsi="Times New Roman"/>
          <w:sz w:val="20"/>
        </w:rPr>
      </w:pPr>
      <w:r>
        <w:rPr>
          <w:rFonts w:ascii="Times New Roman" w:hAnsi="Times New Roman"/>
          <w:sz w:val="20"/>
        </w:rPr>
        <w:t xml:space="preserve">A prospectus supplement, which will accompany this prospectus with respect to a particular offering of debt securities, will describe the particular series of debt securities being offered by including: </w:t>
      </w:r>
    </w:p>
    <w:p>
      <w:pPr>
        <w:pStyle w:val="TextBody"/>
        <w:spacing w:before="0" w:after="0"/>
        <w:jc w:val="left"/>
        <w:rPr/>
      </w:pPr>
      <w:r>
        <w:rPr/>
        <w:t> </w:t>
      </w:r>
    </w:p>
    <w:tbl>
      <w:tblPr>
        <w:tblW w:w="4660" w:type="dxa"/>
        <w:jc w:val="left"/>
        <w:tblInd w:w="0" w:type="dxa"/>
        <w:tblCellMar>
          <w:top w:w="0" w:type="dxa"/>
          <w:left w:w="0" w:type="dxa"/>
          <w:bottom w:w="0" w:type="dxa"/>
          <w:right w:w="0" w:type="dxa"/>
        </w:tblCellMar>
      </w:tblPr>
      <w:tblGrid>
        <w:gridCol w:w="75"/>
        <w:gridCol w:w="110"/>
        <w:gridCol w:w="60"/>
        <w:gridCol w:w="44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total principal amount of the series of debt securities and whether or not the offering may be reopened for additional securities of that series and on what terms; </w:t>
            </w:r>
          </w:p>
        </w:tc>
      </w:tr>
    </w:tbl>
    <w:p>
      <w:pPr>
        <w:pStyle w:val="TextBody"/>
        <w:spacing w:before="0" w:after="0"/>
        <w:jc w:val="left"/>
        <w:rPr/>
      </w:pPr>
      <w:r>
        <w:rPr/>
        <w:t> </w:t>
      </w:r>
    </w:p>
    <w:tbl>
      <w:tblPr>
        <w:tblW w:w="7690" w:type="dxa"/>
        <w:jc w:val="left"/>
        <w:tblInd w:w="0" w:type="dxa"/>
        <w:tblCellMar>
          <w:top w:w="0" w:type="dxa"/>
          <w:left w:w="0" w:type="dxa"/>
          <w:bottom w:w="0" w:type="dxa"/>
          <w:right w:w="0" w:type="dxa"/>
        </w:tblCellMar>
      </w:tblPr>
      <w:tblGrid>
        <w:gridCol w:w="75"/>
        <w:gridCol w:w="110"/>
        <w:gridCol w:w="60"/>
        <w:gridCol w:w="74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spacing w:before="0" w:after="0"/>
        <w:jc w:val="left"/>
        <w:rPr/>
      </w:pPr>
      <w:r>
        <w:rPr/>
        <w:t> </w:t>
      </w:r>
    </w:p>
    <w:tbl>
      <w:tblPr>
        <w:tblW w:w="4570" w:type="dxa"/>
        <w:jc w:val="left"/>
        <w:tblInd w:w="0" w:type="dxa"/>
        <w:tblCellMar>
          <w:top w:w="0" w:type="dxa"/>
          <w:left w:w="0" w:type="dxa"/>
          <w:bottom w:w="0" w:type="dxa"/>
          <w:right w:w="0" w:type="dxa"/>
        </w:tblCellMar>
      </w:tblPr>
      <w:tblGrid>
        <w:gridCol w:w="75"/>
        <w:gridCol w:w="110"/>
        <w:gridCol w:w="60"/>
        <w:gridCol w:w="4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spacing w:before="0" w:after="0"/>
        <w:jc w:val="left"/>
        <w:rPr/>
      </w:pPr>
      <w:r>
        <w:rPr/>
        <w:t> </w:t>
      </w:r>
    </w:p>
    <w:tbl>
      <w:tblPr>
        <w:tblW w:w="5365" w:type="dxa"/>
        <w:jc w:val="left"/>
        <w:tblInd w:w="0" w:type="dxa"/>
        <w:tblCellMar>
          <w:top w:w="0" w:type="dxa"/>
          <w:left w:w="0" w:type="dxa"/>
          <w:bottom w:w="0" w:type="dxa"/>
          <w:right w:w="0" w:type="dxa"/>
        </w:tblCellMar>
      </w:tblPr>
      <w:tblGrid>
        <w:gridCol w:w="75"/>
        <w:gridCol w:w="110"/>
        <w:gridCol w:w="60"/>
        <w:gridCol w:w="5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spacing w:before="0" w:after="0"/>
        <w:jc w:val="left"/>
        <w:rPr/>
      </w:pPr>
      <w:r>
        <w:rPr/>
        <w:t> </w:t>
      </w:r>
    </w:p>
    <w:tbl>
      <w:tblPr>
        <w:tblW w:w="6355" w:type="dxa"/>
        <w:jc w:val="left"/>
        <w:tblInd w:w="0" w:type="dxa"/>
        <w:tblCellMar>
          <w:top w:w="0" w:type="dxa"/>
          <w:left w:w="0" w:type="dxa"/>
          <w:bottom w:w="0" w:type="dxa"/>
          <w:right w:w="0" w:type="dxa"/>
        </w:tblCellMar>
      </w:tblPr>
      <w:tblGrid>
        <w:gridCol w:w="75"/>
        <w:gridCol w:w="110"/>
        <w:gridCol w:w="60"/>
        <w:gridCol w:w="61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place or places, if any, other than or in addition to The City of New York, of payment, transfer, conversion and/or exchange of the debt securities; </w:t>
            </w:r>
          </w:p>
        </w:tc>
      </w:tr>
    </w:tbl>
    <w:p>
      <w:pPr>
        <w:pStyle w:val="TextBody"/>
        <w:spacing w:before="0" w:after="0"/>
        <w:jc w:val="left"/>
        <w:rPr/>
      </w:pPr>
      <w:r>
        <w:rPr/>
        <w:t> </w:t>
      </w:r>
    </w:p>
    <w:tbl>
      <w:tblPr>
        <w:tblW w:w="5935" w:type="dxa"/>
        <w:jc w:val="left"/>
        <w:tblInd w:w="0" w:type="dxa"/>
        <w:tblCellMar>
          <w:top w:w="0" w:type="dxa"/>
          <w:left w:w="0" w:type="dxa"/>
          <w:bottom w:w="0" w:type="dxa"/>
          <w:right w:w="0" w:type="dxa"/>
        </w:tblCellMar>
      </w:tblPr>
      <w:tblGrid>
        <w:gridCol w:w="75"/>
        <w:gridCol w:w="110"/>
        <w:gridCol w:w="60"/>
        <w:gridCol w:w="56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issued; </w:t>
            </w:r>
          </w:p>
        </w:tc>
      </w:tr>
    </w:tbl>
    <w:p>
      <w:pPr>
        <w:pStyle w:val="TextBody"/>
        <w:spacing w:before="0" w:after="0"/>
        <w:jc w:val="left"/>
        <w:rPr/>
      </w:pPr>
      <w:r>
        <w:rPr/>
        <w:t> </w:t>
      </w:r>
    </w:p>
    <w:tbl>
      <w:tblPr>
        <w:tblW w:w="3160" w:type="dxa"/>
        <w:jc w:val="left"/>
        <w:tblInd w:w="0" w:type="dxa"/>
        <w:tblCellMar>
          <w:top w:w="0" w:type="dxa"/>
          <w:left w:w="0" w:type="dxa"/>
          <w:bottom w:w="0" w:type="dxa"/>
          <w:right w:w="0" w:type="dxa"/>
        </w:tblCellMar>
      </w:tblPr>
      <w:tblGrid>
        <w:gridCol w:w="75"/>
        <w:gridCol w:w="110"/>
        <w:gridCol w:w="60"/>
        <w:gridCol w:w="29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spacing w:before="0" w:after="0"/>
        <w:jc w:val="left"/>
        <w:rPr/>
      </w:pPr>
      <w:r>
        <w:rPr/>
        <w:t> </w:t>
      </w:r>
    </w:p>
    <w:tbl>
      <w:tblPr>
        <w:tblW w:w="2410" w:type="dxa"/>
        <w:jc w:val="left"/>
        <w:tblInd w:w="0" w:type="dxa"/>
        <w:tblCellMar>
          <w:top w:w="0" w:type="dxa"/>
          <w:left w:w="0" w:type="dxa"/>
          <w:bottom w:w="0" w:type="dxa"/>
          <w:right w:w="0" w:type="dxa"/>
        </w:tblCellMar>
      </w:tblPr>
      <w:tblGrid>
        <w:gridCol w:w="75"/>
        <w:gridCol w:w="110"/>
        <w:gridCol w:w="60"/>
        <w:gridCol w:w="21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spacing w:before="0" w:after="0"/>
        <w:jc w:val="left"/>
        <w:rPr/>
      </w:pPr>
      <w:r>
        <w:rPr/>
        <w:t> </w:t>
      </w:r>
    </w:p>
    <w:tbl>
      <w:tblPr>
        <w:tblW w:w="2140" w:type="dxa"/>
        <w:jc w:val="left"/>
        <w:tblInd w:w="0" w:type="dxa"/>
        <w:tblCellMar>
          <w:top w:w="0" w:type="dxa"/>
          <w:left w:w="0" w:type="dxa"/>
          <w:bottom w:w="0" w:type="dxa"/>
          <w:right w:w="0" w:type="dxa"/>
        </w:tblCellMar>
      </w:tblPr>
      <w:tblGrid>
        <w:gridCol w:w="75"/>
        <w:gridCol w:w="110"/>
        <w:gridCol w:w="60"/>
        <w:gridCol w:w="18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Events of Default; </w:t>
            </w:r>
          </w:p>
        </w:tc>
      </w:tr>
    </w:tbl>
    <w:p>
      <w:pPr>
        <w:pStyle w:val="TextBody"/>
        <w:spacing w:before="0" w:after="0"/>
        <w:jc w:val="left"/>
        <w:rPr/>
      </w:pPr>
      <w:r>
        <w:rPr/>
        <w:t> </w:t>
      </w:r>
    </w:p>
    <w:tbl>
      <w:tblPr>
        <w:tblW w:w="5830" w:type="dxa"/>
        <w:jc w:val="left"/>
        <w:tblInd w:w="0" w:type="dxa"/>
        <w:tblCellMar>
          <w:top w:w="0" w:type="dxa"/>
          <w:left w:w="0" w:type="dxa"/>
          <w:bottom w:w="0" w:type="dxa"/>
          <w:right w:w="0" w:type="dxa"/>
        </w:tblCellMar>
      </w:tblPr>
      <w:tblGrid>
        <w:gridCol w:w="75"/>
        <w:gridCol w:w="110"/>
        <w:gridCol w:w="60"/>
        <w:gridCol w:w="55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whether the series of debt securities are issuable in certificated form; </w:t>
            </w:r>
          </w:p>
        </w:tc>
      </w:tr>
    </w:tbl>
    <w:p>
      <w:pPr>
        <w:pStyle w:val="TextBody"/>
        <w:spacing w:before="0" w:after="0"/>
        <w:jc w:val="left"/>
        <w:rPr/>
      </w:pPr>
      <w:r>
        <w:rPr/>
        <w:t> </w:t>
      </w:r>
    </w:p>
    <w:tbl>
      <w:tblPr>
        <w:tblW w:w="4720" w:type="dxa"/>
        <w:jc w:val="left"/>
        <w:tblInd w:w="0" w:type="dxa"/>
        <w:tblCellMar>
          <w:top w:w="0" w:type="dxa"/>
          <w:left w:w="0" w:type="dxa"/>
          <w:bottom w:w="0" w:type="dxa"/>
          <w:right w:w="0" w:type="dxa"/>
        </w:tblCellMar>
      </w:tblPr>
      <w:tblGrid>
        <w:gridCol w:w="75"/>
        <w:gridCol w:w="110"/>
        <w:gridCol w:w="60"/>
        <w:gridCol w:w="4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provisions for defeasance or covenant defeasance;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special federal income tax implications, including, if applicable, federal income tax considerations relating to original issue discount, or OID;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spacing w:before="0" w:after="0"/>
        <w:jc w:val="left"/>
        <w:rPr/>
      </w:pPr>
      <w:r>
        <w:rPr/>
        <w:t> </w:t>
      </w:r>
    </w:p>
    <w:tbl>
      <w:tblPr>
        <w:tblW w:w="8800" w:type="dxa"/>
        <w:jc w:val="left"/>
        <w:tblInd w:w="0" w:type="dxa"/>
        <w:tblCellMar>
          <w:top w:w="0" w:type="dxa"/>
          <w:left w:w="0" w:type="dxa"/>
          <w:bottom w:w="0" w:type="dxa"/>
          <w:right w:w="0" w:type="dxa"/>
        </w:tblCellMar>
      </w:tblPr>
      <w:tblGrid>
        <w:gridCol w:w="75"/>
        <w:gridCol w:w="110"/>
        <w:gridCol w:w="60"/>
        <w:gridCol w:w="85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spacing w:before="0" w:after="0"/>
        <w:jc w:val="left"/>
        <w:rPr/>
      </w:pPr>
      <w:r>
        <w:rPr/>
        <w:t> </w:t>
      </w:r>
    </w:p>
    <w:tbl>
      <w:tblPr>
        <w:tblW w:w="7795" w:type="dxa"/>
        <w:jc w:val="left"/>
        <w:tblInd w:w="0" w:type="dxa"/>
        <w:tblCellMar>
          <w:top w:w="0" w:type="dxa"/>
          <w:left w:w="0" w:type="dxa"/>
          <w:bottom w:w="0" w:type="dxa"/>
          <w:right w:w="0" w:type="dxa"/>
        </w:tblCellMar>
      </w:tblPr>
      <w:tblGrid>
        <w:gridCol w:w="75"/>
        <w:gridCol w:w="110"/>
        <w:gridCol w:w="60"/>
        <w:gridCol w:w="75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whether the debt securities are subject to subordination and the terms of such subordination; </w:t>
            </w:r>
          </w:p>
        </w:tc>
      </w:tr>
    </w:tbl>
    <w:p>
      <w:pPr>
        <w:pStyle w:val="TextBody"/>
        <w:spacing w:before="0" w:after="0"/>
        <w:jc w:val="left"/>
        <w:rPr/>
      </w:pPr>
      <w:r>
        <w:rPr/>
        <w:t> </w:t>
      </w:r>
    </w:p>
    <w:tbl>
      <w:tblPr>
        <w:tblW w:w="4180" w:type="dxa"/>
        <w:jc w:val="left"/>
        <w:tblInd w:w="0" w:type="dxa"/>
        <w:tblCellMar>
          <w:top w:w="0" w:type="dxa"/>
          <w:left w:w="0" w:type="dxa"/>
          <w:bottom w:w="0" w:type="dxa"/>
          <w:right w:w="0" w:type="dxa"/>
        </w:tblCellMar>
      </w:tblPr>
      <w:tblGrid>
        <w:gridCol w:w="75"/>
        <w:gridCol w:w="110"/>
        <w:gridCol w:w="60"/>
        <w:gridCol w:w="3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listing, if any, on a securities exchange; and </w:t>
            </w:r>
          </w:p>
        </w:tc>
      </w:tr>
    </w:tbl>
    <w:p>
      <w:pPr>
        <w:pStyle w:val="TextBody"/>
        <w:spacing w:before="0" w:after="0"/>
        <w:jc w:val="left"/>
        <w:rPr/>
      </w:pPr>
      <w:r>
        <w:rPr/>
        <w:t> </w:t>
      </w:r>
    </w:p>
    <w:tbl>
      <w:tblPr>
        <w:tblW w:w="1615" w:type="dxa"/>
        <w:jc w:val="left"/>
        <w:tblInd w:w="0" w:type="dxa"/>
        <w:tblCellMar>
          <w:top w:w="0" w:type="dxa"/>
          <w:left w:w="0" w:type="dxa"/>
          <w:bottom w:w="0" w:type="dxa"/>
          <w:right w:w="0" w:type="dxa"/>
        </w:tblCellMar>
      </w:tblPr>
      <w:tblGrid>
        <w:gridCol w:w="75"/>
        <w:gridCol w:w="110"/>
        <w:gridCol w:w="60"/>
        <w:gridCol w:w="13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other terms.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The debt securities may be secured or unsecured obligations. Under the provisions of the 1940 Act, we are permitted, as a BDC, to issue debt only in amounts such that we are in compliance with our asset coverage ratio, as defined in the 1940 Act, after each issuance of debt. Unless the prospectus supplement states otherwise, principal (and premium, if any) and interest, if any, will be paid by us in immediately available funds. </w:t>
      </w:r>
    </w:p>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 </w:t>
      </w:r>
    </w:p>
    <w:p>
      <w:pPr>
        <w:pStyle w:val="TextBody"/>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spacing w:before="240" w:after="0"/>
        <w:jc w:val="left"/>
        <w:rPr>
          <w:rFonts w:ascii="Times New Roman" w:hAnsi="Times New Roman"/>
          <w:sz w:val="20"/>
        </w:rPr>
      </w:pPr>
      <w:r>
        <w:rPr>
          <w:rFonts w:ascii="Times New Roman" w:hAnsi="Times New Roman"/>
          <w:sz w:val="20"/>
        </w:rPr>
        <w:t xml:space="preserve">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spacing w:before="240" w:after="0"/>
        <w:jc w:val="left"/>
        <w:rPr>
          <w:rFonts w:ascii="Times New Roman" w:hAnsi="Times New Roman"/>
          <w:sz w:val="20"/>
        </w:rPr>
      </w:pPr>
      <w:r>
        <w:rPr>
          <w:rFonts w:ascii="Times New Roman" w:hAnsi="Times New Roman"/>
          <w:sz w:val="20"/>
        </w:rPr>
        <w:t xml:space="preserve">The indenture does not contain any provisions that give you protection in the event we issue a large amount of debt or we are acquired by another entity. </w:t>
      </w:r>
    </w:p>
    <w:p>
      <w:pPr>
        <w:pStyle w:val="TextBody"/>
        <w:spacing w:before="240" w:after="0"/>
        <w:jc w:val="left"/>
        <w:rPr>
          <w:rFonts w:ascii="Times New Roman" w:hAnsi="Times New Roman"/>
          <w:sz w:val="20"/>
        </w:rPr>
      </w:pPr>
      <w:r>
        <w:rPr>
          <w:rFonts w:ascii="Times New Roman" w:hAnsi="Times New Roman"/>
          <w:sz w:val="20"/>
        </w:rPr>
        <w:t xml:space="preserve">A prospectus supplement will contain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spacing w:before="240" w:after="0"/>
        <w:jc w:val="left"/>
        <w:rPr>
          <w:rFonts w:ascii="Times New Roman" w:hAnsi="Times New Roman"/>
          <w:sz w:val="20"/>
        </w:rPr>
      </w:pPr>
      <w:r>
        <w:rPr>
          <w:rFonts w:ascii="Times New Roman" w:hAnsi="Times New Roman"/>
          <w:sz w:val="20"/>
        </w:rPr>
        <w:t xml:space="preserve">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 </w:t>
      </w:r>
    </w:p>
    <w:p>
      <w:pPr>
        <w:pStyle w:val="TextBody"/>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spacing w:before="120" w:after="0"/>
        <w:jc w:val="left"/>
        <w:rPr>
          <w:rFonts w:ascii="Times New Roman" w:hAnsi="Times New Roman"/>
          <w:sz w:val="20"/>
        </w:rPr>
      </w:pPr>
      <w:r>
        <w:rPr>
          <w:rFonts w:ascii="Times New Roman" w:hAnsi="Times New Roman"/>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spacing w:before="360" w:after="0"/>
        <w:jc w:val="left"/>
        <w:rPr>
          <w:rFonts w:ascii="Times New Roman" w:hAnsi="Times New Roman"/>
          <w:b/>
          <w:sz w:val="20"/>
        </w:rPr>
      </w:pPr>
      <w:r>
        <w:rPr>
          <w:rFonts w:ascii="Times New Roman" w:hAnsi="Times New Roman"/>
          <w:b/>
          <w:sz w:val="20"/>
        </w:rPr>
        <w:t xml:space="preserve">Issuance of Securities in Registered Form </w:t>
      </w:r>
    </w:p>
    <w:p>
      <w:pPr>
        <w:pStyle w:val="TextBody"/>
        <w:spacing w:before="120" w:after="0"/>
        <w:jc w:val="left"/>
        <w:rPr>
          <w:rFonts w:ascii="Times New Roman" w:hAnsi="Times New Roman"/>
          <w:sz w:val="20"/>
        </w:rPr>
      </w:pPr>
      <w:r>
        <w:rPr>
          <w:rFonts w:ascii="Times New Roman" w:hAnsi="Times New Roman"/>
          <w:sz w:val="20"/>
        </w:rPr>
        <w:t xml:space="preserve">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 </w:t>
      </w:r>
    </w:p>
    <w:p>
      <w:pPr>
        <w:pStyle w:val="TextBody"/>
        <w:spacing w:before="240" w:after="0"/>
        <w:jc w:val="left"/>
        <w:rPr>
          <w:rFonts w:ascii="Times New Roman" w:hAnsi="Times New Roman"/>
          <w:sz w:val="20"/>
        </w:rPr>
      </w:pPr>
      <w:r>
        <w:rPr>
          <w:rFonts w:ascii="Times New Roman" w:hAnsi="Times New Roman"/>
          <w:sz w:val="20"/>
        </w:rPr>
        <w:t xml:space="preserve">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 </w:t>
      </w:r>
    </w:p>
    <w:p>
      <w:pPr>
        <w:pStyle w:val="TextBody"/>
        <w:spacing w:before="360" w:after="0"/>
        <w:jc w:val="left"/>
        <w:rPr>
          <w:rFonts w:ascii="Times New Roman" w:hAnsi="Times New Roman"/>
          <w:i/>
          <w:sz w:val="20"/>
        </w:rPr>
      </w:pPr>
      <w:r>
        <w:rPr>
          <w:rFonts w:ascii="Times New Roman" w:hAnsi="Times New Roman"/>
          <w:i/>
          <w:sz w:val="20"/>
        </w:rPr>
        <w:t xml:space="preserve">Book-Entry Holders </w:t>
      </w:r>
    </w:p>
    <w:p>
      <w:pPr>
        <w:pStyle w:val="TextBody"/>
        <w:spacing w:before="120" w:after="0"/>
        <w:jc w:val="left"/>
        <w:rPr>
          <w:rFonts w:ascii="Times New Roman" w:hAnsi="Times New Roman"/>
          <w:sz w:val="20"/>
        </w:rPr>
      </w:pPr>
      <w:r>
        <w:rPr>
          <w:rFonts w:ascii="Times New Roman" w:hAnsi="Times New Roman"/>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spacing w:before="240" w:after="0"/>
        <w:jc w:val="left"/>
        <w:rPr>
          <w:rFonts w:ascii="Times New Roman" w:hAnsi="Times New Roman"/>
          <w:sz w:val="20"/>
        </w:rPr>
      </w:pPr>
      <w:r>
        <w:rPr>
          <w:rFonts w:ascii="Times New Roman" w:hAnsi="Times New Roman"/>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spacing w:before="240" w:after="0"/>
        <w:jc w:val="left"/>
        <w:rPr>
          <w:rFonts w:ascii="Times New Roman" w:hAnsi="Times New Roman"/>
          <w:sz w:val="20"/>
        </w:rPr>
      </w:pPr>
      <w:r>
        <w:rPr>
          <w:rFonts w:ascii="Times New Roman" w:hAnsi="Times New Roman"/>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spacing w:before="360" w:after="0"/>
        <w:jc w:val="left"/>
        <w:rPr>
          <w:rFonts w:ascii="Times New Roman" w:hAnsi="Times New Roman"/>
          <w:i/>
          <w:sz w:val="20"/>
        </w:rPr>
      </w:pPr>
      <w:r>
        <w:rPr>
          <w:rFonts w:ascii="Times New Roman" w:hAnsi="Times New Roman"/>
          <w:i/>
          <w:sz w:val="20"/>
        </w:rPr>
        <w:t xml:space="preserve">Street Name Holders </w:t>
      </w:r>
    </w:p>
    <w:p>
      <w:pPr>
        <w:pStyle w:val="TextBody"/>
        <w:spacing w:before="120" w:after="0"/>
        <w:jc w:val="left"/>
        <w:rPr>
          <w:rFonts w:ascii="Times New Roman" w:hAnsi="Times New Roman"/>
          <w:sz w:val="20"/>
        </w:rPr>
      </w:pPr>
      <w:r>
        <w:rPr>
          <w:rFonts w:ascii="Times New Roman" w:hAnsi="Times New Roman"/>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spacing w:before="360" w:after="0"/>
        <w:jc w:val="left"/>
        <w:rPr>
          <w:rFonts w:ascii="Times New Roman" w:hAnsi="Times New Roman"/>
          <w:i/>
          <w:sz w:val="20"/>
        </w:rPr>
      </w:pPr>
      <w:r>
        <w:rPr>
          <w:rFonts w:ascii="Times New Roman" w:hAnsi="Times New Roman"/>
          <w:i/>
          <w:sz w:val="20"/>
        </w:rPr>
        <w:t xml:space="preserve">Legal Holders </w:t>
      </w:r>
    </w:p>
    <w:p>
      <w:pPr>
        <w:pStyle w:val="TextBody"/>
        <w:spacing w:before="120" w:after="0"/>
        <w:jc w:val="left"/>
        <w:rPr>
          <w:rFonts w:ascii="Times New Roman" w:hAnsi="Times New Roman"/>
          <w:sz w:val="20"/>
        </w:rPr>
      </w:pPr>
      <w:r>
        <w:rPr>
          <w:rFonts w:ascii="Times New Roman" w:hAnsi="Times New Roman"/>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spacing w:before="24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spacing w:before="240" w:after="0"/>
        <w:jc w:val="left"/>
        <w:rPr>
          <w:rFonts w:ascii="Times New Roman" w:hAnsi="Times New Roman"/>
          <w:sz w:val="20"/>
        </w:rPr>
      </w:pPr>
      <w:r>
        <w:rPr>
          <w:rFonts w:ascii="Times New Roman" w:hAnsi="Times New Roman"/>
          <w:sz w:val="20"/>
        </w:rPr>
        <w:t xml:space="preserve">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spacing w:before="360" w:after="0"/>
        <w:jc w:val="left"/>
        <w:rPr>
          <w:rFonts w:ascii="Times New Roman" w:hAnsi="Times New Roman"/>
          <w:i/>
          <w:sz w:val="20"/>
        </w:rPr>
      </w:pPr>
      <w:r>
        <w:rPr>
          <w:rFonts w:ascii="Times New Roman" w:hAnsi="Times New Roman"/>
          <w:i/>
          <w:sz w:val="20"/>
        </w:rPr>
        <w:t xml:space="preserve">Special Considerations for Indirect Holders </w:t>
      </w:r>
    </w:p>
    <w:p>
      <w:pPr>
        <w:pStyle w:val="TextBody"/>
        <w:spacing w:before="120" w:after="0"/>
        <w:jc w:val="left"/>
        <w:rPr>
          <w:rFonts w:ascii="Times New Roman" w:hAnsi="Times New Roman"/>
          <w:sz w:val="20"/>
        </w:rPr>
      </w:pPr>
      <w:r>
        <w:rPr>
          <w:rFonts w:ascii="Times New Roman" w:hAnsi="Times New Roman"/>
          <w:sz w:val="20"/>
        </w:rPr>
        <w:t xml:space="preserve">If you hold debt securities through a bank, broker or other financial institution, either in book-entry form or in street name, we urge you to check with that institution to find out: </w:t>
      </w:r>
    </w:p>
    <w:p>
      <w:pPr>
        <w:pStyle w:val="TextBody"/>
        <w:spacing w:before="0" w:after="0"/>
        <w:jc w:val="left"/>
        <w:rPr/>
      </w:pPr>
      <w:r>
        <w:rPr/>
        <w:t> </w:t>
      </w:r>
    </w:p>
    <w:tbl>
      <w:tblPr>
        <w:tblW w:w="4180" w:type="dxa"/>
        <w:jc w:val="left"/>
        <w:tblInd w:w="0" w:type="dxa"/>
        <w:tblCellMar>
          <w:top w:w="0" w:type="dxa"/>
          <w:left w:w="0" w:type="dxa"/>
          <w:bottom w:w="0" w:type="dxa"/>
          <w:right w:w="0" w:type="dxa"/>
        </w:tblCellMar>
      </w:tblPr>
      <w:tblGrid>
        <w:gridCol w:w="75"/>
        <w:gridCol w:w="110"/>
        <w:gridCol w:w="60"/>
        <w:gridCol w:w="3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spacing w:before="0" w:after="0"/>
        <w:jc w:val="left"/>
        <w:rPr/>
      </w:pPr>
      <w:r>
        <w:rPr/>
        <w:t> </w:t>
      </w:r>
    </w:p>
    <w:tbl>
      <w:tblPr>
        <w:tblW w:w="3130" w:type="dxa"/>
        <w:jc w:val="left"/>
        <w:tblInd w:w="0" w:type="dxa"/>
        <w:tblCellMar>
          <w:top w:w="0" w:type="dxa"/>
          <w:left w:w="0" w:type="dxa"/>
          <w:bottom w:w="0" w:type="dxa"/>
          <w:right w:w="0" w:type="dxa"/>
        </w:tblCellMar>
      </w:tblPr>
      <w:tblGrid>
        <w:gridCol w:w="75"/>
        <w:gridCol w:w="110"/>
        <w:gridCol w:w="60"/>
        <w:gridCol w:w="2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spacing w:before="0" w:after="0"/>
        <w:jc w:val="left"/>
        <w:rPr/>
      </w:pPr>
      <w:r>
        <w:rPr/>
        <w:t> </w:t>
      </w:r>
    </w:p>
    <w:tbl>
      <w:tblPr>
        <w:tblW w:w="6085" w:type="dxa"/>
        <w:jc w:val="left"/>
        <w:tblInd w:w="0" w:type="dxa"/>
        <w:tblCellMar>
          <w:top w:w="0" w:type="dxa"/>
          <w:left w:w="0" w:type="dxa"/>
          <w:bottom w:w="0" w:type="dxa"/>
          <w:right w:w="0" w:type="dxa"/>
        </w:tblCellMar>
      </w:tblPr>
      <w:tblGrid>
        <w:gridCol w:w="75"/>
        <w:gridCol w:w="110"/>
        <w:gridCol w:w="60"/>
        <w:gridCol w:w="58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whether and how you can instruct it to send you debt securities registered in your own name so you can be a holder, if that is permitted in the future for a particular series of debt securities;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how it would exercise rights under the debt securities if there were a default or other event triggering the need for holders to act to protect their interests; and </w:t>
            </w:r>
          </w:p>
        </w:tc>
      </w:tr>
    </w:tbl>
    <w:p>
      <w:pPr>
        <w:pStyle w:val="TextBody"/>
        <w:spacing w:before="0" w:after="0"/>
        <w:jc w:val="left"/>
        <w:rPr/>
      </w:pPr>
      <w:r>
        <w:rPr/>
        <w:t> </w:t>
      </w:r>
    </w:p>
    <w:tbl>
      <w:tblPr>
        <w:tblW w:w="9295" w:type="dxa"/>
        <w:jc w:val="left"/>
        <w:tblInd w:w="0" w:type="dxa"/>
        <w:tblCellMar>
          <w:top w:w="0" w:type="dxa"/>
          <w:left w:w="0" w:type="dxa"/>
          <w:bottom w:w="0" w:type="dxa"/>
          <w:right w:w="0" w:type="dxa"/>
        </w:tblCellMar>
      </w:tblPr>
      <w:tblGrid>
        <w:gridCol w:w="75"/>
        <w:gridCol w:w="110"/>
        <w:gridCol w:w="60"/>
        <w:gridCol w:w="9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the debt securities are in book-entry form, how the depositary’s rules and procedures will affect these matters. </w:t>
            </w:r>
          </w:p>
        </w:tc>
      </w:tr>
    </w:tbl>
    <w:p>
      <w:pPr>
        <w:pStyle w:val="TextBody"/>
        <w:spacing w:before="360" w:after="0"/>
        <w:jc w:val="left"/>
        <w:rPr>
          <w:rFonts w:ascii="Times New Roman" w:hAnsi="Times New Roman"/>
          <w:b/>
          <w:sz w:val="20"/>
        </w:rPr>
      </w:pPr>
      <w:r>
        <w:rPr>
          <w:rFonts w:ascii="Times New Roman" w:hAnsi="Times New Roman"/>
          <w:b/>
          <w:sz w:val="20"/>
        </w:rPr>
        <w:t xml:space="preserve">Global Securities </w:t>
      </w:r>
    </w:p>
    <w:p>
      <w:pPr>
        <w:pStyle w:val="TextBody"/>
        <w:spacing w:before="120" w:after="0"/>
        <w:jc w:val="left"/>
        <w:rPr>
          <w:rFonts w:ascii="Times New Roman" w:hAnsi="Times New Roman"/>
          <w:sz w:val="20"/>
        </w:rPr>
      </w:pPr>
      <w:r>
        <w:rPr>
          <w:rFonts w:ascii="Times New Roman" w:hAnsi="Times New Roman"/>
          <w:sz w:val="20"/>
        </w:rPr>
        <w:t xml:space="preserve">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spacing w:before="360" w:after="0"/>
        <w:jc w:val="left"/>
        <w:rPr>
          <w:rFonts w:ascii="Times New Roman" w:hAnsi="Times New Roman"/>
          <w:i/>
          <w:sz w:val="20"/>
        </w:rPr>
      </w:pPr>
      <w:r>
        <w:rPr>
          <w:rFonts w:ascii="Times New Roman" w:hAnsi="Times New Roman"/>
          <w:i/>
          <w:sz w:val="20"/>
        </w:rPr>
        <w:t xml:space="preserve">Special Considerations for Global Securities </w:t>
      </w:r>
    </w:p>
    <w:p>
      <w:pPr>
        <w:pStyle w:val="TextBody"/>
        <w:spacing w:before="24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 </w:t>
      </w:r>
    </w:p>
    <w:p>
      <w:pPr>
        <w:pStyle w:val="TextBody"/>
        <w:spacing w:before="240" w:after="0"/>
        <w:jc w:val="left"/>
        <w:rPr>
          <w:rFonts w:ascii="Times New Roman" w:hAnsi="Times New Roman"/>
          <w:sz w:val="20"/>
        </w:rPr>
      </w:pPr>
      <w:r>
        <w:rPr>
          <w:rFonts w:ascii="Times New Roman" w:hAnsi="Times New Roman"/>
          <w:sz w:val="20"/>
        </w:rPr>
        <w:t xml:space="preserve">If debt securities are issued only in the form of a global security, an investor should be aware of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investor cannot cause the debt securities to be registered in his or her name and cannot obtain certificates for his or her interest in the debt securities, except in the special situations we describe below;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investor may not be able to sell interests in the debt securities to some insurance companies and other institutions that are required by law to own their securities in non-book-entry form;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investor may not be able to pledge his or her interest in a global security in circumstances where certificates representing the debt securities must be delivered to the lender or other beneficiary of the pledge in order for the pledge to be effective;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we redeem less than all the debt securities of a particular series being redeemed, DTC’s practice is to determine by lot the amount to be redeemed from each of its participants holding that series;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 </w:t>
            </w:r>
          </w:p>
        </w:tc>
      </w:tr>
    </w:tbl>
    <w:p>
      <w:pPr>
        <w:pStyle w:val="TextBody"/>
        <w:spacing w:before="360" w:after="0"/>
        <w:jc w:val="left"/>
        <w:rPr>
          <w:rFonts w:ascii="Times New Roman" w:hAnsi="Times New Roman"/>
          <w:i/>
          <w:sz w:val="20"/>
        </w:rPr>
      </w:pPr>
      <w:r>
        <w:rPr>
          <w:rFonts w:ascii="Times New Roman" w:hAnsi="Times New Roman"/>
          <w:i/>
          <w:sz w:val="20"/>
        </w:rPr>
        <w:t xml:space="preserve">Special Situations when a Global Security Will Be Terminated </w:t>
      </w:r>
    </w:p>
    <w:p>
      <w:pPr>
        <w:pStyle w:val="TextBody"/>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 </w:t>
      </w:r>
    </w:p>
    <w:p>
      <w:pPr>
        <w:pStyle w:val="TextBody"/>
        <w:spacing w:before="240" w:after="0"/>
        <w:jc w:val="left"/>
        <w:rPr>
          <w:rFonts w:ascii="Times New Roman" w:hAnsi="Times New Roman"/>
          <w:sz w:val="20"/>
        </w:rPr>
      </w:pPr>
      <w:r>
        <w:rPr>
          <w:rFonts w:ascii="Times New Roman" w:hAnsi="Times New Roman"/>
          <w:sz w:val="20"/>
        </w:rPr>
        <w:t xml:space="preserve">The special situations for termination of a global security are as follows: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are unable to appoint another institution to act as depositary; </w:t>
            </w:r>
          </w:p>
        </w:tc>
      </w:tr>
    </w:tbl>
    <w:p>
      <w:pPr>
        <w:pStyle w:val="TextBody"/>
        <w:spacing w:before="0" w:after="0"/>
        <w:jc w:val="left"/>
        <w:rPr/>
      </w:pPr>
      <w:r>
        <w:rPr/>
        <w:t> </w:t>
      </w:r>
    </w:p>
    <w:tbl>
      <w:tblPr>
        <w:tblW w:w="6100" w:type="dxa"/>
        <w:jc w:val="left"/>
        <w:tblInd w:w="0" w:type="dxa"/>
        <w:tblCellMar>
          <w:top w:w="0" w:type="dxa"/>
          <w:left w:w="0" w:type="dxa"/>
          <w:bottom w:w="0" w:type="dxa"/>
          <w:right w:w="0" w:type="dxa"/>
        </w:tblCellMar>
      </w:tblPr>
      <w:tblGrid>
        <w:gridCol w:w="75"/>
        <w:gridCol w:w="110"/>
        <w:gridCol w:w="60"/>
        <w:gridCol w:w="5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we notify the trustee that we wish to terminate that global security;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an event of default has occurred with regard to the debt securities represented by that global security and has not been cured or waived; we discuss defaults later under “Description of our Debt Securities—Events of Default.” </w:t>
            </w:r>
          </w:p>
        </w:tc>
      </w:tr>
    </w:tbl>
    <w:p>
      <w:pPr>
        <w:pStyle w:val="TextBody"/>
        <w:spacing w:before="240" w:after="0"/>
        <w:jc w:val="left"/>
        <w:rPr>
          <w:rFonts w:ascii="Times New Roman" w:hAnsi="Times New Roman"/>
          <w:sz w:val="20"/>
        </w:rPr>
      </w:pPr>
      <w:r>
        <w:rPr>
          <w:rFonts w:ascii="Times New Roman" w:hAnsi="Times New Roman"/>
          <w:sz w:val="20"/>
        </w:rPr>
        <w:t xml:space="preserve">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 </w:t>
      </w:r>
    </w:p>
    <w:p>
      <w:pPr>
        <w:pStyle w:val="TextBody"/>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spacing w:before="120" w:after="0"/>
        <w:jc w:val="left"/>
        <w:rPr>
          <w:rFonts w:ascii="Times New Roman" w:hAnsi="Times New Roman"/>
          <w:sz w:val="20"/>
        </w:rPr>
      </w:pPr>
      <w:r>
        <w:rPr>
          <w:rFonts w:ascii="Times New Roman" w:hAnsi="Times New Roman"/>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spacing w:before="360" w:after="0"/>
        <w:jc w:val="left"/>
        <w:rPr>
          <w:rFonts w:ascii="Times New Roman" w:hAnsi="Times New Roman"/>
          <w:i/>
          <w:sz w:val="20"/>
        </w:rPr>
      </w:pPr>
      <w:r>
        <w:rPr>
          <w:rFonts w:ascii="Times New Roman" w:hAnsi="Times New Roman"/>
          <w:i/>
          <w:sz w:val="20"/>
        </w:rPr>
        <w:t xml:space="preserve">Payments on Global Securities </w:t>
      </w:r>
    </w:p>
    <w:p>
      <w:pPr>
        <w:pStyle w:val="TextBody"/>
        <w:spacing w:before="120" w:after="0"/>
        <w:jc w:val="left"/>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rPr/>
      </w:pPr>
      <w:r>
        <w:rPr/>
      </w:r>
    </w:p>
    <w:p>
      <w:pPr>
        <w:pStyle w:val="TextBody"/>
        <w:spacing w:before="0" w:after="0"/>
        <w:jc w:val="left"/>
        <w:rPr>
          <w:rFonts w:ascii="Times New Roman" w:hAnsi="Times New Roman"/>
          <w:i/>
          <w:sz w:val="20"/>
        </w:rPr>
      </w:pPr>
      <w:r>
        <w:rPr>
          <w:rFonts w:ascii="Times New Roman" w:hAnsi="Times New Roman"/>
          <w:i/>
          <w:sz w:val="20"/>
        </w:rPr>
        <w:t xml:space="preserve">Payments on Certificated Securities </w:t>
      </w:r>
    </w:p>
    <w:p>
      <w:pPr>
        <w:pStyle w:val="TextBody"/>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 </w:t>
      </w:r>
    </w:p>
    <w:p>
      <w:pPr>
        <w:pStyle w:val="TextBody"/>
        <w:spacing w:before="240" w:after="0"/>
        <w:jc w:val="left"/>
        <w:rPr>
          <w:rFonts w:ascii="Times New Roman" w:hAnsi="Times New Roman"/>
          <w:sz w:val="20"/>
        </w:rPr>
      </w:pPr>
      <w:r>
        <w:rPr>
          <w:rFonts w:ascii="Times New Roman" w:hAnsi="Times New Roman"/>
          <w:sz w:val="20"/>
        </w:rPr>
        <w:t xml:space="preserve">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w:t>
      </w:r>
    </w:p>
    <w:p>
      <w:pPr>
        <w:pStyle w:val="TextBody"/>
        <w:spacing w:before="360" w:after="0"/>
        <w:jc w:val="left"/>
        <w:rPr>
          <w:rFonts w:ascii="Times New Roman" w:hAnsi="Times New Roman"/>
          <w:i/>
          <w:sz w:val="20"/>
        </w:rPr>
      </w:pPr>
      <w:r>
        <w:rPr>
          <w:rFonts w:ascii="Times New Roman" w:hAnsi="Times New Roman"/>
          <w:i/>
          <w:sz w:val="20"/>
        </w:rPr>
        <w:t xml:space="preserve">Payment When Offices Are Closed </w:t>
      </w:r>
    </w:p>
    <w:p>
      <w:pPr>
        <w:pStyle w:val="TextBody"/>
        <w:spacing w:before="120" w:after="0"/>
        <w:jc w:val="left"/>
        <w:rPr>
          <w:rFonts w:ascii="Times New Roman" w:hAnsi="Times New Roman"/>
          <w:sz w:val="20"/>
        </w:rPr>
      </w:pPr>
      <w:r>
        <w:rPr>
          <w:rFonts w:ascii="Times New Roman" w:hAnsi="Times New Roman"/>
          <w:sz w:val="20"/>
        </w:rPr>
        <w:t xml:space="preserve">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 </w:t>
      </w:r>
    </w:p>
    <w:p>
      <w:pPr>
        <w:pStyle w:val="TextBody"/>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they will receive payments on their debt securities. </w:t>
      </w:r>
    </w:p>
    <w:p>
      <w:pPr>
        <w:pStyle w:val="TextBody"/>
        <w:spacing w:before="360" w:after="0"/>
        <w:jc w:val="left"/>
        <w:rPr>
          <w:rFonts w:ascii="Times New Roman" w:hAnsi="Times New Roman"/>
          <w:b/>
          <w:sz w:val="20"/>
        </w:rPr>
      </w:pPr>
      <w:r>
        <w:rPr>
          <w:rFonts w:ascii="Times New Roman" w:hAnsi="Times New Roman"/>
          <w:b/>
          <w:sz w:val="20"/>
        </w:rPr>
        <w:t xml:space="preserve">Events of Default </w:t>
      </w:r>
    </w:p>
    <w:p>
      <w:pPr>
        <w:pStyle w:val="TextBody"/>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debt securities of your series and is not cured, as described later in this subsection. </w:t>
      </w:r>
    </w:p>
    <w:p>
      <w:pPr>
        <w:pStyle w:val="TextBody"/>
        <w:spacing w:before="240" w:after="0"/>
        <w:jc w:val="left"/>
        <w:rPr>
          <w:rFonts w:ascii="Times New Roman" w:hAnsi="Times New Roman"/>
          <w:sz w:val="20"/>
        </w:rPr>
      </w:pPr>
      <w:r>
        <w:rPr>
          <w:rFonts w:ascii="Times New Roman" w:hAnsi="Times New Roman"/>
          <w:sz w:val="20"/>
        </w:rPr>
        <w:t xml:space="preserve">The term “Event of Default” in respect of the debt securities of your series means any of the following: </w:t>
      </w:r>
    </w:p>
    <w:p>
      <w:pPr>
        <w:pStyle w:val="TextBody"/>
        <w:spacing w:before="0" w:after="0"/>
        <w:jc w:val="left"/>
        <w:rPr/>
      </w:pPr>
      <w:r>
        <w:rPr/>
        <w:t> </w:t>
      </w:r>
    </w:p>
    <w:tbl>
      <w:tblPr>
        <w:tblW w:w="7945" w:type="dxa"/>
        <w:jc w:val="left"/>
        <w:tblInd w:w="0" w:type="dxa"/>
        <w:tblCellMar>
          <w:top w:w="0" w:type="dxa"/>
          <w:left w:w="0" w:type="dxa"/>
          <w:bottom w:w="0" w:type="dxa"/>
          <w:right w:w="0" w:type="dxa"/>
        </w:tblCellMar>
      </w:tblPr>
      <w:tblGrid>
        <w:gridCol w:w="75"/>
        <w:gridCol w:w="110"/>
        <w:gridCol w:w="60"/>
        <w:gridCol w:w="77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do not pay the principal of, or any premium on, a debt security of the series on its due date; </w:t>
            </w:r>
          </w:p>
        </w:tc>
      </w:tr>
    </w:tbl>
    <w:p>
      <w:pPr>
        <w:pStyle w:val="TextBody"/>
        <w:spacing w:before="0" w:after="0"/>
        <w:jc w:val="left"/>
        <w:rPr/>
      </w:pPr>
      <w:r>
        <w:rPr/>
        <w:t> </w:t>
      </w:r>
    </w:p>
    <w:tbl>
      <w:tblPr>
        <w:tblW w:w="7090" w:type="dxa"/>
        <w:jc w:val="left"/>
        <w:tblInd w:w="0" w:type="dxa"/>
        <w:tblCellMar>
          <w:top w:w="0" w:type="dxa"/>
          <w:left w:w="0" w:type="dxa"/>
          <w:bottom w:w="0" w:type="dxa"/>
          <w:right w:w="0" w:type="dxa"/>
        </w:tblCellMar>
      </w:tblPr>
      <w:tblGrid>
        <w:gridCol w:w="75"/>
        <w:gridCol w:w="110"/>
        <w:gridCol w:w="60"/>
        <w:gridCol w:w="68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do not pay interest on a debt security of the series within 30 days of its due date; </w:t>
            </w:r>
          </w:p>
        </w:tc>
      </w:tr>
    </w:tbl>
    <w:p>
      <w:pPr>
        <w:pStyle w:val="TextBody"/>
        <w:spacing w:before="0" w:after="0"/>
        <w:jc w:val="left"/>
        <w:rPr/>
      </w:pPr>
      <w:r>
        <w:rPr/>
        <w:t> </w:t>
      </w:r>
    </w:p>
    <w:tbl>
      <w:tblPr>
        <w:tblW w:w="8485" w:type="dxa"/>
        <w:jc w:val="left"/>
        <w:tblInd w:w="0" w:type="dxa"/>
        <w:tblCellMar>
          <w:top w:w="0" w:type="dxa"/>
          <w:left w:w="0" w:type="dxa"/>
          <w:bottom w:w="0" w:type="dxa"/>
          <w:right w:w="0" w:type="dxa"/>
        </w:tblCellMar>
      </w:tblPr>
      <w:tblGrid>
        <w:gridCol w:w="75"/>
        <w:gridCol w:w="110"/>
        <w:gridCol w:w="60"/>
        <w:gridCol w:w="82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do not deposit any sinking fund payment in respect of debt securities of the series on its due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 </w:t>
            </w:r>
          </w:p>
        </w:tc>
      </w:tr>
    </w:tbl>
    <w:p>
      <w:pPr>
        <w:pStyle w:val="TextBody"/>
        <w:spacing w:before="0" w:after="0"/>
        <w:jc w:val="left"/>
        <w:rPr/>
      </w:pPr>
      <w:r>
        <w:rPr/>
        <w:t> </w:t>
      </w:r>
    </w:p>
    <w:tbl>
      <w:tblPr>
        <w:tblW w:w="8470" w:type="dxa"/>
        <w:jc w:val="left"/>
        <w:tblInd w:w="0" w:type="dxa"/>
        <w:tblCellMar>
          <w:top w:w="0" w:type="dxa"/>
          <w:left w:w="0" w:type="dxa"/>
          <w:bottom w:w="0" w:type="dxa"/>
          <w:right w:w="0" w:type="dxa"/>
        </w:tblCellMar>
      </w:tblPr>
      <w:tblGrid>
        <w:gridCol w:w="75"/>
        <w:gridCol w:w="110"/>
        <w:gridCol w:w="60"/>
        <w:gridCol w:w="82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occur; and </w:t>
            </w:r>
          </w:p>
        </w:tc>
      </w:tr>
    </w:tbl>
    <w:p>
      <w:pPr>
        <w:pStyle w:val="TextBody"/>
        <w:spacing w:before="0" w:after="0"/>
        <w:jc w:val="left"/>
        <w:rPr/>
      </w:pPr>
      <w:r>
        <w:rPr/>
        <w:t> </w:t>
      </w:r>
    </w:p>
    <w:tbl>
      <w:tblPr>
        <w:tblW w:w="9580" w:type="dxa"/>
        <w:jc w:val="left"/>
        <w:tblInd w:w="0" w:type="dxa"/>
        <w:tblCellMar>
          <w:top w:w="0" w:type="dxa"/>
          <w:left w:w="0" w:type="dxa"/>
          <w:bottom w:w="0" w:type="dxa"/>
          <w:right w:w="0" w:type="dxa"/>
        </w:tblCellMar>
      </w:tblPr>
      <w:tblGrid>
        <w:gridCol w:w="75"/>
        <w:gridCol w:w="110"/>
        <w:gridCol w:w="60"/>
        <w:gridCol w:w="93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other Event of Default in respect of debt securities of the series described in the prospectus supplement occurs. </w:t>
            </w:r>
          </w:p>
        </w:tc>
      </w:tr>
    </w:tbl>
    <w:p>
      <w:pPr>
        <w:pStyle w:val="TextBody"/>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rPr/>
      </w:pPr>
      <w:r>
        <w:rPr/>
      </w:r>
    </w:p>
    <w:p>
      <w:pPr>
        <w:pStyle w:val="TextBody"/>
        <w:spacing w:before="0" w:after="0"/>
        <w:jc w:val="left"/>
        <w:rPr>
          <w:rFonts w:ascii="Times New Roman" w:hAnsi="Times New Roman"/>
          <w:i/>
          <w:sz w:val="20"/>
        </w:rPr>
      </w:pPr>
      <w:r>
        <w:rPr>
          <w:rFonts w:ascii="Times New Roman" w:hAnsi="Times New Roman"/>
          <w:i/>
          <w:sz w:val="20"/>
        </w:rPr>
        <w:t xml:space="preserve">Remedies if an Event of Default Occurs </w:t>
      </w:r>
    </w:p>
    <w:p>
      <w:pPr>
        <w:pStyle w:val="TextBody"/>
        <w:spacing w:before="120" w:after="0"/>
        <w:jc w:val="left"/>
        <w:rPr>
          <w:rFonts w:ascii="Times New Roman" w:hAnsi="Times New Roman"/>
          <w:sz w:val="20"/>
        </w:rPr>
      </w:pPr>
      <w:r>
        <w:rPr>
          <w:rFonts w:ascii="Times New Roman" w:hAnsi="Times New Roman"/>
          <w:sz w:val="20"/>
        </w:rPr>
        <w:t xml:space="preserve">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 </w:t>
      </w:r>
    </w:p>
    <w:p>
      <w:pPr>
        <w:pStyle w:val="TextBody"/>
        <w:spacing w:before="240" w:after="0"/>
        <w:jc w:val="left"/>
        <w:rPr>
          <w:rFonts w:ascii="Times New Roman" w:hAnsi="Times New Roman"/>
          <w:sz w:val="20"/>
        </w:rPr>
      </w:pPr>
      <w:r>
        <w:rPr>
          <w:rFonts w:ascii="Times New Roman" w:hAnsi="Times New Roman"/>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spacing w:before="240" w:after="0"/>
        <w:jc w:val="left"/>
        <w:rPr>
          <w:rFonts w:ascii="Times New Roman" w:hAnsi="Times New Roman"/>
          <w:sz w:val="20"/>
        </w:rPr>
      </w:pPr>
      <w:r>
        <w:rPr>
          <w:rFonts w:ascii="Times New Roman" w:hAnsi="Times New Roman"/>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spacing w:before="0" w:after="0"/>
        <w:jc w:val="left"/>
        <w:rPr/>
      </w:pPr>
      <w:r>
        <w:rPr/>
        <w:t> </w:t>
      </w:r>
    </w:p>
    <w:tbl>
      <w:tblPr>
        <w:tblW w:w="8365" w:type="dxa"/>
        <w:jc w:val="left"/>
        <w:tblInd w:w="0" w:type="dxa"/>
        <w:tblCellMar>
          <w:top w:w="0" w:type="dxa"/>
          <w:left w:w="0" w:type="dxa"/>
          <w:bottom w:w="0" w:type="dxa"/>
          <w:right w:w="0" w:type="dxa"/>
        </w:tblCellMar>
      </w:tblPr>
      <w:tblGrid>
        <w:gridCol w:w="75"/>
        <w:gridCol w:w="110"/>
        <w:gridCol w:w="60"/>
        <w:gridCol w:w="81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you must give the trustee written notice that an Event of Default has occurred and remains uncured;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 </w:t>
            </w:r>
          </w:p>
        </w:tc>
      </w:tr>
    </w:tbl>
    <w:p>
      <w:pPr>
        <w:pStyle w:val="TextBody"/>
        <w:spacing w:before="0" w:after="0"/>
        <w:jc w:val="left"/>
        <w:rPr/>
      </w:pPr>
      <w:r>
        <w:rPr/>
        <w:t> </w:t>
      </w:r>
    </w:p>
    <w:tbl>
      <w:tblPr>
        <w:tblW w:w="9220" w:type="dxa"/>
        <w:jc w:val="left"/>
        <w:tblInd w:w="0" w:type="dxa"/>
        <w:tblCellMar>
          <w:top w:w="0" w:type="dxa"/>
          <w:left w:w="0" w:type="dxa"/>
          <w:bottom w:w="0" w:type="dxa"/>
          <w:right w:w="0" w:type="dxa"/>
        </w:tblCellMar>
      </w:tblPr>
      <w:tblGrid>
        <w:gridCol w:w="75"/>
        <w:gridCol w:w="110"/>
        <w:gridCol w:w="60"/>
        <w:gridCol w:w="8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holders of a majority in principal amount of the debt securities must not have given the trustee a direction inconsistent with the above notice during that 60-day period. </w:t>
            </w:r>
          </w:p>
        </w:tc>
      </w:tr>
    </w:tbl>
    <w:p>
      <w:pPr>
        <w:pStyle w:val="TextBody"/>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debt securities on or after the due date. </w:t>
      </w:r>
    </w:p>
    <w:p>
      <w:pPr>
        <w:pStyle w:val="TextBody"/>
        <w:spacing w:before="24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spacing w:before="240" w:after="0"/>
        <w:jc w:val="left"/>
        <w:rPr>
          <w:rFonts w:ascii="Times New Roman" w:hAnsi="Times New Roman"/>
          <w:sz w:val="20"/>
        </w:rPr>
      </w:pPr>
      <w:r>
        <w:rPr>
          <w:rFonts w:ascii="Times New Roman" w:hAnsi="Times New Roman"/>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spacing w:before="360" w:after="0"/>
        <w:jc w:val="left"/>
        <w:rPr>
          <w:rFonts w:ascii="Times New Roman" w:hAnsi="Times New Roman"/>
          <w:i/>
          <w:sz w:val="20"/>
        </w:rPr>
      </w:pPr>
      <w:r>
        <w:rPr>
          <w:rFonts w:ascii="Times New Roman" w:hAnsi="Times New Roman"/>
          <w:i/>
          <w:sz w:val="20"/>
        </w:rPr>
        <w:t xml:space="preserve">Waiver of Default </w:t>
      </w:r>
    </w:p>
    <w:p>
      <w:pPr>
        <w:pStyle w:val="TextBody"/>
        <w:spacing w:before="120" w:after="0"/>
        <w:jc w:val="left"/>
        <w:rPr>
          <w:rFonts w:ascii="Times New Roman" w:hAnsi="Times New Roman"/>
          <w:sz w:val="20"/>
        </w:rPr>
      </w:pPr>
      <w:r>
        <w:rPr>
          <w:rFonts w:ascii="Times New Roman" w:hAnsi="Times New Roman"/>
          <w:sz w:val="20"/>
        </w:rPr>
        <w:t xml:space="preserve">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 </w:t>
      </w:r>
    </w:p>
    <w:p>
      <w:pPr>
        <w:pStyle w:val="TextBody"/>
        <w:spacing w:before="360" w:after="0"/>
        <w:jc w:val="left"/>
        <w:rPr>
          <w:rFonts w:ascii="Times New Roman" w:hAnsi="Times New Roman"/>
          <w:b/>
          <w:sz w:val="20"/>
        </w:rPr>
      </w:pPr>
      <w:r>
        <w:rPr>
          <w:rFonts w:ascii="Times New Roman" w:hAnsi="Times New Roman"/>
          <w:b/>
          <w:sz w:val="20"/>
        </w:rPr>
        <w:t xml:space="preserve">Merger or Consolidation </w:t>
      </w:r>
    </w:p>
    <w:p>
      <w:pPr>
        <w:pStyle w:val="TextBody"/>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where we merge out of existence or sell our assets, the resulting entity must agree to be legally responsible for our obligations under the debt securities; </w:t>
            </w:r>
          </w:p>
        </w:tc>
      </w:tr>
    </w:tbl>
    <w:p>
      <w:pPr>
        <w:pStyle w:val="TextBody"/>
        <w:spacing w:before="0" w:after="0"/>
        <w:jc w:val="left"/>
        <w:rPr/>
      </w:pPr>
      <w:r>
        <w:rPr/>
        <w:t> </w:t>
      </w:r>
    </w:p>
    <w:tbl>
      <w:tblPr>
        <w:tblW w:w="4330" w:type="dxa"/>
        <w:jc w:val="left"/>
        <w:tblInd w:w="0" w:type="dxa"/>
        <w:tblCellMar>
          <w:top w:w="0" w:type="dxa"/>
          <w:left w:w="0" w:type="dxa"/>
          <w:bottom w:w="0" w:type="dxa"/>
          <w:right w:w="0" w:type="dxa"/>
        </w:tblCellMar>
      </w:tblPr>
      <w:tblGrid>
        <w:gridCol w:w="75"/>
        <w:gridCol w:w="110"/>
        <w:gridCol w:w="60"/>
        <w:gridCol w:w="40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alternatively, we must be the surviving company;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rPr/>
      </w:pPr>
      <w:r>
        <w:rPr/>
      </w:r>
    </w:p>
    <w:tbl>
      <w:tblPr>
        <w:tblW w:w="5425" w:type="dxa"/>
        <w:jc w:val="left"/>
        <w:tblInd w:w="0" w:type="dxa"/>
        <w:tblCellMar>
          <w:top w:w="0" w:type="dxa"/>
          <w:left w:w="0" w:type="dxa"/>
          <w:bottom w:w="0" w:type="dxa"/>
          <w:right w:w="0" w:type="dxa"/>
        </w:tblCellMar>
      </w:tblPr>
      <w:tblGrid>
        <w:gridCol w:w="75"/>
        <w:gridCol w:w="110"/>
        <w:gridCol w:w="60"/>
        <w:gridCol w:w="51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immediately after the transaction no event of default will exist; </w:t>
            </w:r>
          </w:p>
        </w:tc>
      </w:tr>
    </w:tbl>
    <w:p>
      <w:pPr>
        <w:pStyle w:val="TextBody"/>
        <w:spacing w:before="0" w:after="0"/>
        <w:jc w:val="left"/>
        <w:rPr/>
      </w:pPr>
      <w:r>
        <w:rPr/>
        <w:t> </w:t>
      </w:r>
    </w:p>
    <w:tbl>
      <w:tblPr>
        <w:tblW w:w="5905" w:type="dxa"/>
        <w:jc w:val="left"/>
        <w:tblInd w:w="0" w:type="dxa"/>
        <w:tblCellMar>
          <w:top w:w="0" w:type="dxa"/>
          <w:left w:w="0" w:type="dxa"/>
          <w:bottom w:w="0" w:type="dxa"/>
          <w:right w:w="0" w:type="dxa"/>
        </w:tblCellMar>
      </w:tblPr>
      <w:tblGrid>
        <w:gridCol w:w="75"/>
        <w:gridCol w:w="110"/>
        <w:gridCol w:w="60"/>
        <w:gridCol w:w="5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must deliver certain certificates and documents to the trustee;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debt securities issued thereunder. </w:t>
      </w:r>
    </w:p>
    <w:p>
      <w:pPr>
        <w:pStyle w:val="TextBody"/>
        <w:spacing w:before="360" w:after="0"/>
        <w:jc w:val="left"/>
        <w:rPr>
          <w:rFonts w:ascii="Times New Roman" w:hAnsi="Times New Roman"/>
          <w:i/>
          <w:sz w:val="20"/>
        </w:rPr>
      </w:pPr>
      <w:r>
        <w:rPr>
          <w:rFonts w:ascii="Times New Roman" w:hAnsi="Times New Roman"/>
          <w:i/>
          <w:sz w:val="20"/>
        </w:rPr>
        <w:t xml:space="preserve">Changes Requiring Your Approval </w:t>
      </w:r>
    </w:p>
    <w:p>
      <w:pPr>
        <w:pStyle w:val="TextBody"/>
        <w:spacing w:before="120" w:after="0"/>
        <w:jc w:val="left"/>
        <w:rPr>
          <w:rFonts w:ascii="Times New Roman" w:hAnsi="Times New Roman"/>
          <w:sz w:val="20"/>
        </w:rPr>
      </w:pPr>
      <w:r>
        <w:rPr>
          <w:rFonts w:ascii="Times New Roman" w:hAnsi="Times New Roman"/>
          <w:sz w:val="20"/>
        </w:rPr>
        <w:t xml:space="preserve">First, there are changes that we cannot make to your debt securities without your specific approval. The following is a list of those types of changes: </w:t>
      </w:r>
    </w:p>
    <w:p>
      <w:pPr>
        <w:pStyle w:val="TextBody"/>
        <w:spacing w:before="0" w:after="0"/>
        <w:jc w:val="left"/>
        <w:rPr/>
      </w:pPr>
      <w:r>
        <w:rPr/>
        <w:t> </w:t>
      </w:r>
    </w:p>
    <w:tbl>
      <w:tblPr>
        <w:tblW w:w="6370" w:type="dxa"/>
        <w:jc w:val="left"/>
        <w:tblInd w:w="0" w:type="dxa"/>
        <w:tblCellMar>
          <w:top w:w="0" w:type="dxa"/>
          <w:left w:w="0" w:type="dxa"/>
          <w:bottom w:w="0" w:type="dxa"/>
          <w:right w:w="0" w:type="dxa"/>
        </w:tblCellMar>
      </w:tblPr>
      <w:tblGrid>
        <w:gridCol w:w="75"/>
        <w:gridCol w:w="110"/>
        <w:gridCol w:w="60"/>
        <w:gridCol w:w="61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 the stated maturity of the principal of or interest on a debt security; </w:t>
            </w:r>
          </w:p>
        </w:tc>
      </w:tr>
    </w:tbl>
    <w:p>
      <w:pPr>
        <w:pStyle w:val="TextBody"/>
        <w:spacing w:before="0" w:after="0"/>
        <w:jc w:val="left"/>
        <w:rPr/>
      </w:pPr>
      <w:r>
        <w:rPr/>
        <w:t> </w:t>
      </w:r>
    </w:p>
    <w:tbl>
      <w:tblPr>
        <w:tblW w:w="3835" w:type="dxa"/>
        <w:jc w:val="left"/>
        <w:tblInd w:w="0" w:type="dxa"/>
        <w:tblCellMar>
          <w:top w:w="0" w:type="dxa"/>
          <w:left w:w="0" w:type="dxa"/>
          <w:bottom w:w="0" w:type="dxa"/>
          <w:right w:w="0" w:type="dxa"/>
        </w:tblCellMar>
      </w:tblPr>
      <w:tblGrid>
        <w:gridCol w:w="75"/>
        <w:gridCol w:w="110"/>
        <w:gridCol w:w="60"/>
        <w:gridCol w:w="35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reduce any amounts due on a debt security; </w:t>
            </w:r>
          </w:p>
        </w:tc>
      </w:tr>
    </w:tbl>
    <w:p>
      <w:pPr>
        <w:pStyle w:val="TextBody"/>
        <w:spacing w:before="0" w:after="0"/>
        <w:jc w:val="left"/>
        <w:rPr/>
      </w:pPr>
      <w:r>
        <w:rPr/>
        <w:t> </w:t>
      </w:r>
    </w:p>
    <w:tbl>
      <w:tblPr>
        <w:tblW w:w="8935" w:type="dxa"/>
        <w:jc w:val="left"/>
        <w:tblInd w:w="0" w:type="dxa"/>
        <w:tblCellMar>
          <w:top w:w="0" w:type="dxa"/>
          <w:left w:w="0" w:type="dxa"/>
          <w:bottom w:w="0" w:type="dxa"/>
          <w:right w:w="0" w:type="dxa"/>
        </w:tblCellMar>
      </w:tblPr>
      <w:tblGrid>
        <w:gridCol w:w="75"/>
        <w:gridCol w:w="110"/>
        <w:gridCol w:w="60"/>
        <w:gridCol w:w="86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security following a default; </w:t>
            </w:r>
          </w:p>
        </w:tc>
      </w:tr>
    </w:tbl>
    <w:p>
      <w:pPr>
        <w:pStyle w:val="TextBody"/>
        <w:spacing w:before="0" w:after="0"/>
        <w:jc w:val="left"/>
        <w:rPr/>
      </w:pPr>
      <w:r>
        <w:rPr/>
        <w:t> </w:t>
      </w:r>
    </w:p>
    <w:tbl>
      <w:tblPr>
        <w:tblW w:w="5335" w:type="dxa"/>
        <w:jc w:val="left"/>
        <w:tblInd w:w="0" w:type="dxa"/>
        <w:tblCellMar>
          <w:top w:w="0" w:type="dxa"/>
          <w:left w:w="0" w:type="dxa"/>
          <w:bottom w:w="0" w:type="dxa"/>
          <w:right w:w="0" w:type="dxa"/>
        </w:tblCellMar>
      </w:tblPr>
      <w:tblGrid>
        <w:gridCol w:w="75"/>
        <w:gridCol w:w="110"/>
        <w:gridCol w:w="60"/>
        <w:gridCol w:w="50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adversely affect any right of repayment at the holder’s option;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 the place or currency of payment on a debt security (except as otherwise described in the prospectus or prospectus supplement); </w:t>
            </w:r>
          </w:p>
        </w:tc>
      </w:tr>
    </w:tbl>
    <w:p>
      <w:pPr>
        <w:pStyle w:val="TextBody"/>
        <w:spacing w:before="0" w:after="0"/>
        <w:jc w:val="left"/>
        <w:rPr/>
      </w:pPr>
      <w:r>
        <w:rPr/>
        <w:t> </w:t>
      </w:r>
    </w:p>
    <w:tbl>
      <w:tblPr>
        <w:tblW w:w="3310" w:type="dxa"/>
        <w:jc w:val="left"/>
        <w:tblInd w:w="0" w:type="dxa"/>
        <w:tblCellMar>
          <w:top w:w="0" w:type="dxa"/>
          <w:left w:w="0" w:type="dxa"/>
          <w:bottom w:w="0" w:type="dxa"/>
          <w:right w:w="0" w:type="dxa"/>
        </w:tblCellMar>
      </w:tblPr>
      <w:tblGrid>
        <w:gridCol w:w="75"/>
        <w:gridCol w:w="110"/>
        <w:gridCol w:w="60"/>
        <w:gridCol w:w="30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spacing w:before="0" w:after="0"/>
        <w:jc w:val="left"/>
        <w:rPr/>
      </w:pPr>
      <w:r>
        <w:rPr/>
        <w:t> </w:t>
      </w:r>
    </w:p>
    <w:tbl>
      <w:tblPr>
        <w:tblW w:w="7870" w:type="dxa"/>
        <w:jc w:val="left"/>
        <w:tblInd w:w="0" w:type="dxa"/>
        <w:tblCellMar>
          <w:top w:w="0" w:type="dxa"/>
          <w:left w:w="0" w:type="dxa"/>
          <w:bottom w:w="0" w:type="dxa"/>
          <w:right w:w="0" w:type="dxa"/>
        </w:tblCellMar>
      </w:tblPr>
      <w:tblGrid>
        <w:gridCol w:w="75"/>
        <w:gridCol w:w="110"/>
        <w:gridCol w:w="60"/>
        <w:gridCol w:w="76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adversely affect any right to convert or exchange a debt security in accordance with its terms; </w:t>
            </w:r>
          </w:p>
        </w:tc>
      </w:tr>
    </w:tbl>
    <w:p>
      <w:pPr>
        <w:pStyle w:val="TextBody"/>
        <w:spacing w:before="0" w:after="0"/>
        <w:jc w:val="left"/>
        <w:rPr/>
      </w:pPr>
      <w:r>
        <w:rPr/>
        <w:t> </w:t>
      </w:r>
    </w:p>
    <w:tbl>
      <w:tblPr>
        <w:tblW w:w="9235" w:type="dxa"/>
        <w:jc w:val="left"/>
        <w:tblInd w:w="0" w:type="dxa"/>
        <w:tblCellMar>
          <w:top w:w="0" w:type="dxa"/>
          <w:left w:w="0" w:type="dxa"/>
          <w:bottom w:w="0" w:type="dxa"/>
          <w:right w:w="0" w:type="dxa"/>
        </w:tblCellMar>
      </w:tblPr>
      <w:tblGrid>
        <w:gridCol w:w="75"/>
        <w:gridCol w:w="110"/>
        <w:gridCol w:w="60"/>
        <w:gridCol w:w="89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modify or amend the indenture;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waive compliance with certain provisions of the indenture or to waive certain defaults;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modify any other aspect of the provisions of the indenture dealing with supplemental indentures, modification and waiver of past defaults, changes to the quorum or voting requirements or the waiver of certain covenants; and </w:t>
            </w:r>
          </w:p>
        </w:tc>
      </w:tr>
    </w:tbl>
    <w:p>
      <w:pPr>
        <w:pStyle w:val="TextBody"/>
        <w:spacing w:before="0" w:after="0"/>
        <w:jc w:val="left"/>
        <w:rPr/>
      </w:pPr>
      <w:r>
        <w:rPr/>
        <w:t> </w:t>
      </w:r>
    </w:p>
    <w:tbl>
      <w:tblPr>
        <w:tblW w:w="5080" w:type="dxa"/>
        <w:jc w:val="left"/>
        <w:tblInd w:w="0" w:type="dxa"/>
        <w:tblCellMar>
          <w:top w:w="0" w:type="dxa"/>
          <w:left w:w="0" w:type="dxa"/>
          <w:bottom w:w="0" w:type="dxa"/>
          <w:right w:w="0" w:type="dxa"/>
        </w:tblCellMar>
      </w:tblPr>
      <w:tblGrid>
        <w:gridCol w:w="75"/>
        <w:gridCol w:w="110"/>
        <w:gridCol w:w="60"/>
        <w:gridCol w:w="48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 any obligation we have to pay additional amounts. </w:t>
            </w:r>
          </w:p>
        </w:tc>
      </w:tr>
    </w:tbl>
    <w:p>
      <w:pPr>
        <w:pStyle w:val="TextBody"/>
        <w:spacing w:before="360" w:after="0"/>
        <w:jc w:val="left"/>
        <w:rPr>
          <w:rFonts w:ascii="Times New Roman" w:hAnsi="Times New Roman"/>
          <w:i/>
          <w:sz w:val="20"/>
        </w:rPr>
      </w:pPr>
      <w:r>
        <w:rPr>
          <w:rFonts w:ascii="Times New Roman" w:hAnsi="Times New Roman"/>
          <w:i/>
          <w:sz w:val="20"/>
        </w:rPr>
        <w:t xml:space="preserve">Changes Not Requiring Approval </w:t>
      </w:r>
    </w:p>
    <w:p>
      <w:pPr>
        <w:pStyle w:val="TextBody"/>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 </w:t>
      </w:r>
    </w:p>
    <w:p>
      <w:pPr>
        <w:pStyle w:val="TextBody"/>
        <w:spacing w:before="360" w:after="0"/>
        <w:jc w:val="left"/>
        <w:rPr>
          <w:rFonts w:ascii="Times New Roman" w:hAnsi="Times New Roman"/>
          <w:i/>
          <w:sz w:val="20"/>
        </w:rPr>
      </w:pPr>
      <w:r>
        <w:rPr>
          <w:rFonts w:ascii="Times New Roman" w:hAnsi="Times New Roman"/>
          <w:i/>
          <w:sz w:val="20"/>
        </w:rPr>
        <w:t xml:space="preserve">Changes Requiring Majority Approval </w:t>
      </w:r>
    </w:p>
    <w:p>
      <w:pPr>
        <w:pStyle w:val="TextBody"/>
        <w:spacing w:before="120" w:after="0"/>
        <w:jc w:val="left"/>
        <w:rPr>
          <w:rFonts w:ascii="Times New Roman" w:hAnsi="Times New Roman"/>
          <w:sz w:val="20"/>
        </w:rPr>
      </w:pPr>
      <w:r>
        <w:rPr>
          <w:rFonts w:ascii="Times New Roman" w:hAnsi="Times New Roman"/>
          <w:sz w:val="20"/>
        </w:rPr>
        <w:t xml:space="preserve">Any other change to the indenture and the debt securities would require the following approval: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the change affects only one series of debt securities, it must be approved by the holders of a majority in principal amount of that series;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spacing w:before="240" w:after="0"/>
        <w:jc w:val="left"/>
        <w:rPr>
          <w:rFonts w:ascii="Times New Roman" w:hAnsi="Times New Roman"/>
          <w:sz w:val="20"/>
        </w:rPr>
      </w:pPr>
      <w:r>
        <w:rPr>
          <w:rFonts w:ascii="Times New Roman" w:hAnsi="Times New Roman"/>
          <w:sz w:val="20"/>
        </w:rPr>
        <w:t xml:space="preserve">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 </w:t>
      </w:r>
    </w:p>
    <w:p>
      <w:pPr>
        <w:pStyle w:val="TextBody"/>
        <w:spacing w:before="360" w:after="0"/>
        <w:jc w:val="left"/>
        <w:rPr>
          <w:rFonts w:ascii="Times New Roman" w:hAnsi="Times New Roman"/>
          <w:i/>
          <w:sz w:val="20"/>
        </w:rPr>
      </w:pPr>
      <w:r>
        <w:rPr>
          <w:rFonts w:ascii="Times New Roman" w:hAnsi="Times New Roman"/>
          <w:i/>
          <w:sz w:val="20"/>
        </w:rPr>
        <w:t xml:space="preserve">Further Details Concerning Voting </w:t>
      </w:r>
    </w:p>
    <w:p>
      <w:pPr>
        <w:pStyle w:val="TextBody"/>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a debt security: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OID securities, we will use the principal amount that would be due and payable on the voting date if the maturity of these debt securities were accelerated to that date because of a default;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a special rule for that debt security described in the prospectus supplement; and </w:t>
            </w:r>
          </w:p>
        </w:tc>
      </w:tr>
    </w:tbl>
    <w:p>
      <w:pPr>
        <w:pStyle w:val="TextBody"/>
        <w:spacing w:before="0" w:after="0"/>
        <w:jc w:val="left"/>
        <w:rPr/>
      </w:pPr>
      <w:r>
        <w:rPr/>
        <w:t> </w:t>
      </w:r>
    </w:p>
    <w:tbl>
      <w:tblPr>
        <w:tblW w:w="8740" w:type="dxa"/>
        <w:jc w:val="left"/>
        <w:tblInd w:w="0" w:type="dxa"/>
        <w:tblCellMar>
          <w:top w:w="0" w:type="dxa"/>
          <w:left w:w="0" w:type="dxa"/>
          <w:bottom w:w="0" w:type="dxa"/>
          <w:right w:w="0" w:type="dxa"/>
        </w:tblCellMar>
      </w:tblPr>
      <w:tblGrid>
        <w:gridCol w:w="75"/>
        <w:gridCol w:w="110"/>
        <w:gridCol w:w="60"/>
        <w:gridCol w:w="84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debt securities denominated in one or more foreign currencies, we will use the U.S. dollar equivalent. </w:t>
            </w:r>
          </w:p>
        </w:tc>
      </w:tr>
    </w:tbl>
    <w:p>
      <w:pPr>
        <w:pStyle w:val="TextBody"/>
        <w:spacing w:before="240" w:after="0"/>
        <w:jc w:val="left"/>
        <w:rPr>
          <w:rFonts w:ascii="Times New Roman" w:hAnsi="Times New Roman"/>
          <w:sz w:val="20"/>
        </w:rPr>
      </w:pPr>
      <w:r>
        <w:rPr>
          <w:rFonts w:ascii="Times New Roman" w:hAnsi="Times New Roman"/>
          <w:sz w:val="20"/>
        </w:rPr>
        <w:t xml:space="preserve">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spacing w:before="24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spacing w:before="360" w:after="0"/>
        <w:jc w:val="left"/>
        <w:rPr>
          <w:rFonts w:ascii="Times New Roman" w:hAnsi="Times New Roman"/>
          <w:b/>
          <w:sz w:val="20"/>
        </w:rPr>
      </w:pPr>
      <w:r>
        <w:rPr>
          <w:rFonts w:ascii="Times New Roman" w:hAnsi="Times New Roman"/>
          <w:b/>
          <w:sz w:val="20"/>
        </w:rPr>
        <w:t xml:space="preserve">Defeasance </w:t>
      </w:r>
    </w:p>
    <w:p>
      <w:pPr>
        <w:pStyle w:val="TextBody"/>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spacing w:before="360" w:after="0"/>
        <w:jc w:val="left"/>
        <w:rPr>
          <w:rFonts w:ascii="Times New Roman" w:hAnsi="Times New Roman"/>
          <w:i/>
          <w:sz w:val="20"/>
        </w:rPr>
      </w:pPr>
      <w:r>
        <w:rPr>
          <w:rFonts w:ascii="Times New Roman" w:hAnsi="Times New Roman"/>
          <w:i/>
          <w:sz w:val="20"/>
        </w:rPr>
        <w:t xml:space="preserve">Covenant Defeasance </w:t>
      </w:r>
    </w:p>
    <w:p>
      <w:pPr>
        <w:pStyle w:val="TextBody"/>
        <w:spacing w:before="120" w:after="0"/>
        <w:jc w:val="left"/>
        <w:rPr>
          <w:rFonts w:ascii="Times New Roman" w:hAnsi="Times New Roman"/>
          <w:sz w:val="20"/>
        </w:rPr>
      </w:pPr>
      <w:r>
        <w:rPr>
          <w:rFonts w:ascii="Times New Roman" w:hAnsi="Times New Roman"/>
          <w:sz w:val="20"/>
        </w:rPr>
        <w:t xml:space="preserve">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 </w:t>
            </w:r>
          </w:p>
        </w:tc>
      </w:tr>
    </w:tbl>
    <w:p>
      <w:pPr>
        <w:pStyle w:val="TextBody"/>
        <w:spacing w:before="24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 </w:t>
      </w:r>
    </w:p>
    <w:p>
      <w:pPr>
        <w:pStyle w:val="TextBody"/>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spacing w:before="360" w:after="0"/>
        <w:jc w:val="left"/>
        <w:rPr>
          <w:rFonts w:ascii="Times New Roman" w:hAnsi="Times New Roman"/>
          <w:i/>
          <w:sz w:val="20"/>
        </w:rPr>
      </w:pPr>
      <w:r>
        <w:rPr>
          <w:rFonts w:ascii="Times New Roman" w:hAnsi="Times New Roman"/>
          <w:i/>
          <w:sz w:val="20"/>
        </w:rPr>
        <w:t xml:space="preserve">Full Defeasance </w:t>
      </w:r>
    </w:p>
    <w:p>
      <w:pPr>
        <w:pStyle w:val="TextBody"/>
        <w:spacing w:before="120" w:after="0"/>
        <w:jc w:val="left"/>
        <w:rPr>
          <w:rFonts w:ascii="Times New Roman" w:hAnsi="Times New Roman"/>
          <w:sz w:val="20"/>
        </w:rPr>
      </w:pPr>
      <w:r>
        <w:rPr>
          <w:rFonts w:ascii="Times New Roman" w:hAnsi="Times New Roman"/>
          <w:sz w:val="20"/>
        </w:rPr>
        <w:t xml:space="preserve">If there is a change in U.S. federal tax law, as described below, we can legally release ourselves from all payment and other obligations on the debt securities of a particular series (called “full defeasance”) if we put in place the following other arrangements for you to be repaid: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certifying compliance with all conditions precedent to defeasance. </w:t>
            </w:r>
          </w:p>
        </w:tc>
      </w:tr>
    </w:tbl>
    <w:p>
      <w:pPr>
        <w:pStyle w:val="TextBody"/>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w:t>
      </w:r>
    </w:p>
    <w:p>
      <w:pPr>
        <w:pStyle w:val="TextBody"/>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spacing w:before="120" w:after="0"/>
        <w:jc w:val="left"/>
        <w:rPr>
          <w:rFonts w:ascii="Times New Roman" w:hAnsi="Times New Roman"/>
          <w:sz w:val="20"/>
        </w:rPr>
      </w:pPr>
      <w:r>
        <w:rPr>
          <w:rFonts w:ascii="Times New Roman" w:hAnsi="Times New Roman"/>
          <w:sz w:val="20"/>
        </w:rPr>
        <w:t xml:space="preserve">If registered debt securities cease to be issued in book-entry form, they will be issued: </w:t>
      </w:r>
    </w:p>
    <w:p>
      <w:pPr>
        <w:pStyle w:val="TextBody"/>
        <w:spacing w:before="0" w:after="0"/>
        <w:jc w:val="left"/>
        <w:rPr/>
      </w:pPr>
      <w:r>
        <w:rPr/>
        <w:t> </w:t>
      </w:r>
    </w:p>
    <w:tbl>
      <w:tblPr>
        <w:tblW w:w="3625" w:type="dxa"/>
        <w:jc w:val="left"/>
        <w:tblInd w:w="0" w:type="dxa"/>
        <w:tblCellMar>
          <w:top w:w="0" w:type="dxa"/>
          <w:left w:w="0" w:type="dxa"/>
          <w:bottom w:w="0" w:type="dxa"/>
          <w:right w:w="0" w:type="dxa"/>
        </w:tblCellMar>
      </w:tblPr>
      <w:tblGrid>
        <w:gridCol w:w="75"/>
        <w:gridCol w:w="110"/>
        <w:gridCol w:w="60"/>
        <w:gridCol w:w="33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spacing w:before="0" w:after="0"/>
        <w:jc w:val="left"/>
        <w:rPr/>
      </w:pPr>
      <w:r>
        <w:rPr/>
        <w:t> </w:t>
      </w:r>
    </w:p>
    <w:tbl>
      <w:tblPr>
        <w:tblW w:w="2740" w:type="dxa"/>
        <w:jc w:val="left"/>
        <w:tblInd w:w="0" w:type="dxa"/>
        <w:tblCellMar>
          <w:top w:w="0" w:type="dxa"/>
          <w:left w:w="0" w:type="dxa"/>
          <w:bottom w:w="0" w:type="dxa"/>
          <w:right w:w="0" w:type="dxa"/>
        </w:tblCellMar>
      </w:tblPr>
      <w:tblGrid>
        <w:gridCol w:w="75"/>
        <w:gridCol w:w="110"/>
        <w:gridCol w:w="60"/>
        <w:gridCol w:w="24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unless we indicate otherwise in the prospectus supplement, in denominations of $1,000 and amounts that are multiples of $1,000.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Holders may exchange their certificated securities for debt securities of smaller denominations or combined into fewer debt securities of larger denominations, as long as the total principal amount is not changed. </w:t>
      </w:r>
    </w:p>
    <w:p>
      <w:pPr>
        <w:pStyle w:val="TextBody"/>
        <w:spacing w:before="240" w:after="0"/>
        <w:jc w:val="left"/>
        <w:rPr>
          <w:rFonts w:ascii="Times New Roman" w:hAnsi="Times New Roman"/>
          <w:sz w:val="20"/>
        </w:rPr>
      </w:pPr>
      <w:r>
        <w:rPr>
          <w:rFonts w:ascii="Times New Roman" w:hAnsi="Times New Roman"/>
          <w:sz w:val="20"/>
        </w:rPr>
        <w:t xml:space="preserve">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 </w:t>
      </w:r>
    </w:p>
    <w:p>
      <w:pPr>
        <w:pStyle w:val="TextBody"/>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 </w:t>
      </w:r>
    </w:p>
    <w:p>
      <w:pPr>
        <w:pStyle w:val="TextBody"/>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spacing w:before="240" w:after="0"/>
        <w:jc w:val="left"/>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spacing w:before="240" w:after="0"/>
        <w:jc w:val="left"/>
        <w:rPr>
          <w:rFonts w:ascii="Times New Roman" w:hAnsi="Times New Roman"/>
          <w:sz w:val="20"/>
        </w:rPr>
      </w:pPr>
      <w:r>
        <w:rPr>
          <w:rFonts w:ascii="Times New Roman" w:hAnsi="Times New Roman"/>
          <w:sz w:val="20"/>
        </w:rPr>
        <w:t xml:space="preserve">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spacing w:before="360" w:after="0"/>
        <w:jc w:val="left"/>
        <w:rPr>
          <w:rFonts w:ascii="Times New Roman" w:hAnsi="Times New Roman"/>
          <w:b/>
          <w:sz w:val="20"/>
        </w:rPr>
      </w:pPr>
      <w:r>
        <w:rPr>
          <w:rFonts w:ascii="Times New Roman" w:hAnsi="Times New Roman"/>
          <w:b/>
          <w:sz w:val="20"/>
        </w:rPr>
        <w:t xml:space="preserve">Indenture Provisions—Subordination </w:t>
      </w:r>
    </w:p>
    <w:p>
      <w:pPr>
        <w:pStyle w:val="TextBody"/>
        <w:spacing w:before="240" w:after="0"/>
        <w:jc w:val="left"/>
        <w:rPr>
          <w:rFonts w:ascii="Times New Roman" w:hAnsi="Times New Roman"/>
          <w:sz w:val="20"/>
        </w:rPr>
      </w:pPr>
      <w:r>
        <w:rPr>
          <w:rFonts w:ascii="Times New Roman" w:hAnsi="Times New Roman"/>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spacing w:before="240" w:after="0"/>
        <w:jc w:val="left"/>
        <w:rPr>
          <w:rFonts w:ascii="Times New Roman" w:hAnsi="Times New Roman"/>
          <w:sz w:val="20"/>
        </w:rPr>
      </w:pPr>
      <w:r>
        <w:rPr>
          <w:rFonts w:ascii="Times New Roman" w:hAnsi="Times New Roman"/>
          <w:sz w:val="20"/>
        </w:rPr>
        <w:t xml:space="preserve">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spacing w:before="240" w:after="0"/>
        <w:jc w:val="left"/>
        <w:rPr>
          <w:rFonts w:ascii="Times New Roman" w:hAnsi="Times New Roman"/>
          <w:sz w:val="20"/>
        </w:rPr>
      </w:pPr>
      <w:r>
        <w:rPr>
          <w:rFonts w:ascii="Times New Roman" w:hAnsi="Times New Roman"/>
          <w:sz w:val="20"/>
        </w:rPr>
        <w:t xml:space="preserve">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 </w:t>
      </w:r>
    </w:p>
    <w:p>
      <w:pPr>
        <w:pStyle w:val="TextBody"/>
        <w:spacing w:before="240" w:after="0"/>
        <w:jc w:val="left"/>
        <w:rPr>
          <w:rFonts w:ascii="Times New Roman" w:hAnsi="Times New Roman"/>
          <w:sz w:val="20"/>
        </w:rPr>
      </w:pPr>
      <w:r>
        <w:rPr>
          <w:rFonts w:ascii="Times New Roman" w:hAnsi="Times New Roman"/>
          <w:sz w:val="20"/>
        </w:rPr>
        <w:t xml:space="preserve">Senior Indebtedness is defined in the indenture as the principal of (and premium, if any) and unpaid interest on: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 </w:t>
            </w:r>
          </w:p>
        </w:tc>
      </w:tr>
    </w:tbl>
    <w:p>
      <w:pPr>
        <w:pStyle w:val="TextBody"/>
        <w:spacing w:before="0" w:after="0"/>
        <w:jc w:val="left"/>
        <w:rPr/>
      </w:pPr>
      <w:r>
        <w:rPr/>
        <w:t> </w:t>
      </w:r>
    </w:p>
    <w:tbl>
      <w:tblPr>
        <w:tblW w:w="6865" w:type="dxa"/>
        <w:jc w:val="left"/>
        <w:tblInd w:w="0" w:type="dxa"/>
        <w:tblCellMar>
          <w:top w:w="0" w:type="dxa"/>
          <w:left w:w="0" w:type="dxa"/>
          <w:bottom w:w="0" w:type="dxa"/>
          <w:right w:w="0" w:type="dxa"/>
        </w:tblCellMar>
      </w:tblPr>
      <w:tblGrid>
        <w:gridCol w:w="75"/>
        <w:gridCol w:w="110"/>
        <w:gridCol w:w="60"/>
        <w:gridCol w:w="66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renewals, extensions, modifications and refinancings of any of this indebtedness. </w:t>
            </w:r>
          </w:p>
        </w:tc>
      </w:tr>
    </w:tbl>
    <w:p>
      <w:pPr>
        <w:pStyle w:val="TextBody"/>
        <w:spacing w:before="240" w:after="0"/>
        <w:jc w:val="left"/>
        <w:rPr>
          <w:rFonts w:ascii="Times New Roman" w:hAnsi="Times New Roman"/>
          <w:sz w:val="20"/>
        </w:rPr>
      </w:pPr>
      <w:r>
        <w:rPr>
          <w:rFonts w:ascii="Times New Roman" w:hAnsi="Times New Roman"/>
          <w:sz w:val="20"/>
        </w:rPr>
        <w:t xml:space="preserve">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 </w:t>
      </w:r>
    </w:p>
    <w:p>
      <w:pPr>
        <w:pStyle w:val="TextBody"/>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spacing w:before="120" w:after="0"/>
        <w:jc w:val="left"/>
        <w:rPr>
          <w:rFonts w:ascii="Times New Roman" w:hAnsi="Times New Roman"/>
          <w:sz w:val="20"/>
        </w:rPr>
      </w:pPr>
      <w:r>
        <w:rPr>
          <w:rFonts w:ascii="Times New Roman" w:hAnsi="Times New Roman"/>
          <w:sz w:val="20"/>
        </w:rPr>
        <w:t xml:space="preserve">American Stock Transfer &amp; Trust Company, LLC is the trustee under the indenture and the 2026 Notes. Mishmeret Trust Company, Ltd. serves as trustee for our 2023 Notes. </w:t>
      </w:r>
    </w:p>
    <w:p>
      <w:pPr>
        <w:pStyle w:val="TextBody"/>
        <w:spacing w:before="360" w:after="0"/>
        <w:jc w:val="left"/>
        <w:rPr>
          <w:rFonts w:ascii="Times New Roman" w:hAnsi="Times New Roman"/>
          <w:b/>
          <w:sz w:val="20"/>
        </w:rPr>
      </w:pPr>
      <w:r>
        <w:rPr>
          <w:rFonts w:ascii="Times New Roman" w:hAnsi="Times New Roman"/>
          <w:b/>
          <w:sz w:val="20"/>
        </w:rPr>
        <w:t xml:space="preserve">Certain Considerations Relating to Foreign Currencies </w:t>
      </w:r>
    </w:p>
    <w:p>
      <w:pPr>
        <w:pStyle w:val="TextBody"/>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spacing w:before="480" w:after="0"/>
        <w:jc w:val="center"/>
        <w:rPr>
          <w:rFonts w:ascii="Times New Roman" w:hAnsi="Times New Roman"/>
          <w:b/>
          <w:sz w:val="20"/>
        </w:rPr>
      </w:pPr>
      <w:bookmarkStart w:id="23" w:name="toc478714_20"/>
      <w:bookmarkEnd w:id="23"/>
      <w:r>
        <w:rPr>
          <w:rFonts w:ascii="Times New Roman" w:hAnsi="Times New Roman"/>
          <w:b/>
          <w:sz w:val="20"/>
        </w:rPr>
        <w:t xml:space="preserve">BROKERAGE ALLOCATIONS AND OTHER PRACTICES </w:t>
      </w:r>
    </w:p>
    <w:p>
      <w:pPr>
        <w:pStyle w:val="TextBody"/>
        <w:spacing w:before="240" w:after="0"/>
        <w:jc w:val="left"/>
        <w:rPr>
          <w:rFonts w:ascii="Times New Roman" w:hAnsi="Times New Roman"/>
          <w:sz w:val="20"/>
        </w:rPr>
      </w:pPr>
      <w:r>
        <w:rPr>
          <w:rFonts w:ascii="Times New Roman" w:hAnsi="Times New Roman"/>
          <w:sz w:val="20"/>
        </w:rPr>
        <w:t xml:space="preserve">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rPr/>
      </w:pPr>
      <w:r>
        <w:rPr/>
      </w:r>
    </w:p>
    <w:p>
      <w:pPr>
        <w:pStyle w:val="TextBody"/>
        <w:spacing w:before="0" w:after="0"/>
        <w:jc w:val="center"/>
        <w:rPr>
          <w:rFonts w:ascii="Times New Roman" w:hAnsi="Times New Roman"/>
          <w:b/>
          <w:sz w:val="20"/>
        </w:rPr>
      </w:pPr>
      <w:bookmarkStart w:id="24" w:name="toc478714_21"/>
      <w:bookmarkEnd w:id="24"/>
      <w:r>
        <w:rPr>
          <w:rFonts w:ascii="Times New Roman" w:hAnsi="Times New Roman"/>
          <w:b/>
          <w:sz w:val="20"/>
        </w:rPr>
        <w:t xml:space="preserve">MATERIAL U.S. FEDERAL INCOME TAX CONSIDERATIONS </w:t>
      </w:r>
    </w:p>
    <w:p>
      <w:pPr>
        <w:pStyle w:val="TextBody"/>
        <w:spacing w:before="240" w:after="0"/>
        <w:jc w:val="left"/>
        <w:rPr>
          <w:rFonts w:ascii="Times New Roman" w:hAnsi="Times New Roman"/>
          <w:sz w:val="20"/>
        </w:rPr>
      </w:pPr>
      <w:r>
        <w:rPr>
          <w:rFonts w:ascii="Times New Roman" w:hAnsi="Times New Roman"/>
          <w:sz w:val="20"/>
        </w:rPr>
        <w:t xml:space="preserve">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 </w:t>
      </w:r>
    </w:p>
    <w:p>
      <w:pPr>
        <w:pStyle w:val="TextBody"/>
        <w:spacing w:before="240" w:after="0"/>
        <w:jc w:val="left"/>
        <w:rPr>
          <w:rFonts w:ascii="Times New Roman" w:hAnsi="Times New Roman"/>
          <w:sz w:val="20"/>
        </w:rPr>
      </w:pPr>
      <w:r>
        <w:rPr>
          <w:rFonts w:ascii="Times New Roman" w:hAnsi="Times New Roman"/>
          <w:sz w:val="20"/>
        </w:rPr>
        <w:t xml:space="preserve">A “U.S. stockholder” generally is a beneficial owner of shares of our common stock that is for U.S. federal income tax purposes: </w:t>
      </w:r>
    </w:p>
    <w:p>
      <w:pPr>
        <w:pStyle w:val="TextBody"/>
        <w:spacing w:before="0" w:after="0"/>
        <w:jc w:val="left"/>
        <w:rPr/>
      </w:pPr>
      <w:r>
        <w:rPr/>
        <w:t> </w:t>
      </w:r>
    </w:p>
    <w:tbl>
      <w:tblPr>
        <w:tblW w:w="4510" w:type="dxa"/>
        <w:jc w:val="left"/>
        <w:tblInd w:w="0" w:type="dxa"/>
        <w:tblCellMar>
          <w:top w:w="0" w:type="dxa"/>
          <w:left w:w="0" w:type="dxa"/>
          <w:bottom w:w="0" w:type="dxa"/>
          <w:right w:w="0" w:type="dxa"/>
        </w:tblCellMar>
      </w:tblPr>
      <w:tblGrid>
        <w:gridCol w:w="75"/>
        <w:gridCol w:w="110"/>
        <w:gridCol w:w="60"/>
        <w:gridCol w:w="4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or any state thereof or the District of Columbia;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 </w:t>
            </w:r>
          </w:p>
        </w:tc>
      </w:tr>
    </w:tbl>
    <w:p>
      <w:pPr>
        <w:pStyle w:val="TextBody"/>
        <w:spacing w:before="0" w:after="0"/>
        <w:jc w:val="left"/>
        <w:rPr/>
      </w:pPr>
      <w:r>
        <w:rPr/>
        <w:t> </w:t>
      </w:r>
    </w:p>
    <w:tbl>
      <w:tblPr>
        <w:tblW w:w="8050" w:type="dxa"/>
        <w:jc w:val="left"/>
        <w:tblInd w:w="0" w:type="dxa"/>
        <w:tblCellMar>
          <w:top w:w="0" w:type="dxa"/>
          <w:left w:w="0" w:type="dxa"/>
          <w:bottom w:w="0" w:type="dxa"/>
          <w:right w:w="0" w:type="dxa"/>
        </w:tblCellMar>
      </w:tblPr>
      <w:tblGrid>
        <w:gridCol w:w="75"/>
        <w:gridCol w:w="110"/>
        <w:gridCol w:w="60"/>
        <w:gridCol w:w="7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w:t>
            </w:r>
          </w:p>
        </w:tc>
      </w:tr>
    </w:tbl>
    <w:p>
      <w:pPr>
        <w:pStyle w:val="TextBody"/>
        <w:spacing w:before="240" w:after="0"/>
        <w:jc w:val="left"/>
        <w:rPr>
          <w:rFonts w:ascii="Times New Roman" w:hAnsi="Times New Roman"/>
          <w:sz w:val="20"/>
        </w:rPr>
      </w:pPr>
      <w:r>
        <w:rPr>
          <w:rFonts w:ascii="Times New Roman" w:hAnsi="Times New Roman"/>
          <w:sz w:val="20"/>
        </w:rPr>
        <w:t xml:space="preserve">A “Non-U.S. stockholder” is a beneficial owner of shares of our common stock that is neither a U.S. stockholder nor a partnership for U.S. federal income tax purposes. </w:t>
      </w:r>
    </w:p>
    <w:p>
      <w:pPr>
        <w:pStyle w:val="TextBody"/>
        <w:spacing w:before="240" w:after="0"/>
        <w:jc w:val="left"/>
        <w:rPr>
          <w:rFonts w:ascii="Times New Roman" w:hAnsi="Times New Roman"/>
          <w:sz w:val="20"/>
        </w:rPr>
      </w:pPr>
      <w:r>
        <w:rPr>
          <w:rFonts w:ascii="Times New Roman" w:hAnsi="Times New Roman"/>
          <w:sz w:val="20"/>
        </w:rPr>
        <w:t xml:space="preserve">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 </w:t>
      </w:r>
    </w:p>
    <w:p>
      <w:pPr>
        <w:pStyle w:val="TextBody"/>
        <w:spacing w:before="240" w:after="0"/>
        <w:jc w:val="left"/>
        <w:rPr>
          <w:rFonts w:ascii="Times New Roman" w:hAnsi="Times New Roman"/>
          <w:sz w:val="20"/>
        </w:rPr>
      </w:pPr>
      <w:r>
        <w:rPr>
          <w:rFonts w:ascii="Times New Roman" w:hAnsi="Times New Roman"/>
          <w:sz w:val="20"/>
        </w:rPr>
        <w:t xml:space="preserve">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 </w:t>
      </w:r>
    </w:p>
    <w:p>
      <w:pPr>
        <w:pStyle w:val="TextBody"/>
        <w:spacing w:before="360" w:after="0"/>
        <w:jc w:val="left"/>
        <w:rPr>
          <w:rFonts w:ascii="Times New Roman" w:hAnsi="Times New Roman"/>
          <w:b/>
          <w:sz w:val="20"/>
        </w:rPr>
      </w:pPr>
      <w:r>
        <w:rPr>
          <w:rFonts w:ascii="Times New Roman" w:hAnsi="Times New Roman"/>
          <w:b/>
          <w:sz w:val="20"/>
        </w:rPr>
        <w:t xml:space="preserve">Taxation in Connection with Holding Securities other than our Common Stock </w:t>
      </w:r>
    </w:p>
    <w:p>
      <w:pPr>
        <w:pStyle w:val="TextBody"/>
        <w:spacing w:before="120" w:after="0"/>
        <w:jc w:val="left"/>
        <w:rPr>
          <w:rFonts w:ascii="Times New Roman" w:hAnsi="Times New Roman"/>
          <w:sz w:val="20"/>
        </w:rPr>
      </w:pPr>
      <w:r>
        <w:rPr>
          <w:rFonts w:ascii="Times New Roman" w:hAnsi="Times New Roman"/>
          <w:sz w:val="20"/>
        </w:rPr>
        <w:t xml:space="preserve">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treatment of sales, exchanges or retirements of our debt securities. In addition, we may describe in the applicable prospectus supplement the U.S. federal income tax considerations applicable to holders of our debt securities who are not “U.S. persons.” </w:t>
      </w:r>
    </w:p>
    <w:p>
      <w:pPr>
        <w:pStyle w:val="TextBody"/>
        <w:spacing w:before="360" w:after="0"/>
        <w:jc w:val="left"/>
        <w:rPr>
          <w:rFonts w:ascii="Times New Roman" w:hAnsi="Times New Roman"/>
          <w:b/>
          <w:sz w:val="20"/>
        </w:rPr>
      </w:pPr>
      <w:r>
        <w:rPr>
          <w:rFonts w:ascii="Times New Roman" w:hAnsi="Times New Roman"/>
          <w:b/>
          <w:sz w:val="20"/>
        </w:rPr>
        <w:t xml:space="preserve">Election to be Taxed as a RIC </w:t>
      </w:r>
    </w:p>
    <w:p>
      <w:pPr>
        <w:pStyle w:val="TextBody"/>
        <w:spacing w:before="120" w:after="0"/>
        <w:jc w:val="left"/>
        <w:rPr>
          <w:rFonts w:ascii="Times New Roman" w:hAnsi="Times New Roman"/>
          <w:sz w:val="20"/>
        </w:rPr>
      </w:pPr>
      <w:r>
        <w:rPr>
          <w:rFonts w:ascii="Times New Roman" w:hAnsi="Times New Roman"/>
          <w:sz w:val="20"/>
        </w:rPr>
        <w:t xml:space="preserve">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 </w:t>
      </w:r>
    </w:p>
    <w:p>
      <w:pPr>
        <w:pStyle w:val="TextBody"/>
        <w:spacing w:before="240" w:after="0"/>
        <w:jc w:val="left"/>
        <w:rPr>
          <w:rFonts w:ascii="Times New Roman" w:hAnsi="Times New Roman"/>
          <w:sz w:val="20"/>
        </w:rPr>
      </w:pPr>
      <w:r>
        <w:rPr>
          <w:rFonts w:ascii="Times New Roman" w:hAnsi="Times New Roman"/>
          <w:sz w:val="20"/>
        </w:rPr>
        <w:t xml:space="preserve">In order to qualify as a RIC for federal income tax purposes, we must: </w:t>
      </w:r>
    </w:p>
    <w:p>
      <w:pPr>
        <w:pStyle w:val="TextBody"/>
        <w:spacing w:before="0" w:after="0"/>
        <w:jc w:val="left"/>
        <w:rPr/>
      </w:pPr>
      <w:r>
        <w:rPr/>
        <w:t> </w:t>
      </w:r>
    </w:p>
    <w:tbl>
      <w:tblPr>
        <w:tblW w:w="8470" w:type="dxa"/>
        <w:jc w:val="left"/>
        <w:tblInd w:w="0" w:type="dxa"/>
        <w:tblCellMar>
          <w:top w:w="0" w:type="dxa"/>
          <w:left w:w="0" w:type="dxa"/>
          <w:bottom w:w="0" w:type="dxa"/>
          <w:right w:w="0" w:type="dxa"/>
        </w:tblCellMar>
      </w:tblPr>
      <w:tblGrid>
        <w:gridCol w:w="75"/>
        <w:gridCol w:w="110"/>
        <w:gridCol w:w="60"/>
        <w:gridCol w:w="82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maintain an election to be treated as a BDC under the 1940 Act at all times during each taxable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 </w:t>
            </w:r>
          </w:p>
        </w:tc>
      </w:tr>
    </w:tbl>
    <w:p>
      <w:pPr>
        <w:pStyle w:val="TextBody"/>
        <w:spacing w:before="0" w:after="0"/>
        <w:jc w:val="left"/>
        <w:rPr/>
      </w:pPr>
      <w:r>
        <w:rPr/>
        <w:t> </w:t>
      </w:r>
    </w:p>
    <w:tbl>
      <w:tblPr>
        <w:tblW w:w="8725" w:type="dxa"/>
        <w:jc w:val="left"/>
        <w:tblInd w:w="0" w:type="dxa"/>
        <w:tblCellMar>
          <w:top w:w="0" w:type="dxa"/>
          <w:left w:w="0" w:type="dxa"/>
          <w:bottom w:w="0" w:type="dxa"/>
          <w:right w:w="0" w:type="dxa"/>
        </w:tblCellMar>
      </w:tblPr>
      <w:tblGrid>
        <w:gridCol w:w="75"/>
        <w:gridCol w:w="110"/>
        <w:gridCol w:w="60"/>
        <w:gridCol w:w="84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diversify our holdings, or the Diversification Tests, so that at the end of each quarter of the taxable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67"/>
        <w:gridCol w:w="9963"/>
      </w:tblGrid>
      <w:tr>
        <w:trPr/>
        <w:tc>
          <w:tcPr>
            <w:tcW w:w="75"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1)</w:t>
            </w:r>
          </w:p>
        </w:tc>
        <w:tc>
          <w:tcPr>
            <w:tcW w:w="996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63"/>
        <w:gridCol w:w="9967"/>
      </w:tblGrid>
      <w:tr>
        <w:trPr/>
        <w:tc>
          <w:tcPr>
            <w:tcW w:w="75"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2)</w:t>
            </w:r>
          </w:p>
        </w:tc>
        <w:tc>
          <w:tcPr>
            <w:tcW w:w="996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w:t>
            </w:r>
          </w:p>
        </w:tc>
      </w:tr>
    </w:tbl>
    <w:p>
      <w:pPr>
        <w:pStyle w:val="TextBody"/>
        <w:spacing w:before="240" w:after="0"/>
        <w:jc w:val="left"/>
        <w:rPr>
          <w:rFonts w:ascii="Times New Roman" w:hAnsi="Times New Roman"/>
          <w:sz w:val="20"/>
        </w:rPr>
      </w:pPr>
      <w:r>
        <w:rPr>
          <w:rFonts w:ascii="Times New Roman" w:hAnsi="Times New Roman"/>
          <w:sz w:val="20"/>
        </w:rPr>
        <w:t xml:space="preserve">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 </w:t>
      </w:r>
    </w:p>
    <w:p>
      <w:pPr>
        <w:pStyle w:val="TextBody"/>
        <w:spacing w:before="240" w:after="0"/>
        <w:jc w:val="left"/>
        <w:rPr>
          <w:rFonts w:ascii="Times New Roman" w:hAnsi="Times New Roman"/>
          <w:sz w:val="20"/>
        </w:rPr>
      </w:pPr>
      <w:r>
        <w:rPr>
          <w:rFonts w:ascii="Times New Roman" w:hAnsi="Times New Roman"/>
          <w:sz w:val="20"/>
        </w:rPr>
        <w:t xml:space="preserve">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we may, in our sole discretion, determine that it is in our best interests to retain a portion of our income or capital gains rather than distribute such amount as dividends and accordingly cause us to bear the excise tax burden associated therewith. </w:t>
      </w:r>
    </w:p>
    <w:p>
      <w:pPr>
        <w:pStyle w:val="TextBody"/>
        <w:spacing w:before="240" w:after="0"/>
        <w:jc w:val="left"/>
        <w:rPr>
          <w:rFonts w:ascii="Times New Roman" w:hAnsi="Times New Roman"/>
          <w:sz w:val="20"/>
        </w:rPr>
      </w:pPr>
      <w:r>
        <w:rPr>
          <w:rFonts w:ascii="Times New Roman" w:hAnsi="Times New Roman"/>
          <w:sz w:val="20"/>
        </w:rPr>
        <w:t xml:space="preserve">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 </w:t>
      </w:r>
    </w:p>
    <w:p>
      <w:pPr>
        <w:pStyle w:val="TextBody"/>
        <w:spacing w:before="360" w:after="0"/>
        <w:jc w:val="left"/>
        <w:rPr>
          <w:rFonts w:ascii="Times New Roman" w:hAnsi="Times New Roman"/>
          <w:b/>
          <w:sz w:val="20"/>
        </w:rPr>
      </w:pPr>
      <w:r>
        <w:rPr>
          <w:rFonts w:ascii="Times New Roman" w:hAnsi="Times New Roman"/>
          <w:b/>
          <w:sz w:val="20"/>
        </w:rPr>
        <w:t xml:space="preserve">Taxation as a RIC </w:t>
      </w:r>
    </w:p>
    <w:p>
      <w:pPr>
        <w:pStyle w:val="TextBody"/>
        <w:spacing w:before="120" w:after="0"/>
        <w:jc w:val="left"/>
        <w:rPr>
          <w:rFonts w:ascii="Times New Roman" w:hAnsi="Times New Roman"/>
          <w:sz w:val="20"/>
        </w:rPr>
      </w:pPr>
      <w:r>
        <w:rPr>
          <w:rFonts w:ascii="Times New Roman" w:hAnsi="Times New Roman"/>
          <w:sz w:val="20"/>
        </w:rPr>
        <w:t xml:space="preserve">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 </w:t>
      </w:r>
    </w:p>
    <w:p>
      <w:pPr>
        <w:pStyle w:val="TextBody"/>
        <w:spacing w:before="240" w:after="0"/>
        <w:jc w:val="left"/>
        <w:rPr>
          <w:rFonts w:ascii="Times New Roman" w:hAnsi="Times New Roman"/>
          <w:sz w:val="20"/>
        </w:rPr>
      </w:pPr>
      <w:r>
        <w:rPr>
          <w:rFonts w:ascii="Times New Roman" w:hAnsi="Times New Roman"/>
          <w:sz w:val="20"/>
        </w:rPr>
        <w:t xml:space="preserve">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 </w:t>
      </w:r>
    </w:p>
    <w:p>
      <w:pPr>
        <w:pStyle w:val="TextBody"/>
        <w:spacing w:before="240" w:after="0"/>
        <w:jc w:val="left"/>
        <w:rPr>
          <w:rFonts w:ascii="Times New Roman" w:hAnsi="Times New Roman"/>
          <w:sz w:val="20"/>
        </w:rPr>
      </w:pPr>
      <w:r>
        <w:rPr>
          <w:rFonts w:ascii="Times New Roman" w:hAnsi="Times New Roman"/>
          <w:sz w:val="20"/>
        </w:rPr>
        <w:t xml:space="preserve">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 </w:t>
      </w:r>
    </w:p>
    <w:p>
      <w:pPr>
        <w:pStyle w:val="TextBody"/>
        <w:spacing w:before="240" w:after="0"/>
        <w:jc w:val="left"/>
        <w:rPr>
          <w:rFonts w:ascii="Times New Roman" w:hAnsi="Times New Roman"/>
          <w:sz w:val="20"/>
        </w:rPr>
      </w:pPr>
      <w:r>
        <w:rPr>
          <w:rFonts w:ascii="Times New Roman" w:hAnsi="Times New Roman"/>
          <w:sz w:val="20"/>
        </w:rPr>
        <w:t xml:space="preserve">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A portfolio company in which we invest may face financial difficulty that requires us to work-out, modify or otherwise restructure our investment in the portfolio company. Any such restructuring could, depending on the 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 </w:t>
      </w:r>
    </w:p>
    <w:p>
      <w:pPr>
        <w:pStyle w:val="TextBody"/>
        <w:spacing w:before="240" w:after="0"/>
        <w:jc w:val="left"/>
        <w:rPr>
          <w:rFonts w:ascii="Times New Roman" w:hAnsi="Times New Roman"/>
          <w:sz w:val="20"/>
        </w:rPr>
      </w:pPr>
      <w:r>
        <w:rPr>
          <w:rFonts w:ascii="Times New Roman" w:hAnsi="Times New Roman"/>
          <w:sz w:val="20"/>
        </w:rPr>
        <w:t xml:space="preserve">Certain of our investment practices may be subject to special and complex U.S. federal income tax provisions that may, among other things, (a) 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 (e) adversely alter the characterization of certain complex financial transactions, (f) treat dividends that would otherwise constitute qualified dividend income as non- qualified dividend income, (g) 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 </w:t>
      </w:r>
    </w:p>
    <w:p>
      <w:pPr>
        <w:pStyle w:val="TextBody"/>
        <w:spacing w:before="240" w:after="0"/>
        <w:jc w:val="left"/>
        <w:rPr>
          <w:rFonts w:ascii="Times New Roman" w:hAnsi="Times New Roman"/>
          <w:sz w:val="20"/>
        </w:rPr>
      </w:pPr>
      <w:r>
        <w:rPr>
          <w:rFonts w:ascii="Times New Roman" w:hAnsi="Times New Roman"/>
          <w:sz w:val="20"/>
        </w:rPr>
        <w:t xml:space="preserve">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 </w:t>
      </w:r>
    </w:p>
    <w:p>
      <w:pPr>
        <w:pStyle w:val="TextBody"/>
        <w:spacing w:before="240" w:after="0"/>
        <w:jc w:val="left"/>
        <w:rPr>
          <w:rFonts w:ascii="Times New Roman" w:hAnsi="Times New Roman"/>
          <w:sz w:val="20"/>
        </w:rPr>
      </w:pPr>
      <w:r>
        <w:rPr>
          <w:rFonts w:ascii="Times New Roman" w:hAnsi="Times New Roman"/>
          <w:sz w:val="20"/>
        </w:rPr>
        <w:t xml:space="preserve">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 </w:t>
      </w:r>
    </w:p>
    <w:p>
      <w:pPr>
        <w:pStyle w:val="TextBody"/>
        <w:spacing w:before="240" w:after="0"/>
        <w:jc w:val="left"/>
        <w:rPr>
          <w:rFonts w:ascii="Times New Roman" w:hAnsi="Times New Roman"/>
          <w:sz w:val="20"/>
        </w:rPr>
      </w:pPr>
      <w:r>
        <w:rPr>
          <w:rFonts w:ascii="Times New Roman" w:hAnsi="Times New Roman"/>
          <w:sz w:val="20"/>
        </w:rPr>
        <w:t xml:space="preserve">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 </w:t>
      </w:r>
    </w:p>
    <w:p>
      <w:pPr>
        <w:pStyle w:val="TextBody"/>
        <w:spacing w:before="240" w:after="0"/>
        <w:jc w:val="left"/>
        <w:rPr>
          <w:rFonts w:ascii="Times New Roman" w:hAnsi="Times New Roman"/>
          <w:sz w:val="20"/>
        </w:rPr>
      </w:pPr>
      <w:r>
        <w:rPr>
          <w:rFonts w:ascii="Times New Roman" w:hAnsi="Times New Roman"/>
          <w:sz w:val="20"/>
        </w:rPr>
        <w:t xml:space="preserve">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hold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end of each taxable year our shares in such PFIC; in this case, we will recognize as ordinary income any increase in the value of such shares, and as ordinary loss any decrease in such value to the extent it does not exceed prior 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our distributions from PFICs and our proceeds from dispositions of PFIC stock during that year, and such income will nevertheless be subject to the Annual Distribution Requirement and will be taken into account for purposes of determining whether we satisfy the Excise Tax Avoidance Requirement. </w:t>
      </w:r>
    </w:p>
    <w:p>
      <w:pPr>
        <w:pStyle w:val="TextBody"/>
        <w:spacing w:before="240" w:after="0"/>
        <w:jc w:val="left"/>
        <w:rPr>
          <w:rFonts w:ascii="Times New Roman" w:hAnsi="Times New Roman"/>
          <w:sz w:val="20"/>
        </w:rPr>
      </w:pPr>
      <w:r>
        <w:rPr>
          <w:rFonts w:ascii="Times New Roman" w:hAnsi="Times New Roman"/>
          <w:sz w:val="20"/>
        </w:rPr>
        <w:t xml:space="preserve">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 </w:t>
      </w:r>
    </w:p>
    <w:p>
      <w:pPr>
        <w:pStyle w:val="TextBody"/>
        <w:spacing w:before="240" w:after="0"/>
        <w:jc w:val="left"/>
        <w:rPr>
          <w:rFonts w:ascii="Times New Roman" w:hAnsi="Times New Roman"/>
          <w:sz w:val="20"/>
        </w:rPr>
      </w:pPr>
      <w:r>
        <w:rPr>
          <w:rFonts w:ascii="Times New Roman" w:hAnsi="Times New Roman"/>
          <w:sz w:val="20"/>
        </w:rPr>
        <w:t xml:space="preserve">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 </w:t>
      </w:r>
    </w:p>
    <w:p>
      <w:pPr>
        <w:pStyle w:val="TextBody"/>
        <w:spacing w:before="240" w:after="0"/>
        <w:jc w:val="left"/>
        <w:rPr>
          <w:rFonts w:ascii="Times New Roman" w:hAnsi="Times New Roman"/>
          <w:sz w:val="20"/>
        </w:rPr>
      </w:pPr>
      <w:r>
        <w:rPr>
          <w:rFonts w:ascii="Times New Roman" w:hAnsi="Times New Roman"/>
          <w:sz w:val="20"/>
        </w:rPr>
        <w:t xml:space="preserve">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 </w:t>
      </w:r>
    </w:p>
    <w:p>
      <w:pPr>
        <w:pStyle w:val="TextBody"/>
        <w:spacing w:before="240" w:after="0"/>
        <w:jc w:val="left"/>
        <w:rPr>
          <w:rFonts w:ascii="Times New Roman" w:hAnsi="Times New Roman"/>
          <w:sz w:val="20"/>
        </w:rPr>
      </w:pPr>
      <w:r>
        <w:rPr>
          <w:rFonts w:ascii="Times New Roman" w:hAnsi="Times New Roman"/>
          <w:sz w:val="20"/>
        </w:rPr>
        <w:t xml:space="preserve">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and use them to offset future capital gains, indefinitely. Further, our deduction of net business interest expense is generally limited to 30% of our “adjusted taxable income” plus “floor plan financing interest expense.” </w:t>
      </w:r>
    </w:p>
    <w:p>
      <w:pPr>
        <w:pStyle w:val="TextBody"/>
        <w:spacing w:before="360" w:after="0"/>
        <w:jc w:val="left"/>
        <w:rPr>
          <w:rFonts w:ascii="Times New Roman" w:hAnsi="Times New Roman"/>
          <w:b/>
          <w:sz w:val="20"/>
        </w:rPr>
      </w:pPr>
      <w:r>
        <w:rPr>
          <w:rFonts w:ascii="Times New Roman" w:hAnsi="Times New Roman"/>
          <w:b/>
          <w:sz w:val="20"/>
        </w:rPr>
        <w:t xml:space="preserve">Failure to Qualify as a RIC </w:t>
      </w:r>
    </w:p>
    <w:p>
      <w:pPr>
        <w:pStyle w:val="TextBody"/>
        <w:spacing w:before="120" w:after="0"/>
        <w:jc w:val="left"/>
        <w:rPr>
          <w:rFonts w:ascii="Times New Roman" w:hAnsi="Times New Roman"/>
          <w:sz w:val="20"/>
        </w:rPr>
      </w:pPr>
      <w:r>
        <w:rPr>
          <w:rFonts w:ascii="Times New Roman" w:hAnsi="Times New Roman"/>
          <w:sz w:val="20"/>
        </w:rPr>
        <w:t xml:space="preserve">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 </w:t>
      </w:r>
    </w:p>
    <w:p>
      <w:pPr>
        <w:pStyle w:val="TextBody"/>
        <w:spacing w:before="240" w:after="0"/>
        <w:jc w:val="left"/>
        <w:rPr>
          <w:rFonts w:ascii="Times New Roman" w:hAnsi="Times New Roman"/>
          <w:sz w:val="20"/>
        </w:rPr>
      </w:pPr>
      <w:r>
        <w:rPr>
          <w:rFonts w:ascii="Times New Roman" w:hAnsi="Times New Roman"/>
          <w:sz w:val="20"/>
        </w:rPr>
        <w:t xml:space="preserve">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 </w:t>
      </w:r>
    </w:p>
    <w:p>
      <w:pPr>
        <w:pStyle w:val="TextBody"/>
        <w:spacing w:before="240" w:after="0"/>
        <w:jc w:val="left"/>
        <w:rPr>
          <w:rFonts w:ascii="Times New Roman" w:hAnsi="Times New Roman"/>
          <w:sz w:val="20"/>
        </w:rPr>
      </w:pPr>
      <w:r>
        <w:rPr>
          <w:rFonts w:ascii="Times New Roman" w:hAnsi="Times New Roman"/>
          <w:sz w:val="20"/>
        </w:rPr>
        <w:t xml:space="preserve">The remainder of this discussion assumes that we qualify as a RIC and have satisfied the Annual Distribution Requirement. </w:t>
      </w:r>
    </w:p>
    <w:p>
      <w:pPr>
        <w:pStyle w:val="TextBody"/>
        <w:spacing w:before="360" w:after="0"/>
        <w:jc w:val="left"/>
        <w:rPr>
          <w:rFonts w:ascii="Times New Roman" w:hAnsi="Times New Roman"/>
          <w:b/>
          <w:sz w:val="20"/>
        </w:rPr>
      </w:pPr>
      <w:r>
        <w:rPr>
          <w:rFonts w:ascii="Times New Roman" w:hAnsi="Times New Roman"/>
          <w:b/>
          <w:sz w:val="20"/>
        </w:rPr>
        <w:t xml:space="preserve">Taxation of U.S. Stockholders </w:t>
      </w:r>
    </w:p>
    <w:p>
      <w:pPr>
        <w:pStyle w:val="TextBody"/>
        <w:spacing w:before="120" w:after="0"/>
        <w:jc w:val="left"/>
        <w:rPr>
          <w:rFonts w:ascii="Times New Roman" w:hAnsi="Times New Roman"/>
          <w:sz w:val="20"/>
        </w:rPr>
      </w:pPr>
      <w:r>
        <w:rPr>
          <w:rFonts w:ascii="Times New Roman" w:hAnsi="Times New Roman"/>
          <w:sz w:val="20"/>
        </w:rPr>
        <w:t xml:space="preserve">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published guidance for publicly offered RICs stating that as long as at least 20% of the dividends are paid in cash and if certain other requirements are met, stockholders will be subject to tax on 100% of such dividends in the same manner as a cash dividend, even though most of the dividends were paid in shares of common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To the extent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 </w:t>
      </w:r>
    </w:p>
    <w:p>
      <w:pPr>
        <w:pStyle w:val="TextBody"/>
        <w:spacing w:before="240" w:after="0"/>
        <w:jc w:val="left"/>
        <w:rPr>
          <w:rFonts w:ascii="Times New Roman" w:hAnsi="Times New Roman"/>
          <w:sz w:val="20"/>
        </w:rPr>
      </w:pPr>
      <w:r>
        <w:rPr>
          <w:rFonts w:ascii="Times New Roman" w:hAnsi="Times New Roman"/>
          <w:sz w:val="20"/>
        </w:rPr>
        <w:t xml:space="preserve">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 </w:t>
      </w:r>
    </w:p>
    <w:p>
      <w:pPr>
        <w:pStyle w:val="TextBody"/>
        <w:spacing w:before="240" w:after="0"/>
        <w:jc w:val="left"/>
        <w:rPr>
          <w:rFonts w:ascii="Times New Roman" w:hAnsi="Times New Roman"/>
          <w:sz w:val="20"/>
        </w:rPr>
      </w:pPr>
      <w:r>
        <w:rPr>
          <w:rFonts w:ascii="Times New Roman" w:hAnsi="Times New Roman"/>
          <w:sz w:val="20"/>
        </w:rPr>
        <w:t xml:space="preserve">Distributions out of our current and accumulated earnings and profits will not be eligible for the 20% pass through deduction under Section 199A of the Code. </w:t>
      </w:r>
    </w:p>
    <w:p>
      <w:pPr>
        <w:pStyle w:val="TextBody"/>
        <w:spacing w:before="240" w:after="0"/>
        <w:jc w:val="left"/>
        <w:rPr>
          <w:rFonts w:ascii="Times New Roman" w:hAnsi="Times New Roman"/>
          <w:sz w:val="20"/>
        </w:rPr>
      </w:pPr>
      <w:r>
        <w:rPr>
          <w:rFonts w:ascii="Times New Roman" w:hAnsi="Times New Roman"/>
          <w:sz w:val="20"/>
        </w:rPr>
        <w:t xml:space="preserve">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 </w:t>
      </w:r>
    </w:p>
    <w:p>
      <w:pPr>
        <w:pStyle w:val="TextBody"/>
        <w:spacing w:before="240" w:after="0"/>
        <w:jc w:val="left"/>
        <w:rPr>
          <w:rFonts w:ascii="Times New Roman" w:hAnsi="Times New Roman"/>
          <w:sz w:val="20"/>
        </w:rPr>
      </w:pPr>
      <w:r>
        <w:rPr>
          <w:rFonts w:ascii="Times New Roman" w:hAnsi="Times New Roman"/>
          <w:sz w:val="20"/>
        </w:rPr>
        <w:t xml:space="preserve">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 </w:t>
      </w:r>
    </w:p>
    <w:p>
      <w:pPr>
        <w:pStyle w:val="TextBody"/>
        <w:spacing w:before="240" w:after="0"/>
        <w:jc w:val="left"/>
        <w:rPr>
          <w:rFonts w:ascii="Times New Roman" w:hAnsi="Times New Roman"/>
          <w:sz w:val="20"/>
        </w:rPr>
      </w:pPr>
      <w:r>
        <w:rPr>
          <w:rFonts w:ascii="Times New Roman" w:hAnsi="Times New Roman"/>
          <w:sz w:val="20"/>
        </w:rPr>
        <w:t xml:space="preserve">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 </w:t>
      </w:r>
    </w:p>
    <w:p>
      <w:pPr>
        <w:pStyle w:val="TextBody"/>
        <w:spacing w:before="240" w:after="0"/>
        <w:jc w:val="left"/>
        <w:rPr>
          <w:rFonts w:ascii="Times New Roman" w:hAnsi="Times New Roman"/>
          <w:sz w:val="20"/>
        </w:rPr>
      </w:pPr>
      <w:r>
        <w:rPr>
          <w:rFonts w:ascii="Times New Roman" w:hAnsi="Times New Roman"/>
          <w:sz w:val="20"/>
        </w:rPr>
        <w:t xml:space="preserve">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 </w:t>
      </w:r>
    </w:p>
    <w:p>
      <w:pPr>
        <w:pStyle w:val="TextBody"/>
        <w:spacing w:before="240" w:after="0"/>
        <w:jc w:val="left"/>
        <w:rPr>
          <w:rFonts w:ascii="Times New Roman" w:hAnsi="Times New Roman"/>
          <w:sz w:val="20"/>
        </w:rPr>
      </w:pPr>
      <w:r>
        <w:rPr>
          <w:rFonts w:ascii="Times New Roman" w:hAnsi="Times New Roman"/>
          <w:sz w:val="20"/>
        </w:rPr>
        <w:t xml:space="preserve">The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if we issue preferred stock, we intend each year to allocate capital gain dividends, if any, between our shares of common stock and shares of preferred stock in proportion to the total dividends paid to each class with respect to such tax year. </w:t>
      </w:r>
    </w:p>
    <w:p>
      <w:pPr>
        <w:pStyle w:val="TextBody"/>
        <w:spacing w:before="240" w:after="0"/>
        <w:jc w:val="left"/>
        <w:rPr>
          <w:rFonts w:ascii="Times New Roman" w:hAnsi="Times New Roman"/>
          <w:sz w:val="20"/>
        </w:rPr>
      </w:pPr>
      <w:r>
        <w:rPr>
          <w:rFonts w:ascii="Times New Roman" w:hAnsi="Times New Roman"/>
          <w:sz w:val="20"/>
        </w:rPr>
        <w:t xml:space="preserve">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 </w:t>
      </w:r>
    </w:p>
    <w:p>
      <w:pPr>
        <w:pStyle w:val="TextBody"/>
        <w:spacing w:before="240" w:after="0"/>
        <w:jc w:val="left"/>
        <w:rPr>
          <w:rFonts w:ascii="Times New Roman" w:hAnsi="Times New Roman"/>
          <w:sz w:val="20"/>
        </w:rPr>
      </w:pPr>
      <w:r>
        <w:rPr>
          <w:rFonts w:ascii="Times New Roman" w:hAnsi="Times New Roman"/>
          <w:sz w:val="20"/>
        </w:rPr>
        <w:t xml:space="preserve">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 </w:t>
      </w:r>
    </w:p>
    <w:p>
      <w:pPr>
        <w:pStyle w:val="TextBody"/>
        <w:spacing w:before="240" w:after="0"/>
        <w:jc w:val="left"/>
        <w:rPr>
          <w:rFonts w:ascii="Times New Roman" w:hAnsi="Times New Roman"/>
          <w:sz w:val="20"/>
        </w:rPr>
      </w:pPr>
      <w:r>
        <w:rPr>
          <w:rFonts w:ascii="Times New Roman" w:hAnsi="Times New Roman"/>
          <w:sz w:val="20"/>
        </w:rPr>
        <w:t xml:space="preserve">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 </w:t>
      </w:r>
    </w:p>
    <w:p>
      <w:pPr>
        <w:pStyle w:val="TextBody"/>
        <w:spacing w:before="240" w:after="0"/>
        <w:jc w:val="left"/>
        <w:rPr>
          <w:rFonts w:ascii="Times New Roman" w:hAnsi="Times New Roman"/>
          <w:sz w:val="20"/>
        </w:rPr>
      </w:pPr>
      <w:r>
        <w:rPr>
          <w:rFonts w:ascii="Times New Roman" w:hAnsi="Times New Roman"/>
          <w:sz w:val="20"/>
        </w:rPr>
        <w:t xml:space="preserve">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 </w:t>
      </w:r>
    </w:p>
    <w:p>
      <w:pPr>
        <w:pStyle w:val="TextBody"/>
        <w:spacing w:before="240" w:after="0"/>
        <w:jc w:val="left"/>
        <w:rPr>
          <w:rFonts w:ascii="Times New Roman" w:hAnsi="Times New Roman"/>
          <w:sz w:val="20"/>
        </w:rPr>
      </w:pPr>
      <w:r>
        <w:rPr>
          <w:rFonts w:ascii="Times New Roman" w:hAnsi="Times New Roman"/>
          <w:sz w:val="20"/>
        </w:rPr>
        <w:t xml:space="preserve">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w:t>
      </w:r>
    </w:p>
    <w:p>
      <w:pPr>
        <w:pStyle w:val="TextBody"/>
        <w:spacing w:before="240" w:after="0"/>
        <w:jc w:val="left"/>
        <w:rPr>
          <w:rFonts w:ascii="Times New Roman" w:hAnsi="Times New Roman"/>
          <w:sz w:val="20"/>
        </w:rPr>
      </w:pPr>
      <w:r>
        <w:rPr>
          <w:rFonts w:ascii="Times New Roman" w:hAnsi="Times New Roman"/>
          <w:sz w:val="20"/>
        </w:rPr>
        <w:t xml:space="preserve">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 </w:t>
      </w:r>
    </w:p>
    <w:p>
      <w:pPr>
        <w:pStyle w:val="TextBody"/>
        <w:spacing w:before="240" w:after="0"/>
        <w:jc w:val="left"/>
        <w:rPr>
          <w:rFonts w:ascii="Times New Roman" w:hAnsi="Times New Roman"/>
          <w:sz w:val="20"/>
        </w:rPr>
      </w:pPr>
      <w:r>
        <w:rPr>
          <w:rFonts w:ascii="Times New Roman" w:hAnsi="Times New Roman"/>
          <w:sz w:val="20"/>
        </w:rPr>
        <w:t xml:space="preserve">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 </w:t>
      </w:r>
    </w:p>
    <w:p>
      <w:pPr>
        <w:pStyle w:val="TextBody"/>
        <w:spacing w:before="360" w:after="0"/>
        <w:jc w:val="left"/>
        <w:rPr>
          <w:rFonts w:ascii="Times New Roman" w:hAnsi="Times New Roman"/>
          <w:b/>
          <w:sz w:val="20"/>
        </w:rPr>
      </w:pPr>
      <w:r>
        <w:rPr>
          <w:rFonts w:ascii="Times New Roman" w:hAnsi="Times New Roman"/>
          <w:b/>
          <w:sz w:val="20"/>
        </w:rPr>
        <w:t xml:space="preserve">Taxation of Tax-Exempt U.S. Stockholders </w:t>
      </w:r>
    </w:p>
    <w:p>
      <w:pPr>
        <w:pStyle w:val="TextBody"/>
        <w:spacing w:before="120" w:after="0"/>
        <w:jc w:val="left"/>
        <w:rPr>
          <w:rFonts w:ascii="Times New Roman" w:hAnsi="Times New Roman"/>
          <w:sz w:val="20"/>
        </w:rPr>
      </w:pPr>
      <w:r>
        <w:rPr>
          <w:rFonts w:ascii="Times New Roman" w:hAnsi="Times New Roman"/>
          <w:sz w:val="20"/>
        </w:rPr>
        <w:t xml:space="preserve">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stockholder should not be subject to U.S. federal income taxation solely as a result of such stockholder’s direct or indirect ownership of our shares and receipt of distributions with respect to such shares (regardless of whether we incur indebtedness).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it incurs. Certain tax-exempt private universities are subject to an additional 1.4% excise tax on their “net investment income,” including income from interest, dividends, and capital gains. Proposals periodically are made to change the treatment of “blocker” investment vehicles interposed between tax-exempt investors and non-qualifying investments. In the event that any such proposals were to be adopted and applied to RICs, the treatment of dividends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 xml:space="preserve">Taxation of Non-U.S. Stockholders </w:t>
      </w:r>
    </w:p>
    <w:p>
      <w:pPr>
        <w:pStyle w:val="TextBody"/>
        <w:spacing w:before="120" w:after="0"/>
        <w:jc w:val="left"/>
        <w:rPr>
          <w:rFonts w:ascii="Times New Roman" w:hAnsi="Times New Roman"/>
          <w:sz w:val="20"/>
        </w:rPr>
      </w:pPr>
      <w:r>
        <w:rPr>
          <w:rFonts w:ascii="Times New Roman" w:hAnsi="Times New Roman"/>
          <w:sz w:val="20"/>
        </w:rPr>
        <w:t xml:space="preserve">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 </w:t>
      </w:r>
    </w:p>
    <w:p>
      <w:pPr>
        <w:pStyle w:val="TextBody"/>
        <w:spacing w:before="240" w:after="0"/>
        <w:jc w:val="left"/>
        <w:rPr>
          <w:rFonts w:ascii="Times New Roman" w:hAnsi="Times New Roman"/>
          <w:sz w:val="20"/>
        </w:rPr>
      </w:pPr>
      <w:r>
        <w:rPr>
          <w:rFonts w:ascii="Times New Roman" w:hAnsi="Times New Roman"/>
          <w:sz w:val="20"/>
        </w:rPr>
        <w:t xml:space="preserve">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 </w:t>
      </w:r>
    </w:p>
    <w:p>
      <w:pPr>
        <w:pStyle w:val="TextBody"/>
        <w:spacing w:before="240" w:after="0"/>
        <w:jc w:val="left"/>
        <w:rPr>
          <w:rFonts w:ascii="Times New Roman" w:hAnsi="Times New Roman"/>
          <w:sz w:val="20"/>
        </w:rPr>
      </w:pPr>
      <w:r>
        <w:rPr>
          <w:rFonts w:ascii="Times New Roman" w:hAnsi="Times New Roman"/>
          <w:sz w:val="20"/>
        </w:rPr>
        <w:t xml:space="preserve">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 </w:t>
      </w:r>
    </w:p>
    <w:p>
      <w:pPr>
        <w:pStyle w:val="TextBody"/>
        <w:spacing w:before="240" w:after="0"/>
        <w:jc w:val="left"/>
        <w:rPr>
          <w:rFonts w:ascii="Times New Roman" w:hAnsi="Times New Roman"/>
          <w:sz w:val="20"/>
        </w:rPr>
      </w:pPr>
      <w:r>
        <w:rPr>
          <w:rFonts w:ascii="Times New Roman" w:hAnsi="Times New Roman"/>
          <w:sz w:val="20"/>
        </w:rPr>
        <w:t xml:space="preserve">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 </w:t>
      </w:r>
    </w:p>
    <w:p>
      <w:pPr>
        <w:pStyle w:val="TextBody"/>
        <w:spacing w:before="240" w:after="0"/>
        <w:jc w:val="left"/>
        <w:rPr>
          <w:rFonts w:ascii="Times New Roman" w:hAnsi="Times New Roman"/>
          <w:sz w:val="20"/>
        </w:rPr>
      </w:pPr>
      <w:r>
        <w:rPr>
          <w:rFonts w:ascii="Times New Roman" w:hAnsi="Times New Roman"/>
          <w:sz w:val="20"/>
        </w:rPr>
        <w:t xml:space="preserve">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 </w:t>
      </w:r>
    </w:p>
    <w:p>
      <w:pPr>
        <w:pStyle w:val="TextBody"/>
        <w:spacing w:before="240" w:after="0"/>
        <w:jc w:val="left"/>
        <w:rPr>
          <w:rFonts w:ascii="Times New Roman" w:hAnsi="Times New Roman"/>
          <w:sz w:val="20"/>
        </w:rPr>
      </w:pPr>
      <w:r>
        <w:rPr>
          <w:rFonts w:ascii="Times New Roman" w:hAnsi="Times New Roman"/>
          <w:sz w:val="20"/>
        </w:rPr>
        <w:t xml:space="preserve">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 </w:t>
      </w:r>
    </w:p>
    <w:p>
      <w:pPr>
        <w:pStyle w:val="TextBody"/>
        <w:spacing w:before="240" w:after="0"/>
        <w:jc w:val="left"/>
        <w:rPr>
          <w:rFonts w:ascii="Times New Roman" w:hAnsi="Times New Roman"/>
          <w:sz w:val="20"/>
        </w:rPr>
      </w:pPr>
      <w:r>
        <w:rPr>
          <w:rFonts w:ascii="Times New Roman" w:hAnsi="Times New Roman"/>
          <w:sz w:val="20"/>
        </w:rPr>
        <w:t xml:space="preserve">We have the ability to declare and pay a large portion of any distribution qualifying as a dividend for U.S. federal income tax purposes in shares of our stock. Generally, were we to declare such a distribution, each Non-U.S. stockholder generally would be treated as having received a taxable distribution (including for purposes of the application of the withholding tax rules discussed above) on the date the distribution is received in an amount equal to the cash that such Non-U.S. stockholder would have received if the entire distribution had been paid in cash, even if such Non-U.S. stockholder received all or most of the distribution in shares of our stock. In such a circumstance, all or substantially all of the cash that would otherwise be distributed to a Non-U.S. stockholder may be withheld or shares of our stock may be withheld and sold to fund the applicable withholding. </w:t>
      </w:r>
    </w:p>
    <w:p>
      <w:pPr>
        <w:pStyle w:val="TextBody"/>
        <w:spacing w:before="240" w:after="0"/>
        <w:jc w:val="left"/>
        <w:rPr>
          <w:rFonts w:ascii="Times New Roman" w:hAnsi="Times New Roman"/>
          <w:sz w:val="20"/>
        </w:rPr>
      </w:pPr>
      <w:r>
        <w:rPr>
          <w:rFonts w:ascii="Times New Roman" w:hAnsi="Times New Roman"/>
          <w:sz w:val="20"/>
        </w:rPr>
        <w:t xml:space="preserve">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 </w:t>
      </w:r>
    </w:p>
    <w:p>
      <w:pPr>
        <w:pStyle w:val="TextBody"/>
        <w:spacing w:before="240" w:after="0"/>
        <w:jc w:val="left"/>
        <w:rPr>
          <w:rFonts w:ascii="Times New Roman" w:hAnsi="Times New Roman"/>
          <w:sz w:val="20"/>
        </w:rPr>
      </w:pPr>
      <w:r>
        <w:rPr>
          <w:rFonts w:ascii="Times New Roman" w:hAnsi="Times New Roman"/>
          <w:sz w:val="20"/>
        </w:rPr>
        <w:t xml:space="preserve">Non-U.S. stockholders may also be subject to U.S. estate tax with respect to their investment in our common shares. </w:t>
      </w:r>
    </w:p>
    <w:p>
      <w:pPr>
        <w:pStyle w:val="TextBody"/>
        <w:spacing w:before="240" w:after="0"/>
        <w:jc w:val="left"/>
        <w:rPr>
          <w:rFonts w:ascii="Times New Roman" w:hAnsi="Times New Roman"/>
          <w:sz w:val="20"/>
        </w:rPr>
      </w:pPr>
      <w:r>
        <w:rPr>
          <w:rFonts w:ascii="Times New Roman" w:hAnsi="Times New Roman"/>
          <w:sz w:val="20"/>
        </w:rPr>
        <w:t xml:space="preserve">Non-U.S. persons should consult their own tax advisors with respect to the U.S. federal income tax and withholding tax, and state, local and foreign tax consequences of an investment in the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rPr/>
      </w:pPr>
      <w:r>
        <w:rPr/>
      </w:r>
    </w:p>
    <w:p>
      <w:pPr>
        <w:pStyle w:val="TextBody"/>
        <w:spacing w:before="0" w:after="0"/>
        <w:jc w:val="center"/>
        <w:rPr>
          <w:rFonts w:ascii="Times New Roman" w:hAnsi="Times New Roman"/>
          <w:b/>
          <w:sz w:val="20"/>
        </w:rPr>
      </w:pPr>
      <w:bookmarkStart w:id="25" w:name="toc478714_22"/>
      <w:bookmarkEnd w:id="25"/>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name or names of any underwriters, dealers or agents and the amounts of securities underwritten or purchased by each of them;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offering price of the securities and the proceeds to us and any discounts, commissions or concessions allowed or reallowed or paid to dealers; and </w:t>
            </w:r>
          </w:p>
        </w:tc>
      </w:tr>
    </w:tbl>
    <w:p>
      <w:pPr>
        <w:pStyle w:val="TextBody"/>
        <w:spacing w:before="0" w:after="0"/>
        <w:jc w:val="left"/>
        <w:rPr/>
      </w:pPr>
      <w:r>
        <w:rPr/>
        <w:t> </w:t>
      </w:r>
    </w:p>
    <w:tbl>
      <w:tblPr>
        <w:tblW w:w="5410" w:type="dxa"/>
        <w:jc w:val="left"/>
        <w:tblInd w:w="0" w:type="dxa"/>
        <w:tblCellMar>
          <w:top w:w="0" w:type="dxa"/>
          <w:left w:w="0" w:type="dxa"/>
          <w:bottom w:w="0" w:type="dxa"/>
          <w:right w:w="0" w:type="dxa"/>
        </w:tblCellMar>
      </w:tblPr>
      <w:tblGrid>
        <w:gridCol w:w="75"/>
        <w:gridCol w:w="110"/>
        <w:gridCol w:w="60"/>
        <w:gridCol w:w="51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securities exchanges on which the securities may be listed. </w:t>
            </w:r>
          </w:p>
        </w:tc>
      </w:tr>
    </w:tbl>
    <w:p>
      <w:pPr>
        <w:pStyle w:val="TextBody"/>
        <w:spacing w:before="240" w:after="0"/>
        <w:jc w:val="left"/>
        <w:rPr>
          <w:rFonts w:ascii="Times New Roman" w:hAnsi="Times New Roman"/>
          <w:sz w:val="20"/>
        </w:rPr>
      </w:pPr>
      <w:r>
        <w:rPr>
          <w:rFonts w:ascii="Times New Roman" w:hAnsi="Times New Roman"/>
          <w:sz w:val="20"/>
        </w:rPr>
        <w:t xml:space="preserve">Any offering price and any discounts or concessions allowed or reallowed or paid to dealers may be changed from time to time. </w:t>
      </w:r>
    </w:p>
    <w:p>
      <w:pPr>
        <w:pStyle w:val="TextBody"/>
        <w:spacing w:before="240" w:after="0"/>
        <w:jc w:val="left"/>
        <w:rPr>
          <w:rFonts w:ascii="Times New Roman" w:hAnsi="Times New Roman"/>
          <w:sz w:val="20"/>
        </w:rPr>
      </w:pPr>
      <w:r>
        <w:rPr>
          <w:rFonts w:ascii="Times New Roman" w:hAnsi="Times New Roman"/>
          <w:sz w:val="20"/>
        </w:rPr>
        <w:t xml:space="preserve">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 </w:t>
      </w:r>
    </w:p>
    <w:p>
      <w:pPr>
        <w:pStyle w:val="TextBody"/>
        <w:spacing w:before="240" w:after="0"/>
        <w:jc w:val="left"/>
        <w:rPr>
          <w:rFonts w:ascii="Times New Roman" w:hAnsi="Times New Roman"/>
          <w:sz w:val="20"/>
        </w:rPr>
      </w:pPr>
      <w:r>
        <w:rPr>
          <w:rFonts w:ascii="Times New Roman" w:hAnsi="Times New Roman"/>
          <w:sz w:val="20"/>
        </w:rPr>
        <w:t xml:space="preserve">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 </w:t>
      </w:r>
    </w:p>
    <w:p>
      <w:pPr>
        <w:pStyle w:val="TextBody"/>
        <w:spacing w:before="240" w:after="0"/>
        <w:jc w:val="left"/>
        <w:rPr>
          <w:rFonts w:ascii="Times New Roman" w:hAnsi="Times New Roman"/>
          <w:sz w:val="20"/>
        </w:rPr>
      </w:pPr>
      <w:r>
        <w:rPr>
          <w:rFonts w:ascii="Times New Roman" w:hAnsi="Times New Roman"/>
          <w:sz w:val="20"/>
        </w:rPr>
        <w:t xml:space="preserve">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 </w:t>
      </w:r>
    </w:p>
    <w:p>
      <w:pPr>
        <w:pStyle w:val="TextBody"/>
        <w:spacing w:before="240" w:after="0"/>
        <w:jc w:val="left"/>
        <w:rPr>
          <w:rFonts w:ascii="Times New Roman" w:hAnsi="Times New Roman"/>
          <w:sz w:val="20"/>
        </w:rPr>
      </w:pPr>
      <w:r>
        <w:rPr>
          <w:rFonts w:ascii="Times New Roman" w:hAnsi="Times New Roman"/>
          <w:sz w:val="20"/>
        </w:rPr>
        <w:t xml:space="preserve">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 </w:t>
      </w:r>
    </w:p>
    <w:p>
      <w:pPr>
        <w:pStyle w:val="TextBody"/>
        <w:spacing w:before="24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w:t>
      </w:r>
    </w:p>
    <w:p>
      <w:pPr>
        <w:pStyle w:val="TextBody"/>
        <w:spacing w:before="240" w:after="0"/>
        <w:jc w:val="left"/>
        <w:rPr>
          <w:rFonts w:ascii="Times New Roman" w:hAnsi="Times New Roman"/>
          <w:sz w:val="20"/>
        </w:rPr>
      </w:pPr>
      <w:r>
        <w:rPr>
          <w:rFonts w:ascii="Times New Roman" w:hAnsi="Times New Roman"/>
          <w:sz w:val="20"/>
        </w:rPr>
        <w:t xml:space="preserve">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pursuant to the foregoing provisions, the Registrant has been informed that in the opinion of the SEC such indemnification is against public policy as expressed in the Securities Act and is therefore unenforceable. </w:t>
      </w:r>
    </w:p>
    <w:p>
      <w:pPr>
        <w:pStyle w:val="TextBody"/>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rPr/>
      </w:pPr>
      <w:r>
        <w:rPr/>
      </w:r>
    </w:p>
    <w:p>
      <w:pPr>
        <w:pStyle w:val="TextBody"/>
        <w:spacing w:before="0" w:after="0"/>
        <w:jc w:val="center"/>
        <w:rPr>
          <w:rFonts w:ascii="Times New Roman" w:hAnsi="Times New Roman"/>
          <w:b/>
          <w:sz w:val="20"/>
        </w:rPr>
      </w:pPr>
      <w:bookmarkStart w:id="26" w:name="toc478714_23"/>
      <w:bookmarkEnd w:id="26"/>
      <w:r>
        <w:rPr>
          <w:rFonts w:ascii="Times New Roman" w:hAnsi="Times New Roman"/>
          <w:b/>
          <w:sz w:val="20"/>
        </w:rPr>
        <w:t xml:space="preserve">SUB-ADMINISTRATOR, CUSTODIAN, TRANSFER AGENT AND TRUSTEE </w:t>
      </w:r>
    </w:p>
    <w:p>
      <w:pPr>
        <w:pStyle w:val="TextBody"/>
        <w:spacing w:before="240" w:after="0"/>
        <w:jc w:val="left"/>
        <w:rPr>
          <w:rFonts w:ascii="Times New Roman" w:hAnsi="Times New Roman"/>
          <w:sz w:val="20"/>
        </w:rPr>
      </w:pPr>
      <w:r>
        <w:rPr>
          <w:rFonts w:ascii="Times New Roman" w:hAnsi="Times New Roman"/>
          <w:sz w:val="20"/>
        </w:rPr>
        <w:t xml:space="preserve">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AST acts as our transfer agent, distribution paying agent and registrar. AST also serves as trustee under our 2026 Notes. The principal business address of AST is 6201 15th Avenue, 3rd Floor, Brooklyn, NY 11219, telephone number: (800) 937-5449. Mishmeret Trust Company, Ltd. serves as trustee for our 2023 Notes. The principal business address of Mishmeret Trust Company, Ltd. is 46-48 Menachem Begin Road, Tel Aviv, Israel 66184. </w:t>
      </w:r>
    </w:p>
    <w:p>
      <w:pPr>
        <w:pStyle w:val="TextBody"/>
        <w:spacing w:before="480" w:after="0"/>
        <w:jc w:val="center"/>
        <w:rPr>
          <w:rFonts w:ascii="Times New Roman" w:hAnsi="Times New Roman"/>
          <w:b/>
          <w:sz w:val="20"/>
        </w:rPr>
      </w:pPr>
      <w:bookmarkStart w:id="27" w:name="toc478714_24"/>
      <w:bookmarkEnd w:id="27"/>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Certain legal matters regarding the securities offered by this prospectus will be passed upon for us by Dechert LLP, Boston, Massachusetts and by Venable LLP, as special Maryland counsel. Certain legal matters will be passed upon for underwriters, if any, by the counsel named in the prospectus supplement, if any. </w:t>
      </w:r>
    </w:p>
    <w:p>
      <w:pPr>
        <w:pStyle w:val="TextBody"/>
        <w:spacing w:before="480" w:after="0"/>
        <w:jc w:val="center"/>
        <w:rPr>
          <w:rFonts w:ascii="Times New Roman" w:hAnsi="Times New Roman"/>
          <w:b/>
          <w:sz w:val="20"/>
        </w:rPr>
      </w:pPr>
      <w:bookmarkStart w:id="28" w:name="toc478714_25"/>
      <w:bookmarkEnd w:id="28"/>
      <w:r>
        <w:rPr>
          <w:rFonts w:ascii="Times New Roman" w:hAnsi="Times New Roman"/>
          <w:b/>
          <w:sz w:val="20"/>
        </w:rPr>
        <w:t xml:space="preserve">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PennantPark Floating Rate Capital Ltd. and Subsidiaries as of September 30, 2022 and 2021 and for each of the years in the three-year period ended September 30, 2022 incorporated in this Prospectus by reference from the PennantPark Floating Rate Capital Ltd. Annual Report on Form 10-K for the year ended September 30, 2022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senior securities table of the Company incorporated by reference under the heading “Senior Securities” has been incorporated by reference herein in reliance upon the report of RSM US LLP, an independent registered public accounting firm, as stated in their report filed as Exhibit 99.2 to the Company’s Annual Report on Form 10-K for the year ended September 30, 2022, which is incorporated herein by reference. </w:t>
      </w:r>
    </w:p>
    <w:p>
      <w:pPr>
        <w:pStyle w:val="TextBody"/>
        <w:spacing w:before="480" w:after="0"/>
        <w:jc w:val="center"/>
        <w:rPr>
          <w:rFonts w:ascii="Times New Roman" w:hAnsi="Times New Roman"/>
          <w:b/>
          <w:sz w:val="20"/>
        </w:rPr>
      </w:pPr>
      <w:bookmarkStart w:id="29" w:name="toc478714_26"/>
      <w:bookmarkEnd w:id="29"/>
      <w:r>
        <w:rPr>
          <w:rFonts w:ascii="Times New Roman" w:hAnsi="Times New Roman"/>
          <w:b/>
          <w:sz w:val="20"/>
        </w:rPr>
        <w:t xml:space="preserve">INDEPENDENT AUDITOR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PSSL as of and for the fiscal years ended September 30, 2022 and September 30, 2021 included as Exhibits 99.3 and 99.4, respectively, in our Annual Report on Form 10-K for the fiscal year ended September 30, 2022 have been so included in reliance on the report of RSM US LLP.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rPr/>
      </w:pPr>
      <w:r>
        <w:rPr/>
      </w:r>
    </w:p>
    <w:p>
      <w:pPr>
        <w:pStyle w:val="TextBody"/>
        <w:spacing w:before="0" w:after="0"/>
        <w:jc w:val="center"/>
        <w:rPr>
          <w:rFonts w:ascii="Times New Roman" w:hAnsi="Times New Roman"/>
          <w:b/>
          <w:sz w:val="20"/>
        </w:rPr>
      </w:pPr>
      <w:bookmarkStart w:id="30" w:name="toc478714_27"/>
      <w:bookmarkEnd w:id="30"/>
      <w:r>
        <w:rPr>
          <w:rFonts w:ascii="Times New Roman" w:hAnsi="Times New Roman"/>
          <w:b/>
          <w:sz w:val="20"/>
        </w:rPr>
        <w:t xml:space="preserve">INCORPORATION BY REFERENCE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w:t>
      </w:r>
    </w:p>
    <w:p>
      <w:pPr>
        <w:pStyle w:val="TextBody"/>
        <w:spacing w:before="240" w:after="0"/>
        <w:jc w:val="left"/>
        <w:rPr>
          <w:rFonts w:ascii="Times New Roman" w:hAnsi="Times New Roman"/>
          <w:sz w:val="20"/>
        </w:rPr>
      </w:pPr>
      <w:r>
        <w:rPr>
          <w:rFonts w:ascii="Times New Roman" w:hAnsi="Times New Roman"/>
          <w:sz w:val="20"/>
        </w:rPr>
        <w:t xml:space="preserve">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 </w:t>
      </w:r>
    </w:p>
    <w:p>
      <w:pPr>
        <w:pStyle w:val="TextBody"/>
        <w:spacing w:before="240" w:after="0"/>
        <w:jc w:val="left"/>
        <w:rPr>
          <w:rFonts w:ascii="Times New Roman" w:hAnsi="Times New Roman"/>
          <w:sz w:val="20"/>
        </w:rPr>
      </w:pPr>
      <w:r>
        <w:rPr>
          <w:rFonts w:ascii="Times New Roman" w:hAnsi="Times New Roman"/>
          <w:sz w:val="20"/>
        </w:rPr>
        <w:t xml:space="preserve">This prospectus and any prospectus supplement incorporates by reference the documents set forth below that have previously been filed with the SEC: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fiscal year ended September 30, 2022, filed with the SEC on November 17, 2022, including the information specifically incorporated by reference to the Form 10-K from our Definitive Proxy Statement on </w:t>
            </w:r>
            <w:hyperlink r:id="rId13">
              <w:r>
                <w:rPr>
                  <w:rStyle w:val="InternetLink"/>
                  <w:rFonts w:ascii="Times New Roman" w:hAnsi="Times New Roman"/>
                  <w:sz w:val="20"/>
                </w:rPr>
                <w:t>Schedule 14A</w:t>
              </w:r>
            </w:hyperlink>
            <w:r>
              <w:rPr>
                <w:rFonts w:ascii="Times New Roman" w:hAnsi="Times New Roman"/>
                <w:sz w:val="20"/>
              </w:rPr>
              <w:t xml:space="preserve"> filed with the SEC on December 8, 2022;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rFonts w:ascii="Times New Roman" w:hAnsi="Times New Roman"/>
                <w:sz w:val="20"/>
              </w:rPr>
              <w:t xml:space="preserve">The description of our common stock contained in </w:t>
            </w:r>
            <w:hyperlink r:id="rId14">
              <w:r>
                <w:rPr>
                  <w:rStyle w:val="InternetLink"/>
                  <w:rFonts w:ascii="Times New Roman" w:hAnsi="Times New Roman"/>
                  <w:sz w:val="20"/>
                </w:rPr>
                <w:t>Exhibit 4.4</w:t>
              </w:r>
            </w:hyperlink>
            <w:r>
              <w:rPr>
                <w:rFonts w:ascii="Times New Roman" w:hAnsi="Times New Roman"/>
                <w:sz w:val="20"/>
              </w:rPr>
              <w:t xml:space="preserve"> of our Annual Report on Form 10-K for the fiscal year ended September 30, 2019 (File No. 814-00891), as filed with the SEC on November 20, 2019, which updated the description thereof referenced in our Registration Statement on </w:t>
            </w:r>
            <w:hyperlink r:id="rId15">
              <w:r>
                <w:rPr>
                  <w:rStyle w:val="InternetLink"/>
                  <w:rFonts w:ascii="Times New Roman" w:hAnsi="Times New Roman"/>
                  <w:sz w:val="20"/>
                </w:rPr>
                <w:t>Form 8-A</w:t>
              </w:r>
            </w:hyperlink>
            <w:r>
              <w:rPr>
                <w:rFonts w:ascii="Times New Roman" w:hAnsi="Times New Roman"/>
                <w:sz w:val="20"/>
              </w:rPr>
              <w:t xml:space="preserve"> (File No. 001-35127), as filed with the SEC on April 7, 2011, including any amendment or report filed for the purpose of updating such description prior to the termination of the offering of the common stock registered hereby. </w:t>
            </w:r>
          </w:p>
        </w:tc>
      </w:tr>
    </w:tbl>
    <w:p>
      <w:pPr>
        <w:pStyle w:val="TextBody"/>
        <w:spacing w:before="240" w:after="0"/>
        <w:jc w:val="left"/>
        <w:rPr>
          <w:rFonts w:ascii="Times New Roman" w:hAnsi="Times New Roman"/>
          <w:sz w:val="20"/>
        </w:rPr>
      </w:pPr>
      <w:r>
        <w:rPr>
          <w:rFonts w:ascii="Times New Roman" w:hAnsi="Times New Roman"/>
          <w:sz w:val="20"/>
        </w:rPr>
        <w:t xml:space="preserve">To obtain copies of these filings, see “Available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rPr/>
      </w:pPr>
      <w:r>
        <w:rPr/>
      </w:r>
    </w:p>
    <w:p>
      <w:pPr>
        <w:pStyle w:val="TextBody"/>
        <w:spacing w:before="0" w:after="0"/>
        <w:jc w:val="center"/>
        <w:rPr>
          <w:rFonts w:ascii="Times New Roman" w:hAnsi="Times New Roman"/>
          <w:b/>
          <w:sz w:val="20"/>
        </w:rPr>
      </w:pPr>
      <w:bookmarkStart w:id="31" w:name="toc478714_28"/>
      <w:bookmarkEnd w:id="31"/>
      <w:r>
        <w:rPr>
          <w:rFonts w:ascii="Times New Roman" w:hAnsi="Times New Roman"/>
          <w:b/>
          <w:sz w:val="20"/>
        </w:rPr>
        <w:t xml:space="preserve">AVAILABLE INFORMATION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 </w:t>
      </w:r>
    </w:p>
    <w:p>
      <w:pPr>
        <w:pStyle w:val="TextBody"/>
        <w:spacing w:before="240" w:after="0"/>
        <w:jc w:val="left"/>
        <w:rPr>
          <w:rFonts w:ascii="Times New Roman" w:hAnsi="Times New Roman"/>
          <w:sz w:val="20"/>
        </w:rPr>
      </w:pPr>
      <w:r>
        <w:rPr>
          <w:rFonts w:ascii="Times New Roman" w:hAnsi="Times New Roman"/>
          <w:sz w:val="20"/>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Times New Roman" w:hAnsi="Times New Roman"/>
          <w:i/>
          <w:sz w:val="20"/>
          <w:u w:val="single"/>
        </w:rPr>
        <w:t>www.pennantpark.com</w:t>
      </w:r>
      <w:r>
        <w:rPr>
          <w:rFonts w:ascii="Times New Roman" w:hAnsi="Times New Roman"/>
          <w:sz w:val="20"/>
        </w:rPr>
        <w:t xml:space="preserve">. Except for the documents incorporated by reference into this prospectus and any accompanying prospectus supplement, the 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hAnsi="Times New Roman"/>
          <w:i/>
          <w:sz w:val="20"/>
          <w:u w:val="single"/>
        </w:rPr>
        <w:t>www.sec.gov</w:t>
      </w:r>
      <w:r>
        <w:rPr>
          <w:rFonts w:ascii="Times New Roman" w:hAnsi="Times New Roman"/>
          <w:sz w:val="20"/>
        </w:rPr>
        <w:t xml:space="preserve">. Copies of these reports, proxy and information statements and other information may be obtained, after paying a duplicating fee, by sending a request by email to: publicinfo@sec.gov.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rPr/>
      </w:pPr>
      <w:r>
        <w:rPr/>
      </w:r>
    </w:p>
    <w:p>
      <w:pPr>
        <w:pStyle w:val="TextBody"/>
        <w:pBdr>
          <w:bottom w:val="single" w:sz="16"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226695" cy="546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226695" cy="54610"/>
                    </a:xfrm>
                    <a:prstGeom prst="rect">
                      <a:avLst/>
                    </a:prstGeom>
                  </pic:spPr>
                </pic:pic>
              </a:graphicData>
            </a:graphic>
          </wp:inline>
        </w:drawing>
      </w:r>
      <w:r>
        <w:rPr/>
        <w:t xml:space="preserve"> </w:t>
      </w:r>
    </w:p>
    <w:p>
      <w:pPr>
        <w:pStyle w:val="TextBody"/>
        <w:spacing w:before="480" w:after="0"/>
        <w:jc w:val="center"/>
        <w:rPr>
          <w:rFonts w:ascii="Times New Roman" w:hAnsi="Times New Roman"/>
          <w:b/>
          <w:sz w:val="32"/>
        </w:rPr>
      </w:pPr>
      <w:r>
        <w:rPr>
          <w:rFonts w:ascii="Times New Roman" w:hAnsi="Times New Roman"/>
          <w:b/>
          <w:sz w:val="32"/>
        </w:rPr>
        <w:t xml:space="preserve">Up to $100 million </w:t>
      </w:r>
    </w:p>
    <w:p>
      <w:pPr>
        <w:pStyle w:val="TextBody"/>
        <w:spacing w:before="24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100" w:type="dxa"/>
        <w:jc w:val="left"/>
        <w:tblInd w:w="0" w:type="dxa"/>
        <w:tblCellMar>
          <w:top w:w="0" w:type="dxa"/>
          <w:left w:w="0" w:type="dxa"/>
          <w:bottom w:w="0" w:type="dxa"/>
          <w:right w:w="0" w:type="dxa"/>
        </w:tblCellMar>
      </w:tblPr>
      <w:tblGrid>
        <w:gridCol w:w="1565"/>
        <w:gridCol w:w="60"/>
        <w:gridCol w:w="1715"/>
        <w:gridCol w:w="60"/>
        <w:gridCol w:w="1700"/>
      </w:tblGrid>
      <w:tr>
        <w:trPr/>
        <w:tc>
          <w:tcPr>
            <w:tcW w:w="15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r>
      <w:tr>
        <w:trPr/>
        <w:tc>
          <w:tcPr>
            <w:tcW w:w="1565" w:type="dxa"/>
            <w:tcBorders/>
            <w:shd w:fill="auto" w:val="clear"/>
            <w:vAlign w:val="center"/>
          </w:tcPr>
          <w:p>
            <w:pPr>
              <w:pStyle w:val="TableContents"/>
              <w:spacing w:before="0" w:after="0"/>
              <w:rPr>
                <w:rFonts w:ascii="Times New Roman" w:hAnsi="Times New Roman"/>
                <w:b/>
                <w:sz w:val="24"/>
              </w:rPr>
            </w:pPr>
            <w:r>
              <w:rPr>
                <w:rFonts w:ascii="Times New Roman" w:hAnsi="Times New Roman"/>
                <w:b/>
                <w:sz w:val="24"/>
              </w:rPr>
              <w:t>JMP Securities</w:t>
            </w:r>
          </w:p>
          <w:p>
            <w:pPr>
              <w:pStyle w:val="TableContents"/>
              <w:spacing w:before="0" w:after="20"/>
              <w:rPr>
                <w:rFonts w:ascii="Times New Roman" w:hAnsi="Times New Roman"/>
                <w:sz w:val="12"/>
              </w:rPr>
            </w:pPr>
            <w:r>
              <w:rPr>
                <w:rFonts w:ascii="Times New Roman" w:hAnsi="Times New Roman"/>
                <w:sz w:val="12"/>
              </w:rPr>
              <w:t>A CITIZENS COMPANY</w:t>
            </w:r>
          </w:p>
        </w:tc>
        <w:tc>
          <w:tcPr>
            <w:tcW w:w="6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20"/>
              <w:jc w:val="center"/>
              <w:rPr>
                <w:rFonts w:ascii="Times New Roman" w:hAnsi="Times New Roman"/>
                <w:b/>
                <w:sz w:val="24"/>
              </w:rPr>
            </w:pPr>
            <w:r>
              <w:rPr>
                <w:rFonts w:ascii="Times New Roman" w:hAnsi="Times New Roman"/>
                <w:b/>
                <w:sz w:val="24"/>
              </w:rPr>
              <w:t>Raymond James</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0"/>
              <w:jc w:val="right"/>
              <w:rPr>
                <w:rFonts w:ascii="Times New Roman" w:hAnsi="Times New Roman"/>
                <w:b/>
                <w:sz w:val="24"/>
              </w:rPr>
            </w:pPr>
            <w:r>
              <w:rPr>
                <w:rFonts w:ascii="Times New Roman" w:hAnsi="Times New Roman"/>
                <w:b/>
                <w:sz w:val="24"/>
              </w:rPr>
              <w:t>Truist Securities</w:t>
            </w:r>
          </w:p>
        </w:tc>
      </w:tr>
    </w:tbl>
    <w:p>
      <w:pPr>
        <w:pStyle w:val="TextBody"/>
        <w:spacing w:before="240" w:after="0"/>
        <w:jc w:val="center"/>
        <w:rPr>
          <w:rFonts w:ascii="Times New Roman" w:hAnsi="Times New Roman"/>
          <w:b/>
          <w:sz w:val="20"/>
        </w:rPr>
      </w:pPr>
      <w:r>
        <w:rPr>
          <w:rFonts w:ascii="Times New Roman" w:hAnsi="Times New Roman"/>
          <w:b/>
          <w:sz w:val="20"/>
        </w:rPr>
        <w:t xml:space="preserve">March 31, 2023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16" w:space="1" w:color="000000"/>
        </w:pBdr>
        <w:spacing w:lineRule="atLeast" w:line="141" w:before="0" w:after="40"/>
        <w:jc w:val="left"/>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04619/000095017022025351/pflt-20220930.htm" TargetMode="External"/><Relationship Id="rId4" Type="http://schemas.openxmlformats.org/officeDocument/2006/relationships/hyperlink" Target="http://www.sec.gov/Archives/edgar/data/../../../ix?doc=/Archives/edgar/data/1504619/000095017022025351/pflt-20220930.htm" TargetMode="External"/><Relationship Id="rId5" Type="http://schemas.openxmlformats.org/officeDocument/2006/relationships/hyperlink" Target="http://www.sec.gov/Archives/edgar/data/1504619/000095017022026192/pflt-2023-def_14a.htm" TargetMode="External"/><Relationship Id="rId6" Type="http://schemas.openxmlformats.org/officeDocument/2006/relationships/hyperlink" Target="http://www.sec.gov/Archives/edgar/data/../../../ix?doc=/Archives/edgar/data/1504619/000095017023002174/pflt-20221231.htm" TargetMode="External"/><Relationship Id="rId7" Type="http://schemas.openxmlformats.org/officeDocument/2006/relationships/hyperlink" Target="http://www.sec.gov/Archives/edgar/data/../../../ix?doc=/Archives/edgar/data/1504619/000095017023002174/pflt-20221231.htm" TargetMode="External"/><Relationship Id="rId8" Type="http://schemas.openxmlformats.org/officeDocument/2006/relationships/hyperlink" Target="http://www.sec.gov/Archives/edgar/data/../../../ix?doc=/Archives/edgar/data/1504619/000119312523016239/d451102d8k.htm" TargetMode="External"/><Relationship Id="rId9" Type="http://schemas.openxmlformats.org/officeDocument/2006/relationships/hyperlink" Target="http://www.sec.gov/Archives/edgar/data/../../../ix?doc=/Archives/edgar/data/1504619/000095017023002468/pflt-20230207.htm" TargetMode="External"/><Relationship Id="rId10" Type="http://schemas.openxmlformats.org/officeDocument/2006/relationships/hyperlink" Target="http://www.sec.gov/Archives/edgar/data/1504619/000156459019043972/pflt-ex44_124.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1504619/000095017022025351/pflt-20220930.htm" TargetMode="External"/><Relationship Id="rId13" Type="http://schemas.openxmlformats.org/officeDocument/2006/relationships/hyperlink" Target="http://www.sec.gov/Archives/edgar/data/1504619/000095017022026192/pflt-2023-def_14a.htm" TargetMode="External"/><Relationship Id="rId14" Type="http://schemas.openxmlformats.org/officeDocument/2006/relationships/hyperlink" Target="http://www.sec.gov/Archives/edgar/data/1504619/000156459019043972/pflt-ex44_124.htm" TargetMode="External"/><Relationship Id="rId15" Type="http://schemas.openxmlformats.org/officeDocument/2006/relationships/hyperlink" Target="http://www.sec.gov/Archives/edgar/data/1504619/000119312511090965/d8a12b.htm" TargetMode="External"/><Relationship Id="rId16" Type="http://schemas.openxmlformats.org/officeDocument/2006/relationships/image" Target="media/image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82</Pages>
  <Words>51039</Words>
  <CharactersWithSpaces>320880</CharactersWithSpaces>
  <Paragraphs>7763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