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20224.htm"/>
      <w:bookmarkStart w:id="1" w:name="ksf8k_020224"/>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February 2, 2024</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February 2, 2024, PennantPark Floating Rate Capital Ltd.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r>
        <w:rPr>
          <w:sz w:val="20"/>
        </w:rPr>
        <w:br/>
        <w:t>None</w:t>
        <w:br/>
      </w:r>
      <w:r>
        <w:rPr>
          <w:rStyle w:val="StrongEmphasis"/>
          <w:sz w:val="20"/>
        </w:rPr>
        <w:t>(b) Pro forma financial information:</w:t>
      </w:r>
      <w:r>
        <w:rPr>
          <w:sz w:val="20"/>
        </w:rPr>
        <w:br/>
        <w:t>None</w:t>
        <w:br/>
      </w:r>
      <w:r>
        <w:rPr>
          <w:rStyle w:val="StrongEmphasis"/>
          <w:sz w:val="20"/>
        </w:rPr>
        <w:t>(c) Shell company transactions:</w:t>
      </w:r>
      <w:r>
        <w:rPr>
          <w:sz w:val="20"/>
        </w:rPr>
        <w:br/>
        <w:t>None</w:t>
        <w:br/>
      </w:r>
      <w:r>
        <w:rPr>
          <w:rStyle w:val="StrongEmphasis"/>
          <w:sz w:val="20"/>
        </w:rPr>
        <w:t>(d) Exhibits</w:t>
      </w:r>
    </w:p>
    <w:tbl>
      <w:tblPr>
        <w:tblW w:w="6940" w:type="dxa"/>
        <w:jc w:val="left"/>
        <w:tblInd w:w="0" w:type="dxa"/>
        <w:tblLayout w:type="fixed"/>
        <w:tblCellMar>
          <w:top w:w="0" w:type="dxa"/>
          <w:left w:w="0" w:type="dxa"/>
          <w:bottom w:w="0" w:type="dxa"/>
          <w:right w:w="0" w:type="dxa"/>
        </w:tblCellMar>
      </w:tblPr>
      <w:tblGrid>
        <w:gridCol w:w="380"/>
        <w:gridCol w:w="60"/>
        <w:gridCol w:w="650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February 2, 2024</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274" w:type="dxa"/>
        <w:jc w:val="left"/>
        <w:tblInd w:w="0" w:type="dxa"/>
        <w:tblLayout w:type="fixed"/>
        <w:tblCellMar>
          <w:top w:w="0" w:type="dxa"/>
          <w:left w:w="0" w:type="dxa"/>
          <w:bottom w:w="0" w:type="dxa"/>
          <w:right w:w="0" w:type="dxa"/>
        </w:tblCellMar>
      </w:tblPr>
      <w:tblGrid>
        <w:gridCol w:w="1880"/>
        <w:gridCol w:w="383"/>
        <w:gridCol w:w="3011"/>
      </w:tblGrid>
      <w:tr>
        <w:trPr/>
        <w:tc>
          <w:tcPr>
            <w:tcW w:w="188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20"/>
              </w:rPr>
            </w:pPr>
            <w:r>
              <w:rPr>
                <w:sz w:val="20"/>
              </w:rPr>
              <w:t>Date: February 2, 2024</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Feb. 02, 2024 (GLOBE NEWSWIRE) -- PennantPark Floating Rate Capital Ltd. (the "Company") (NYSE: PFLT) (TASE: PFLT) declares its monthly distribution for February 2024 of $0.1025 per share, payable on March 1, 2024 to stockholders of record as of February 15,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The specific tax characteristics of this distribution can be found on our website www.pennantpark.com.</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spacing w:before="0" w:after="283"/>
        <w:jc w:val="left"/>
        <w:rPr/>
      </w:pPr>
      <w:r>
        <w:rPr/>
        <w:t>PennantPark Investment Advisers, LLC is a leading middle market credit platform, managing $6.8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1331</Words>
  <Characters>7629</Characters>
  <CharactersWithSpaces>8912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