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20"/>
        </w:rPr>
      </w:pPr>
      <w:bookmarkStart w:id="0" w:name="f8k_081026.htm"/>
      <w:bookmarkStart w:id="1" w:name="ksf8k_081026"/>
      <w:bookmarkEnd w:id="0"/>
      <w:bookmarkEnd w:id="1"/>
      <w:r>
        <w:rPr>
          <w:b/>
          <w:sz w:val="20"/>
        </w:rPr>
        <w:t>UNITED STATES</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pPr>
      <w:r>
        <w:rPr/>
        <w:t>Washington, D.C. 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bookmarkStart w:id="2" w:name="xdx_909_edei--DocumentType_c20260810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CURRENT REPORT</w:t>
      </w:r>
    </w:p>
    <w:p>
      <w:pPr>
        <w:pStyle w:val="TextBody"/>
        <w:bidi w:val="0"/>
        <w:spacing w:before="0" w:after="0"/>
        <w:jc w:val="center"/>
        <w:rPr>
          <w:sz w:val="20"/>
        </w:rPr>
      </w:pPr>
      <w:r>
        <w:rPr>
          <w:sz w:val="20"/>
        </w:rPr>
        <w:t>Pursuant to Section 13 or 15(d) of the Securities Exchange Act of 1934</w:t>
      </w:r>
    </w:p>
    <w:p>
      <w:pPr>
        <w:pStyle w:val="TextBody"/>
        <w:bidi w:val="0"/>
        <w:spacing w:before="0" w:after="0"/>
        <w:jc w:val="left"/>
        <w:rPr/>
      </w:pPr>
      <w:r>
        <w:rPr/>
        <w:t> </w:t>
      </w:r>
    </w:p>
    <w:p>
      <w:pPr>
        <w:pStyle w:val="TextBody"/>
        <w:bidi w:val="0"/>
        <w:spacing w:before="0" w:after="0"/>
        <w:jc w:val="center"/>
        <w:rPr>
          <w:b/>
          <w:sz w:val="20"/>
        </w:rPr>
      </w:pPr>
      <w:r>
        <w:rPr>
          <w:b/>
          <w:sz w:val="20"/>
        </w:rPr>
        <w:t xml:space="preserve">Date of Report: </w:t>
      </w:r>
      <w:bookmarkStart w:id="3" w:name="xdx_90A_edei--DocumentPeriodEndDate_c202"/>
      <w:bookmarkEnd w:id="3"/>
      <w:r>
        <w:rPr>
          <w:b/>
          <w:sz w:val="20"/>
        </w:rPr>
        <w:t>August 10, 2026</w:t>
      </w:r>
    </w:p>
    <w:p>
      <w:pPr>
        <w:pStyle w:val="TextBody"/>
        <w:bidi w:val="0"/>
        <w:spacing w:before="0" w:after="0"/>
        <w:jc w:val="center"/>
        <w:rPr>
          <w:sz w:val="20"/>
        </w:rPr>
      </w:pPr>
      <w:r>
        <w:rPr>
          <w:sz w:val="20"/>
        </w:rPr>
        <w:t>(Date of earliest event reported)</w:t>
      </w:r>
    </w:p>
    <w:p>
      <w:pPr>
        <w:pStyle w:val="TextBody"/>
        <w:bidi w:val="0"/>
        <w:spacing w:before="0" w:after="0"/>
        <w:jc w:val="left"/>
        <w:rPr/>
      </w:pPr>
      <w:r>
        <w:rPr/>
        <w:t> </w:t>
      </w:r>
    </w:p>
    <w:p>
      <w:pPr>
        <w:pStyle w:val="TextBody"/>
        <w:bidi w:val="0"/>
        <w:spacing w:before="0" w:after="0"/>
        <w:jc w:val="center"/>
        <w:rPr>
          <w:b/>
          <w:sz w:val="20"/>
        </w:rPr>
      </w:pPr>
      <w:bookmarkStart w:id="4" w:name="xdx_906_edei--EntityRegistrantName_c2026"/>
      <w:bookmarkEnd w:id="4"/>
      <w:r>
        <w:rPr>
          <w:b/>
          <w:sz w:val="20"/>
        </w:rPr>
        <w:t>PennantPark Floating Rate Capital Ltd.</w:t>
      </w:r>
    </w:p>
    <w:p>
      <w:pPr>
        <w:pStyle w:val="TextBody"/>
        <w:bidi w:val="0"/>
        <w:spacing w:before="0" w:after="0"/>
        <w:jc w:val="center"/>
        <w:rPr>
          <w:sz w:val="20"/>
        </w:rPr>
      </w:pPr>
      <w:r>
        <w:rPr>
          <w:sz w:val="20"/>
        </w:rPr>
        <w:t>(Exact name of registrant as specified in its charter)</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6"/>
        <w:gridCol w:w="2547"/>
        <w:gridCol w:w="3572"/>
      </w:tblGrid>
      <w:tr>
        <w:trPr/>
        <w:tc>
          <w:tcPr>
            <w:tcW w:w="4086" w:type="dxa"/>
            <w:tcBorders/>
            <w:vAlign w:val="center"/>
          </w:tcPr>
          <w:p>
            <w:pPr>
              <w:pStyle w:val="TableContents"/>
              <w:bidi w:val="0"/>
              <w:spacing w:before="0" w:after="283"/>
              <w:jc w:val="center"/>
              <w:rPr>
                <w:b/>
              </w:rPr>
            </w:pPr>
            <w:bookmarkStart w:id="5" w:name="xdx_900_edei--EntityIncorporationStateCo"/>
            <w:bookmarkEnd w:id="5"/>
            <w:r>
              <w:rPr>
                <w:b/>
              </w:rPr>
              <w:t>Maryland</w:t>
            </w:r>
          </w:p>
        </w:tc>
        <w:tc>
          <w:tcPr>
            <w:tcW w:w="2547" w:type="dxa"/>
            <w:tcBorders/>
            <w:vAlign w:val="center"/>
          </w:tcPr>
          <w:p>
            <w:pPr>
              <w:pStyle w:val="TableContents"/>
              <w:bidi w:val="0"/>
              <w:spacing w:before="0" w:after="283"/>
              <w:jc w:val="center"/>
              <w:rPr>
                <w:b/>
              </w:rPr>
            </w:pPr>
            <w:bookmarkStart w:id="6" w:name="xdx_908_edei--EntityFileNumber_c20260810"/>
            <w:bookmarkEnd w:id="6"/>
            <w:r>
              <w:rPr>
                <w:b/>
              </w:rPr>
              <w:t>814-00891</w:t>
            </w:r>
          </w:p>
        </w:tc>
        <w:tc>
          <w:tcPr>
            <w:tcW w:w="3572" w:type="dxa"/>
            <w:tcBorders/>
            <w:vAlign w:val="center"/>
          </w:tcPr>
          <w:p>
            <w:pPr>
              <w:pStyle w:val="TableContents"/>
              <w:bidi w:val="0"/>
              <w:spacing w:before="0" w:after="283"/>
              <w:jc w:val="center"/>
              <w:rPr>
                <w:b/>
              </w:rPr>
            </w:pPr>
            <w:bookmarkStart w:id="7" w:name="xdx_90A_edei--EntityTaxIdentificationNum"/>
            <w:bookmarkEnd w:id="7"/>
            <w:r>
              <w:rPr>
                <w:b/>
              </w:rPr>
              <w:t>27-3794690</w:t>
            </w:r>
          </w:p>
        </w:tc>
      </w:tr>
      <w:tr>
        <w:trPr/>
        <w:tc>
          <w:tcPr>
            <w:tcW w:w="4086" w:type="dxa"/>
            <w:tcBorders/>
            <w:vAlign w:val="center"/>
          </w:tcPr>
          <w:p>
            <w:pPr>
              <w:pStyle w:val="TableContents"/>
              <w:bidi w:val="0"/>
              <w:spacing w:before="0" w:after="283"/>
              <w:jc w:val="center"/>
              <w:rPr/>
            </w:pPr>
            <w:r>
              <w:rPr/>
              <w:t>(State or Other Jurisdiction of Incorporation)</w:t>
            </w:r>
          </w:p>
        </w:tc>
        <w:tc>
          <w:tcPr>
            <w:tcW w:w="2547" w:type="dxa"/>
            <w:tcBorders/>
            <w:vAlign w:val="center"/>
          </w:tcPr>
          <w:p>
            <w:pPr>
              <w:pStyle w:val="TableContents"/>
              <w:bidi w:val="0"/>
              <w:spacing w:before="0" w:after="283"/>
              <w:jc w:val="center"/>
              <w:rPr/>
            </w:pPr>
            <w:r>
              <w:rPr/>
              <w:t>(Commission File Number)</w:t>
            </w:r>
          </w:p>
        </w:tc>
        <w:tc>
          <w:tcPr>
            <w:tcW w:w="3572" w:type="dxa"/>
            <w:tcBorders/>
            <w:vAlign w:val="center"/>
          </w:tcPr>
          <w:p>
            <w:pPr>
              <w:pStyle w:val="TableContents"/>
              <w:bidi w:val="0"/>
              <w:spacing w:before="0" w:after="283"/>
              <w:jc w:val="center"/>
              <w:rPr/>
            </w:pPr>
            <w:r>
              <w:rPr/>
              <w:t>(IRS Employer Identification Number)</w:t>
            </w:r>
          </w:p>
        </w:tc>
      </w:tr>
    </w:tbl>
    <w:p>
      <w:pPr>
        <w:pStyle w:val="TextBody"/>
        <w:bidi w:val="0"/>
        <w:spacing w:before="0" w:after="283"/>
        <w:jc w:val="left"/>
        <w:rPr/>
      </w:pPr>
      <w:r>
        <w:rPr/>
        <w:t> </w:t>
      </w:r>
    </w:p>
    <w:tbl>
      <w:tblPr>
        <w:tblW w:w="5800" w:type="dxa"/>
        <w:jc w:val="left"/>
        <w:tblInd w:w="0" w:type="dxa"/>
        <w:tblLayout w:type="fixed"/>
        <w:tblCellMar>
          <w:top w:w="0" w:type="dxa"/>
          <w:left w:w="0" w:type="dxa"/>
          <w:bottom w:w="0" w:type="dxa"/>
          <w:right w:w="0" w:type="dxa"/>
        </w:tblCellMar>
      </w:tblPr>
      <w:tblGrid>
        <w:gridCol w:w="4715"/>
        <w:gridCol w:w="1085"/>
      </w:tblGrid>
      <w:tr>
        <w:trPr/>
        <w:tc>
          <w:tcPr>
            <w:tcW w:w="4715" w:type="dxa"/>
            <w:tcBorders/>
            <w:vAlign w:val="center"/>
          </w:tcPr>
          <w:p>
            <w:pPr>
              <w:pStyle w:val="TableContents"/>
              <w:bidi w:val="0"/>
              <w:spacing w:before="0" w:after="283"/>
              <w:jc w:val="center"/>
              <w:rPr>
                <w:b/>
              </w:rPr>
            </w:pPr>
            <w:bookmarkStart w:id="8" w:name="xdx_907_edei--EntityAddressAddressLine1_"/>
            <w:bookmarkEnd w:id="8"/>
            <w:r>
              <w:rPr>
                <w:b/>
              </w:rPr>
              <w:t xml:space="preserve">1691 Michigan Avenue, </w:t>
            </w:r>
            <w:bookmarkStart w:id="9" w:name="xdx_906_edei--EntityAddressCityOrTown_c2"/>
            <w:bookmarkEnd w:id="9"/>
            <w:r>
              <w:rPr>
                <w:b/>
              </w:rPr>
              <w:t xml:space="preserve">Miami Beach, </w:t>
            </w:r>
            <w:bookmarkStart w:id="10" w:name="xdx_907_edei--EntityAddressStateOrProvin"/>
            <w:bookmarkEnd w:id="10"/>
            <w:r>
              <w:rPr>
                <w:b/>
              </w:rPr>
              <w:t>Florida</w:t>
            </w:r>
          </w:p>
        </w:tc>
        <w:tc>
          <w:tcPr>
            <w:tcW w:w="1085" w:type="dxa"/>
            <w:tcBorders/>
            <w:vAlign w:val="center"/>
          </w:tcPr>
          <w:p>
            <w:pPr>
              <w:pStyle w:val="TableContents"/>
              <w:bidi w:val="0"/>
              <w:spacing w:before="0" w:after="283"/>
              <w:jc w:val="center"/>
              <w:rPr>
                <w:b/>
              </w:rPr>
            </w:pPr>
            <w:bookmarkStart w:id="11" w:name="xdx_90F_edei--EntityAddressPostalZipCode"/>
            <w:bookmarkEnd w:id="11"/>
            <w:r>
              <w:rPr>
                <w:b/>
              </w:rPr>
              <w:t>33139</w:t>
            </w:r>
          </w:p>
        </w:tc>
      </w:tr>
      <w:tr>
        <w:trPr/>
        <w:tc>
          <w:tcPr>
            <w:tcW w:w="471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jc w:val="left"/>
        <w:rPr/>
      </w:pPr>
      <w:r>
        <w:rPr/>
        <w:t> </w:t>
      </w:r>
    </w:p>
    <w:p>
      <w:pPr>
        <w:pStyle w:val="TextBody"/>
        <w:bidi w:val="0"/>
        <w:spacing w:before="0" w:after="0"/>
        <w:jc w:val="center"/>
        <w:rPr>
          <w:b/>
          <w:sz w:val="20"/>
        </w:rPr>
      </w:pPr>
      <w:bookmarkStart w:id="12" w:name="xdx_903_edei--CityAreaCode_c20260810__20"/>
      <w:bookmarkEnd w:id="12"/>
      <w:r>
        <w:rPr>
          <w:b/>
          <w:sz w:val="20"/>
        </w:rPr>
        <w:t xml:space="preserve">(786) </w:t>
      </w:r>
      <w:bookmarkStart w:id="13" w:name="xdx_900_edei--LocalPhoneNumber_c20260810"/>
      <w:bookmarkEnd w:id="13"/>
      <w:r>
        <w:rPr>
          <w:b/>
          <w:sz w:val="20"/>
        </w:rPr>
        <w:t>297-9500</w:t>
      </w:r>
    </w:p>
    <w:p>
      <w:pPr>
        <w:pStyle w:val="TextBody"/>
        <w:bidi w:val="0"/>
        <w:spacing w:before="0" w:after="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6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sz w:val="20"/>
        </w:rPr>
      </w:pPr>
      <w:r>
        <w:rPr>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02"/>
        <w:gridCol w:w="1844"/>
        <w:gridCol w:w="4459"/>
      </w:tblGrid>
      <w:tr>
        <w:trPr/>
        <w:tc>
          <w:tcPr>
            <w:tcW w:w="3902" w:type="dxa"/>
            <w:tcBorders/>
            <w:vAlign w:val="center"/>
          </w:tcPr>
          <w:p>
            <w:pPr>
              <w:pStyle w:val="TableContents"/>
              <w:bidi w:val="0"/>
              <w:spacing w:before="0" w:after="283"/>
              <w:jc w:val="center"/>
              <w:rPr>
                <w:b/>
              </w:rPr>
            </w:pPr>
            <w:r>
              <w:rPr>
                <w:b/>
              </w:rPr>
              <w:t>Title of Each Class</w:t>
            </w:r>
          </w:p>
        </w:tc>
        <w:tc>
          <w:tcPr>
            <w:tcW w:w="1844" w:type="dxa"/>
            <w:tcBorders/>
            <w:vAlign w:val="center"/>
          </w:tcPr>
          <w:p>
            <w:pPr>
              <w:pStyle w:val="TableContents"/>
              <w:bidi w:val="0"/>
              <w:spacing w:before="0" w:after="283"/>
              <w:jc w:val="center"/>
              <w:rPr>
                <w:b/>
              </w:rPr>
            </w:pPr>
            <w:r>
              <w:rPr>
                <w:b/>
              </w:rPr>
              <w:t>Trading Symbol(s)</w:t>
            </w:r>
          </w:p>
        </w:tc>
        <w:tc>
          <w:tcPr>
            <w:tcW w:w="4459" w:type="dxa"/>
            <w:tcBorders/>
            <w:vAlign w:val="center"/>
          </w:tcPr>
          <w:p>
            <w:pPr>
              <w:pStyle w:val="TableContents"/>
              <w:bidi w:val="0"/>
              <w:spacing w:before="0" w:after="283"/>
              <w:jc w:val="center"/>
              <w:rPr>
                <w:b/>
              </w:rPr>
            </w:pPr>
            <w:r>
              <w:rPr>
                <w:b/>
              </w:rPr>
              <w:t>Name of Each Exchange on Which Registered</w:t>
            </w:r>
          </w:p>
        </w:tc>
      </w:tr>
      <w:tr>
        <w:trPr/>
        <w:tc>
          <w:tcPr>
            <w:tcW w:w="3902" w:type="dxa"/>
            <w:tcBorders/>
            <w:vAlign w:val="center"/>
          </w:tcPr>
          <w:p>
            <w:pPr>
              <w:pStyle w:val="TableContents"/>
              <w:bidi w:val="0"/>
              <w:spacing w:before="0" w:after="283"/>
              <w:jc w:val="center"/>
              <w:rPr/>
            </w:pPr>
            <w:bookmarkStart w:id="18" w:name="xdx_904_edei--Security12bTitle_c20260810"/>
            <w:bookmarkEnd w:id="18"/>
            <w:r>
              <w:rPr/>
              <w:t>Common Stock, par value $0.001 per share</w:t>
            </w:r>
          </w:p>
        </w:tc>
        <w:tc>
          <w:tcPr>
            <w:tcW w:w="1844" w:type="dxa"/>
            <w:tcBorders/>
            <w:vAlign w:val="center"/>
          </w:tcPr>
          <w:p>
            <w:pPr>
              <w:pStyle w:val="TableContents"/>
              <w:bidi w:val="0"/>
              <w:spacing w:before="0" w:after="283"/>
              <w:jc w:val="center"/>
              <w:rPr/>
            </w:pPr>
            <w:bookmarkStart w:id="19" w:name="xdx_907_edei--TradingSymbol_c20260810__2"/>
            <w:bookmarkEnd w:id="19"/>
            <w:r>
              <w:rPr/>
              <w:t>PFLT</w:t>
            </w:r>
          </w:p>
        </w:tc>
        <w:tc>
          <w:tcPr>
            <w:tcW w:w="4459" w:type="dxa"/>
            <w:tcBorders/>
            <w:vAlign w:val="center"/>
          </w:tcPr>
          <w:p>
            <w:pPr>
              <w:pStyle w:val="TableContents"/>
              <w:bidi w:val="0"/>
              <w:spacing w:before="0" w:after="283"/>
              <w:jc w:val="center"/>
              <w:rPr/>
            </w:pPr>
            <w:bookmarkStart w:id="20" w:name="xdx_902_edei--SecurityExchangeName_c2026"/>
            <w:bookmarkEnd w:id="20"/>
            <w:r>
              <w:rPr/>
              <w:t>The New York Stock Exchange</w:t>
            </w:r>
          </w:p>
        </w:tc>
      </w:tr>
      <w:tr>
        <w:trPr/>
        <w:tc>
          <w:tcPr>
            <w:tcW w:w="3902" w:type="dxa"/>
            <w:tcBorders/>
            <w:vAlign w:val="center"/>
          </w:tcPr>
          <w:p>
            <w:pPr>
              <w:pStyle w:val="TableContents"/>
              <w:bidi w:val="0"/>
              <w:spacing w:before="0" w:after="283"/>
              <w:jc w:val="center"/>
              <w:rPr/>
            </w:pPr>
            <w:bookmarkStart w:id="21" w:name="xdx_905_edei--Security12bTitle_c20260810"/>
            <w:bookmarkEnd w:id="21"/>
            <w:r>
              <w:rPr/>
              <w:t>7.375% Notes due 2031</w:t>
            </w:r>
          </w:p>
        </w:tc>
        <w:tc>
          <w:tcPr>
            <w:tcW w:w="1844" w:type="dxa"/>
            <w:tcBorders/>
            <w:vAlign w:val="center"/>
          </w:tcPr>
          <w:p>
            <w:pPr>
              <w:pStyle w:val="TableContents"/>
              <w:bidi w:val="0"/>
              <w:spacing w:before="0" w:after="283"/>
              <w:jc w:val="center"/>
              <w:rPr/>
            </w:pPr>
            <w:bookmarkStart w:id="22" w:name="xdx_90B_edei--TradingSymbol_c20260810__2"/>
            <w:bookmarkEnd w:id="22"/>
            <w:r>
              <w:rPr/>
              <w:t>PFLA</w:t>
            </w:r>
          </w:p>
        </w:tc>
        <w:tc>
          <w:tcPr>
            <w:tcW w:w="4459" w:type="dxa"/>
            <w:tcBorders/>
            <w:vAlign w:val="center"/>
          </w:tcPr>
          <w:p>
            <w:pPr>
              <w:pStyle w:val="TableContents"/>
              <w:bidi w:val="0"/>
              <w:spacing w:before="0" w:after="283"/>
              <w:jc w:val="center"/>
              <w:rPr/>
            </w:pPr>
            <w:bookmarkStart w:id="23" w:name="xdx_902_edei--SecurityExchangeName_c2026"/>
            <w:bookmarkEnd w:id="23"/>
            <w:r>
              <w:rPr/>
              <w:t>The New York Stock Exchange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sz w:val="20"/>
        </w:rPr>
      </w:pPr>
      <w:r>
        <w:rPr>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spacing w:before="0" w:after="0"/>
        <w:jc w:val="left"/>
        <w:rPr/>
      </w:pPr>
      <w:r>
        <w:rPr/>
        <w:t> </w:t>
      </w:r>
    </w:p>
    <w:p>
      <w:pPr>
        <w:pStyle w:val="TextBody"/>
        <w:bidi w:val="0"/>
        <w:spacing w:before="0" w:after="0"/>
        <w:jc w:val="left"/>
        <w:rPr>
          <w:sz w:val="20"/>
        </w:rPr>
      </w:pPr>
      <w:r>
        <w:rPr>
          <w:sz w:val="20"/>
        </w:rPr>
        <w:t xml:space="preserve">Emerging growth company </w:t>
      </w:r>
      <w:bookmarkStart w:id="24" w:name="xdx_900_edei--EntityEmergingGrowthCompan"/>
      <w:bookmarkEnd w:id="24"/>
      <w:r>
        <w:rPr>
          <w:sz w:val="20"/>
        </w:rPr>
        <w:t>☐</w:t>
      </w:r>
    </w:p>
    <w:p>
      <w:pPr>
        <w:pStyle w:val="TextBody"/>
        <w:bidi w:val="0"/>
        <w:spacing w:before="0" w:after="0"/>
        <w:jc w:val="left"/>
        <w:rPr/>
      </w:pPr>
      <w:r>
        <w:rPr/>
        <w:t> </w:t>
      </w:r>
    </w:p>
    <w:p>
      <w:pPr>
        <w:pStyle w:val="TextBody"/>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sz w:val="20"/>
        </w:rPr>
      </w:pPr>
      <w:r>
        <w:rPr>
          <w:b/>
          <w:sz w:val="20"/>
        </w:rPr>
        <w:t>Item 2.02. Results of Operations and Financial Condition</w:t>
      </w:r>
    </w:p>
    <w:p>
      <w:pPr>
        <w:pStyle w:val="TextBody"/>
        <w:bidi w:val="0"/>
        <w:spacing w:before="0" w:after="0"/>
        <w:jc w:val="left"/>
        <w:rPr/>
      </w:pPr>
      <w:r>
        <w:rPr/>
        <w:t> </w:t>
      </w:r>
    </w:p>
    <w:p>
      <w:pPr>
        <w:pStyle w:val="TextBody"/>
        <w:bidi w:val="0"/>
        <w:spacing w:before="0" w:after="0"/>
        <w:jc w:val="both"/>
        <w:rPr>
          <w:sz w:val="20"/>
        </w:rPr>
      </w:pPr>
      <w:r>
        <w:rPr>
          <w:sz w:val="20"/>
        </w:rPr>
        <w:t>On August 10, 2026, PennantPark Floating Rate Capital Ltd., or the Company, issued a press release announcing its financial results for the third fiscal quarter ended June 30, 2026. A copy of the press release is furnished as Exhibit 99.1 to this report pursuant to Item 2.02 on Form 8-K and Regulation FD.</w:t>
      </w:r>
    </w:p>
    <w:p>
      <w:pPr>
        <w:pStyle w:val="TextBody"/>
        <w:bidi w:val="0"/>
        <w:spacing w:before="0" w:after="0"/>
        <w:jc w:val="left"/>
        <w:rPr/>
      </w:pPr>
      <w:r>
        <w:rPr/>
        <w:t> </w:t>
      </w:r>
    </w:p>
    <w:p>
      <w:pPr>
        <w:pStyle w:val="TextBody"/>
        <w:bidi w:val="0"/>
        <w:spacing w:before="0" w:after="0"/>
        <w:jc w:val="both"/>
        <w:rPr>
          <w:sz w:val="20"/>
        </w:rPr>
      </w:pP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both"/>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t> </w:t>
      </w:r>
    </w:p>
    <w:p>
      <w:pPr>
        <w:pStyle w:val="TextBody"/>
        <w:bidi w:val="0"/>
        <w:spacing w:before="0" w:after="0"/>
        <w:jc w:val="both"/>
        <w:rPr>
          <w:sz w:val="20"/>
        </w:rPr>
      </w:pP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0"/>
        <w:jc w:val="both"/>
        <w:rPr>
          <w:sz w:val="20"/>
        </w:rPr>
      </w:pP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0"/>
        <w:jc w:val="left"/>
        <w:rPr/>
      </w:pPr>
      <w:r>
        <w:rPr/>
        <w:t> </w:t>
      </w:r>
    </w:p>
    <w:p>
      <w:pPr>
        <w:pStyle w:val="TextBody"/>
        <w:bidi w:val="0"/>
        <w:spacing w:before="0" w:after="0"/>
        <w:jc w:val="left"/>
        <w:rPr>
          <w:b/>
          <w:sz w:val="20"/>
        </w:rPr>
      </w:pPr>
      <w:r>
        <w:rPr>
          <w:b/>
          <w:sz w:val="20"/>
        </w:rPr>
        <w:t>Item 9.01. Financial Statements and Exhibits</w:t>
      </w:r>
    </w:p>
    <w:p>
      <w:pPr>
        <w:pStyle w:val="TextBody"/>
        <w:bidi w:val="0"/>
        <w:spacing w:before="0" w:after="0"/>
        <w:jc w:val="left"/>
        <w:rPr/>
      </w:pPr>
      <w:r>
        <w:rPr/>
        <w:t> </w:t>
      </w:r>
    </w:p>
    <w:tbl>
      <w:tblPr>
        <w:tblW w:w="2508" w:type="dxa"/>
        <w:jc w:val="left"/>
        <w:tblInd w:w="0" w:type="dxa"/>
        <w:tblLayout w:type="fixed"/>
        <w:tblCellMar>
          <w:top w:w="0" w:type="dxa"/>
          <w:left w:w="0" w:type="dxa"/>
          <w:bottom w:w="0" w:type="dxa"/>
          <w:right w:w="0" w:type="dxa"/>
        </w:tblCellMar>
      </w:tblPr>
      <w:tblGrid>
        <w:gridCol w:w="38"/>
        <w:gridCol w:w="29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2180" w:type="dxa"/>
            <w:tcBorders/>
            <w:vAlign w:val="center"/>
          </w:tcPr>
          <w:p>
            <w:pPr>
              <w:pStyle w:val="TableContents"/>
              <w:bidi w:val="0"/>
              <w:spacing w:before="0" w:after="283"/>
              <w:jc w:val="both"/>
              <w:rPr>
                <w:b/>
              </w:rPr>
            </w:pPr>
            <w:r>
              <w:rPr>
                <w:b/>
              </w:rPr>
              <w:t>Financial statements:</w:t>
            </w:r>
          </w:p>
        </w:tc>
      </w:tr>
    </w:tbl>
    <w:p>
      <w:pPr>
        <w:pStyle w:val="TextBody"/>
        <w:bidi w:val="0"/>
        <w:spacing w:before="0" w:after="0"/>
        <w:ind w:left="400" w:right="0" w:hanging="0"/>
        <w:jc w:val="left"/>
        <w:rPr>
          <w:sz w:val="20"/>
        </w:rPr>
      </w:pPr>
      <w:r>
        <w:rPr>
          <w:sz w:val="20"/>
        </w:rPr>
        <w:t>None</w:t>
      </w:r>
    </w:p>
    <w:tbl>
      <w:tblPr>
        <w:tblW w:w="3393" w:type="dxa"/>
        <w:jc w:val="left"/>
        <w:tblInd w:w="0" w:type="dxa"/>
        <w:tblLayout w:type="fixed"/>
        <w:tblCellMar>
          <w:top w:w="0" w:type="dxa"/>
          <w:left w:w="0" w:type="dxa"/>
          <w:bottom w:w="0" w:type="dxa"/>
          <w:right w:w="0" w:type="dxa"/>
        </w:tblCellMar>
      </w:tblPr>
      <w:tblGrid>
        <w:gridCol w:w="38"/>
        <w:gridCol w:w="29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both"/>
              <w:rPr/>
            </w:pPr>
            <w:r>
              <w:rPr/>
              <w:t>Pro forma financial information:</w:t>
            </w:r>
          </w:p>
        </w:tc>
      </w:tr>
    </w:tbl>
    <w:p>
      <w:pPr>
        <w:pStyle w:val="TextBody"/>
        <w:bidi w:val="0"/>
        <w:spacing w:before="0" w:after="0"/>
        <w:ind w:left="400" w:right="0" w:hanging="0"/>
        <w:jc w:val="left"/>
        <w:rPr>
          <w:sz w:val="20"/>
        </w:rPr>
      </w:pPr>
      <w:r>
        <w:rPr>
          <w:sz w:val="20"/>
        </w:rPr>
        <w:t>None</w:t>
      </w:r>
    </w:p>
    <w:tbl>
      <w:tblPr>
        <w:tblW w:w="2988" w:type="dxa"/>
        <w:jc w:val="left"/>
        <w:tblInd w:w="0" w:type="dxa"/>
        <w:tblLayout w:type="fixed"/>
        <w:tblCellMar>
          <w:top w:w="0" w:type="dxa"/>
          <w:left w:w="0" w:type="dxa"/>
          <w:bottom w:w="0" w:type="dxa"/>
          <w:right w:w="0" w:type="dxa"/>
        </w:tblCellMar>
      </w:tblPr>
      <w:tblGrid>
        <w:gridCol w:w="38"/>
        <w:gridCol w:w="275"/>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675" w:type="dxa"/>
            <w:tcBorders/>
            <w:vAlign w:val="center"/>
          </w:tcPr>
          <w:p>
            <w:pPr>
              <w:pStyle w:val="TableContents"/>
              <w:bidi w:val="0"/>
              <w:spacing w:before="0" w:after="283"/>
              <w:jc w:val="both"/>
              <w:rPr/>
            </w:pPr>
            <w:r>
              <w:rPr/>
              <w:t>Shell company transactions:</w:t>
            </w:r>
          </w:p>
        </w:tc>
      </w:tr>
    </w:tbl>
    <w:p>
      <w:pPr>
        <w:pStyle w:val="TextBody"/>
        <w:bidi w:val="0"/>
        <w:spacing w:before="0" w:after="0"/>
        <w:ind w:left="400" w:right="0" w:hanging="0"/>
        <w:jc w:val="left"/>
        <w:rPr>
          <w:sz w:val="20"/>
        </w:rPr>
      </w:pPr>
      <w:r>
        <w:rPr>
          <w:sz w:val="20"/>
        </w:rPr>
        <w:t>None</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jc w:val="left"/>
        <w:rPr/>
      </w:pPr>
      <w:r>
        <w:rPr/>
        <w:t> </w:t>
      </w:r>
    </w:p>
    <w:tbl>
      <w:tblPr>
        <w:tblW w:w="8058" w:type="dxa"/>
        <w:jc w:val="left"/>
        <w:tblInd w:w="0" w:type="dxa"/>
        <w:tblLayout w:type="fixed"/>
        <w:tblCellMar>
          <w:top w:w="0" w:type="dxa"/>
          <w:left w:w="0" w:type="dxa"/>
          <w:bottom w:w="0" w:type="dxa"/>
          <w:right w:w="0" w:type="dxa"/>
        </w:tblCellMar>
      </w:tblPr>
      <w:tblGrid>
        <w:gridCol w:w="38"/>
        <w:gridCol w:w="44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exh_991.htm">
              <w:r>
                <w:rPr>
                  <w:rStyle w:val="InternetLink"/>
                </w:rPr>
                <w:t>99.1</w:t>
              </w:r>
            </w:hyperlink>
          </w:p>
        </w:tc>
        <w:tc>
          <w:tcPr>
            <w:tcW w:w="7580" w:type="dxa"/>
            <w:tcBorders/>
            <w:vAlign w:val="center"/>
          </w:tcPr>
          <w:p>
            <w:pPr>
              <w:pStyle w:val="TableContents"/>
              <w:bidi w:val="0"/>
              <w:spacing w:before="0" w:after="283"/>
              <w:jc w:val="both"/>
              <w:rPr/>
            </w:pPr>
            <w:hyperlink w:anchor="exh_991.htm">
              <w:r>
                <w:rPr>
                  <w:rStyle w:val="InternetLink"/>
                </w:rPr>
                <w:t>Press Release of PennantPark Floating Rate Capital Ltd. dated August 10, 2026</w:t>
              </w:r>
            </w:hyperlink>
          </w:p>
        </w:tc>
      </w:tr>
    </w:tbl>
    <w:tbl>
      <w:tblPr>
        <w:tblW w:w="8043" w:type="dxa"/>
        <w:jc w:val="left"/>
        <w:tblInd w:w="0" w:type="dxa"/>
        <w:tblLayout w:type="fixed"/>
        <w:tblCellMar>
          <w:top w:w="0" w:type="dxa"/>
          <w:left w:w="0" w:type="dxa"/>
          <w:bottom w:w="0" w:type="dxa"/>
          <w:right w:w="0" w:type="dxa"/>
        </w:tblCellMar>
      </w:tblPr>
      <w:tblGrid>
        <w:gridCol w:w="38"/>
        <w:gridCol w:w="38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w:t>
      </w:r>
    </w:p>
    <w:p>
      <w:pPr>
        <w:pStyle w:val="TextBody"/>
        <w:bidi w:val="0"/>
        <w:spacing w:before="0" w:after="0"/>
        <w:jc w:val="center"/>
        <w:rPr/>
      </w:pPr>
      <w:r>
        <w:rPr/>
        <w:t> </w:t>
      </w:r>
    </w:p>
    <w:p>
      <w:pPr>
        <w:pStyle w:val="TextBody"/>
        <w:bidi w:val="0"/>
        <w:spacing w:before="0" w:after="0"/>
        <w:jc w:val="left"/>
        <w:rPr>
          <w:sz w:val="20"/>
        </w:rPr>
      </w:pPr>
      <w:r>
        <w:rPr>
          <w:sz w:val="20"/>
        </w:rPr>
        <w:t>Pursuant to the requirements of the Exchange Act, the registrant has duly caused this report to be signed on its behalf by the undersigned hereunto duly authorized.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970"/>
        <w:gridCol w:w="60"/>
        <w:gridCol w:w="4580"/>
      </w:tblGrid>
      <w:tr>
        <w:trPr/>
        <w:tc>
          <w:tcPr>
            <w:tcW w:w="1970" w:type="dxa"/>
            <w:tcBorders/>
            <w:vAlign w:val="center"/>
          </w:tcPr>
          <w:p>
            <w:pPr>
              <w:pStyle w:val="TableContents"/>
              <w:bidi w:val="0"/>
              <w:spacing w:before="0" w:after="283"/>
              <w:jc w:val="left"/>
              <w:rPr>
                <w:sz w:val="20"/>
              </w:rPr>
            </w:pPr>
            <w:r>
              <w:rPr>
                <w:sz w:val="20"/>
              </w:rPr>
              <w:t>Dated: August 10, 2026</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b/>
                <w:sz w:val="20"/>
              </w:rPr>
            </w:pPr>
            <w:r>
              <w:rPr>
                <w:b/>
                <w:sz w:val="20"/>
              </w:rPr>
              <w:t>PENNANTPARK FLOATING RATE CAPITAL LTD.</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rPr>
              <w:t>By:   </w:t>
            </w:r>
            <w:r>
              <w:rPr>
                <w:sz w:val="20"/>
                <w:u w:val="single"/>
              </w:rPr>
              <w:t>/s/ Richard T. Allorto, Jr.</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rPr>
              <w:t>Richard T. Allorto, Jr.</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i/>
                <w:sz w:val="20"/>
              </w:rPr>
            </w:pPr>
            <w:r>
              <w:rPr>
                <w:i/>
                <w:sz w:val="20"/>
              </w:rPr>
              <w:t>Chief Financial Officer &amp; Treasurer</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right"/>
        <w:rPr/>
      </w:pPr>
      <w:bookmarkStart w:id="25" w:name="exh_991.htm"/>
      <w:bookmarkStart w:id="26" w:name="ksexh_991"/>
      <w:bookmarkEnd w:id="25"/>
      <w:bookmarkEnd w:id="26"/>
      <w:r>
        <w:rPr>
          <w:rStyle w:val="StrongEmphasis"/>
        </w:rPr>
        <w:t>EXHIBIT 99.1</w:t>
      </w:r>
      <w:r>
        <w:br w:type="page"/>
      </w:r>
    </w:p>
    <w:p>
      <w:pPr>
        <w:pStyle w:val="TextBody"/>
        <w:bidi w:val="0"/>
        <w:jc w:val="center"/>
        <w:rPr/>
      </w:pPr>
      <w:r>
        <w:rPr>
          <w:rStyle w:val="StrongEmphasis"/>
        </w:rPr>
        <w:t>PennantPark Floating Rate Capital Ltd. Announces Financial Results for the Third Quarter Ended June 30, 2026</w:t>
      </w:r>
    </w:p>
    <w:p>
      <w:pPr>
        <w:pStyle w:val="TextBody"/>
        <w:bidi w:val="0"/>
        <w:jc w:val="both"/>
        <w:rPr/>
      </w:pPr>
      <w:r>
        <w:rPr/>
        <w:t>MIAMI, Aug. 10, 2026 (GLOBE NEWSWIRE) -- PennantPark Floating Rate Capital Ltd. (NYSE: PFLT) announced today its financial results for the third quarter ended June 30, 2026.</w:t>
      </w:r>
    </w:p>
    <w:p>
      <w:pPr>
        <w:pStyle w:val="TextBody"/>
        <w:bidi w:val="0"/>
        <w:spacing w:before="0" w:after="283"/>
        <w:jc w:val="left"/>
        <w:rPr/>
      </w:pPr>
      <w:r>
        <w:rPr>
          <w:rStyle w:val="StrongEmphasis"/>
        </w:rPr>
        <w:t>HIGHLIGHTS</w:t>
      </w:r>
      <w:r>
        <w:rPr/>
        <w:br/>
        <w:t>Quarter ended June 30, 2026 (Unaudited)</w:t>
        <w:br/>
        <w:t>($ in millions, except per share amounts)</w:t>
      </w:r>
    </w:p>
    <w:tbl>
      <w:tblPr>
        <w:tblW w:w="8857" w:type="dxa"/>
        <w:jc w:val="center"/>
        <w:tblInd w:w="0" w:type="dxa"/>
        <w:tblLayout w:type="fixed"/>
        <w:tblCellMar>
          <w:top w:w="28" w:type="dxa"/>
          <w:left w:w="28" w:type="dxa"/>
          <w:bottom w:w="28" w:type="dxa"/>
          <w:right w:w="28" w:type="dxa"/>
        </w:tblCellMar>
      </w:tblPr>
      <w:tblGrid>
        <w:gridCol w:w="6946"/>
        <w:gridCol w:w="146"/>
        <w:gridCol w:w="146"/>
        <w:gridCol w:w="146"/>
        <w:gridCol w:w="226"/>
        <w:gridCol w:w="826"/>
        <w:gridCol w:w="421"/>
      </w:tblGrid>
      <w:tr>
        <w:trPr/>
        <w:tc>
          <w:tcPr>
            <w:tcW w:w="6946" w:type="dxa"/>
            <w:tcBorders/>
            <w:vAlign w:val="center"/>
          </w:tcPr>
          <w:p>
            <w:pPr>
              <w:pStyle w:val="TableContents"/>
              <w:bidi w:val="0"/>
              <w:spacing w:before="0" w:after="283"/>
              <w:jc w:val="left"/>
              <w:rPr/>
            </w:pPr>
            <w:r>
              <w:rPr/>
              <w:t>Assets and Liabilities: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2,504.7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1,017.6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10.26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(2.0</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Credit Facility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318.3</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2029 Notes,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196.2</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2031 Notes,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101.3</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2036-R Asset-Backed Debt,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286.6</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2037 Asset-Backed Debt,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387.3</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2038-R Asset-Backed Debt,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284.9</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Debt to equity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1.56x</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Weighted average yield on debt investments at quarter-end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9.8</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Operating Results: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25.9</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 per share (GAAP)</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Distributions declared per share - base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0.2850</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Distributions declared per share - supplemental</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0.0033</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Portfolio Activity: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212.1</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271.7</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PSSL Portfolio data: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1,139.9</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37.3</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99.7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PSSL II Portfolio data: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II investment portfolio</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320.1</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9.8</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29.6</w:t>
            </w:r>
          </w:p>
        </w:tc>
        <w:tc>
          <w:tcPr>
            <w:tcW w:w="421"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w:t>
      </w:r>
    </w:p>
    <w:tbl>
      <w:tblPr>
        <w:tblW w:w="10205" w:type="dxa"/>
        <w:jc w:val="left"/>
        <w:tblInd w:w="0" w:type="dxa"/>
        <w:tblLayout w:type="fixed"/>
        <w:tblCellMar>
          <w:top w:w="28" w:type="dxa"/>
          <w:left w:w="28" w:type="dxa"/>
          <w:bottom w:w="28" w:type="dxa"/>
          <w:right w:w="28" w:type="dxa"/>
        </w:tblCellMar>
      </w:tblPr>
      <w:tblGrid>
        <w:gridCol w:w="327"/>
        <w:gridCol w:w="146"/>
        <w:gridCol w:w="9732"/>
      </w:tblGrid>
      <w:tr>
        <w:trPr/>
        <w:tc>
          <w:tcPr>
            <w:tcW w:w="327" w:type="dxa"/>
            <w:tcBorders/>
            <w:vAlign w:val="center"/>
          </w:tcPr>
          <w:p>
            <w:pPr>
              <w:pStyle w:val="TableContents"/>
              <w:bidi w:val="0"/>
              <w:spacing w:before="0" w:after="283"/>
              <w:jc w:val="right"/>
              <w:rPr/>
            </w:pPr>
            <w:r>
              <w:rPr/>
              <w:t>(1)</w:t>
            </w:r>
          </w:p>
        </w:tc>
        <w:tc>
          <w:tcPr>
            <w:tcW w:w="146" w:type="dxa"/>
            <w:tcBorders/>
            <w:vAlign w:val="center"/>
          </w:tcPr>
          <w:p>
            <w:pPr>
              <w:pStyle w:val="TableContents"/>
              <w:bidi w:val="0"/>
              <w:spacing w:before="0" w:after="283"/>
              <w:jc w:val="left"/>
              <w:rPr/>
            </w:pPr>
            <w:r>
              <w:rPr/>
              <w:t> </w:t>
            </w:r>
          </w:p>
        </w:tc>
        <w:tc>
          <w:tcPr>
            <w:tcW w:w="9732" w:type="dxa"/>
            <w:tcBorders/>
            <w:vAlign w:val="center"/>
          </w:tcPr>
          <w:p>
            <w:pPr>
              <w:pStyle w:val="TableContents"/>
              <w:bidi w:val="0"/>
              <w:spacing w:before="0" w:after="283"/>
              <w:jc w:val="both"/>
              <w:rPr/>
            </w:pPr>
            <w:r>
              <w:rPr/>
              <w:t>Includes investments in PennantPark Senior Secured Loan Fund I LLC, or PSSL, an unconsolidated joint venture, totaling $290.3 million, at fair value.</w:t>
            </w:r>
          </w:p>
        </w:tc>
      </w:tr>
      <w:tr>
        <w:trPr/>
        <w:tc>
          <w:tcPr>
            <w:tcW w:w="327" w:type="dxa"/>
            <w:tcBorders/>
            <w:vAlign w:val="center"/>
          </w:tcPr>
          <w:p>
            <w:pPr>
              <w:pStyle w:val="TableContents"/>
              <w:bidi w:val="0"/>
              <w:spacing w:before="0" w:after="283"/>
              <w:jc w:val="right"/>
              <w:rPr/>
            </w:pPr>
            <w:r>
              <w:rPr/>
              <w:t>(2)</w:t>
            </w:r>
          </w:p>
        </w:tc>
        <w:tc>
          <w:tcPr>
            <w:tcW w:w="146" w:type="dxa"/>
            <w:tcBorders/>
            <w:vAlign w:val="center"/>
          </w:tcPr>
          <w:p>
            <w:pPr>
              <w:pStyle w:val="TableContents"/>
              <w:bidi w:val="0"/>
              <w:spacing w:before="0" w:after="283"/>
              <w:jc w:val="left"/>
              <w:rPr/>
            </w:pPr>
            <w:r>
              <w:rPr/>
              <w:t> </w:t>
            </w:r>
          </w:p>
        </w:tc>
        <w:tc>
          <w:tcPr>
            <w:tcW w:w="9732" w:type="dxa"/>
            <w:tcBorders/>
            <w:vAlign w:val="center"/>
          </w:tcPr>
          <w:p>
            <w:pPr>
              <w:pStyle w:val="TableContents"/>
              <w:bidi w:val="0"/>
              <w:spacing w:before="0" w:after="283"/>
              <w:jc w:val="both"/>
              <w:rPr/>
            </w:pPr>
            <w:r>
              <w:rPr/>
              <w:t>Includes investments in PennatPark Senior Secured Loan Fund II LLC, or PSSL II, an unconsolidated joint venture, totaling $93.4 million, at fair value.</w:t>
            </w:r>
          </w:p>
        </w:tc>
      </w:tr>
      <w:tr>
        <w:trPr/>
        <w:tc>
          <w:tcPr>
            <w:tcW w:w="327" w:type="dxa"/>
            <w:tcBorders/>
            <w:vAlign w:val="center"/>
          </w:tcPr>
          <w:p>
            <w:pPr>
              <w:pStyle w:val="TableContents"/>
              <w:bidi w:val="0"/>
              <w:spacing w:before="0" w:after="283"/>
              <w:jc w:val="right"/>
              <w:rPr/>
            </w:pPr>
            <w:r>
              <w:rPr/>
              <w:t>(3)</w:t>
            </w:r>
          </w:p>
        </w:tc>
        <w:tc>
          <w:tcPr>
            <w:tcW w:w="146" w:type="dxa"/>
            <w:tcBorders/>
            <w:vAlign w:val="center"/>
          </w:tcPr>
          <w:p>
            <w:pPr>
              <w:pStyle w:val="TableContents"/>
              <w:bidi w:val="0"/>
              <w:spacing w:before="0" w:after="283"/>
              <w:jc w:val="left"/>
              <w:rPr/>
            </w:pPr>
            <w:r>
              <w:rPr/>
              <w:t> </w:t>
            </w:r>
          </w:p>
        </w:tc>
        <w:tc>
          <w:tcPr>
            <w:tcW w:w="9732" w:type="dxa"/>
            <w:tcBorders/>
            <w:vAlign w:val="center"/>
          </w:tcPr>
          <w:p>
            <w:pPr>
              <w:pStyle w:val="TableContents"/>
              <w:bidi w:val="0"/>
              <w:spacing w:before="0" w:after="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2026, there were no one-time events resulting in $0.26 of Core NII.</w:t>
            </w:r>
          </w:p>
        </w:tc>
      </w:tr>
      <w:tr>
        <w:trPr/>
        <w:tc>
          <w:tcPr>
            <w:tcW w:w="32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32"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CONFERENCE CALL AT 9:00 A.M. ET ON AUGUST 11, 2026</w:t>
      </w:r>
    </w:p>
    <w:p>
      <w:pPr>
        <w:pStyle w:val="TextBody"/>
        <w:bidi w:val="0"/>
        <w:jc w:val="both"/>
        <w:rPr/>
      </w:pPr>
      <w:r>
        <w:rPr/>
        <w:t>The Company will also host a conference call at 9:00 a.m. (Eastern Time) on Tuesday, August 11,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#2261035 or PennantPark Floating Rate Capital Ltd.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w:t>
      </w:r>
      <w:r>
        <w:rPr/>
        <w:t>We are pleased to continue to find attractive risk adjusted returns in the core middle market with conservative portfolio company leverage, low PIK interest and covenant protections. Our exposure to the Government Services and Defense sector continues to outperform. We are delighted with the meaningful realization during the quarter from an equity co-investment in a leading defense technology company. The ramp of PSSL II continues on plan and should generate substantial earnings overtime,” said Art Penn, Chairman and CEO.</w:t>
      </w:r>
    </w:p>
    <w:p>
      <w:pPr>
        <w:pStyle w:val="TextBody"/>
        <w:bidi w:val="0"/>
        <w:jc w:val="both"/>
        <w:rPr/>
      </w:pPr>
      <w:r>
        <w:rPr/>
        <w:t>As of June 30, 2026, our portfolio totaled $2,504.7 million, and consisted of $2,230.7 million of first lien secured debt (including $237.7 million in PSSL and $65.6 million in PSSL II), $19.7 million of subordinated debt and $254.3 million of preferred and common equity (including $52.7 million in PSSL and $27.8 million in PSSL II). Our debt portfolio consisted of approximately 99% variable-rate investments. As of June 30, 2026, we had four portfolio companies on non-accrual, representing 1.0% and 0.4% of our overall portfolio on a cost and fair value basis, respectively. As of June 30, 2026, the portfolio had net unrealized depreciation of $122.8 million. Our overall portfolio consisted of 159 companies with an average investment size of $15.8 million and had a weighted average yield on debt investments of 9.8%.</w:t>
      </w:r>
    </w:p>
    <w:p>
      <w:pPr>
        <w:pStyle w:val="TextBody"/>
        <w:bidi w:val="0"/>
        <w:jc w:val="both"/>
        <w:rPr/>
      </w:pPr>
      <w:r>
        <w:rPr/>
        <w:t>As of September 30, 2025, our portfolio totaled $2,773.3 million and consisted of $2,513.6 million of first lien secured debt (including $237.7 million in PSSL), $19.0 million of second lien and subordinated debt and $240.7 million of preferred and common equity (including $44.3 million in PSSL). Our debt portfolio consisted of approximately 99% variable-rate investments. As of September 30, 2025, we had three portfolio companies on non-accrual, representing 0.4% and 0.2% of our overall portfolio on a cost and fair value basis, respectively. As of September 30, 2025, the portfolio had net unrealized depreciation of $46.1 million. Our overall portfolio consisted of 164 companies with an average investment size of $16.9 million, and a weighted average yield on debt investments of 10.2%.</w:t>
      </w:r>
    </w:p>
    <w:p>
      <w:pPr>
        <w:pStyle w:val="TextBody"/>
        <w:bidi w:val="0"/>
        <w:jc w:val="both"/>
        <w:rPr/>
      </w:pPr>
      <w:r>
        <w:rPr/>
        <w:t>For the three months ended June 30, 2026, we invested $212.1 million in five new and 51 existing portfolio companies at a weighted average yield on debt investments of 9.0%. Sales and repayments of investments for the same period totaled $271.7 million including $37.1 million of sales to PSSL and $9.8 million of sales to PSSL II. For the nine months ended June 30, 2026, we invested $807.9 million in 15 new and 86 existing portfolio companies with a weighted average yield on debt investments of 9.5%. Sales and repayments of investments for the same period totaled $1,041.2 million including $226.5 million of sales to PSSL and $354.3 million of sales to PSSL II.</w:t>
      </w:r>
    </w:p>
    <w:p>
      <w:pPr>
        <w:pStyle w:val="TextBody"/>
        <w:bidi w:val="0"/>
        <w:jc w:val="both"/>
        <w:rPr/>
      </w:pPr>
      <w:r>
        <w:rPr/>
        <w:t>For the three months ended June 30, 2025 we invested $208.1 million in four new and 17 existing portfolio companies at a weighted average yield on debt investments of 10.1%. Sales and repayments of investments for the same period totaled $145.8 million including $51.8 million of sales to PSSL. For the nine months ended June 30, 2025, we invested $1,108.3 million in 18 new and 112 existing portfolio companies with a weighted average yield on debt investments of 10.2%. Sales and repayments of investments for the same period totaled $669.5 million, including $292.4 million of sales to PSSL.</w:t>
      </w:r>
    </w:p>
    <w:p>
      <w:pPr>
        <w:pStyle w:val="TextBody"/>
        <w:bidi w:val="0"/>
        <w:jc w:val="both"/>
        <w:rPr/>
      </w:pPr>
      <w:r>
        <w:rPr>
          <w:rStyle w:val="StrongEmphasis"/>
        </w:rPr>
        <w:t>PennantPark Senior Secured Loan Fund I LLC</w:t>
      </w:r>
    </w:p>
    <w:p>
      <w:pPr>
        <w:pStyle w:val="TextBody"/>
        <w:bidi w:val="0"/>
        <w:jc w:val="both"/>
        <w:rPr/>
      </w:pPr>
      <w:r>
        <w:rPr/>
        <w:t>As of June 30, 2026, PSSL’s portfolio totaled $1,139.9 million, consisted of 120 companies with an average investment size of $9.5 million and had a weighted average yield on debt investments of 9.5%. As of September 30, 2025, PSSL’s portfolio totaled $1,084.6 million, consisted of 117 companies with an average investment size of $9.3 million and had a weighted average yield on debt investments of 10.1%.</w:t>
      </w:r>
    </w:p>
    <w:p>
      <w:pPr>
        <w:pStyle w:val="TextBody"/>
        <w:bidi w:val="0"/>
        <w:jc w:val="both"/>
        <w:rPr/>
      </w:pPr>
      <w:r>
        <w:rPr/>
        <w:t>For the three months ended June 30, 2026, PSSL invested $37.3 million (including $37.1 million purchase from the Company) in six new and two existing portfolio companies with a weighted average yield on debt investments of 9.2%. PSSL’s sales and repayments of investments for the same period totaled $99.7 million. For the nine months ended June 30, 2026, PSSL invested $229.7 million (including $226.5 million purchase from the Company) in 13 new and 22 existing portfolio companies with a weighted average yield on debt investments of 9.3%. PSSL's sales and repayments of investments for the same period totaled $144.2 million.</w:t>
      </w:r>
    </w:p>
    <w:p>
      <w:pPr>
        <w:pStyle w:val="TextBody"/>
        <w:bidi w:val="0"/>
        <w:jc w:val="both"/>
        <w:rPr/>
      </w:pPr>
      <w:r>
        <w:rPr/>
        <w:t>For the three months ended June 30, 2025, PSSL invested $52.3 million (including $51.8 million purchase from the Company) in seven new and two existing portfolio companies with a weighted average yield on debt investments of 10.8%. PSSL’s sales and repayments of investments for the same period totaled $53.8 million. For the nine months ended June 30, 2025, PSSL invested $337.2 million (including $292.4 million purchased from the Company) in 28 new and 13 existing portfolio companies with a weighted average yield on debt investments of 10.3%. PSSL’s sales and repayments of investments for the same period totaled $177.2 million.</w:t>
      </w:r>
    </w:p>
    <w:p>
      <w:pPr>
        <w:pStyle w:val="TextBody"/>
        <w:bidi w:val="0"/>
        <w:jc w:val="both"/>
        <w:rPr/>
      </w:pPr>
      <w:r>
        <w:rPr>
          <w:rStyle w:val="StrongEmphasis"/>
        </w:rPr>
        <w:t>PennantPark Senior Secured Loan Fund II LLC</w:t>
      </w:r>
    </w:p>
    <w:p>
      <w:pPr>
        <w:pStyle w:val="TextBody"/>
        <w:bidi w:val="0"/>
        <w:jc w:val="both"/>
        <w:rPr/>
      </w:pPr>
      <w:r>
        <w:rPr/>
        <w:t>As of June 30, 2026, PSSL II’s portfolio totaled $320.1 million and consisted of 52 companies with an average investment size of $6.2 million and at a weighted average yield on debt investments of 9.0%.</w:t>
      </w:r>
    </w:p>
    <w:p>
      <w:pPr>
        <w:pStyle w:val="TextBody"/>
        <w:bidi w:val="0"/>
        <w:jc w:val="both"/>
        <w:rPr/>
      </w:pPr>
      <w:r>
        <w:rPr/>
        <w:t>For the three months ended June 30, 2026, PSSL II invested $9.8 million (including $9.8 million purchased from the Company) in one new and one existing portfolio companies at a weighted average yield on debt investments of 9.6%. Sales and repayments of investments for the three months ended June 30, 2026 totaled $29.6 million. For the nine months ended June 30, 2026, PSSL II invested $354.3 million (including $354.3 million purchased from the Company) in 55 new and zero existing portfolio companies at a weighted average yield on debt investments of 9.1%. Sales and repayments for the same period totaled $33.8 million.</w:t>
      </w:r>
    </w:p>
    <w:p>
      <w:pPr>
        <w:pStyle w:val="TextBody"/>
        <w:bidi w:val="0"/>
        <w:jc w:val="both"/>
        <w:rPr/>
      </w:pPr>
      <w:r>
        <w:rPr>
          <w:rStyle w:val="StrongEmphasis"/>
        </w:rPr>
        <w:t xml:space="preserve">RESULTS OF OPERATIONS </w:t>
      </w:r>
    </w:p>
    <w:p>
      <w:pPr>
        <w:pStyle w:val="TextBody"/>
        <w:bidi w:val="0"/>
        <w:spacing w:before="0" w:after="283"/>
        <w:jc w:val="left"/>
        <w:rPr/>
      </w:pPr>
      <w:r>
        <w:rPr/>
        <w:t>Set forth below are the results of operations for the three and nine months ended June 30, 2026 and 2025.</w:t>
      </w:r>
    </w:p>
    <w:p>
      <w:pPr>
        <w:pStyle w:val="TextBody"/>
        <w:bidi w:val="0"/>
        <w:jc w:val="both"/>
        <w:rPr/>
      </w:pPr>
      <w:r>
        <w:rPr>
          <w:rStyle w:val="StrongEmphasis"/>
        </w:rPr>
        <w:t>Investment Income</w:t>
      </w:r>
    </w:p>
    <w:p>
      <w:pPr>
        <w:pStyle w:val="TextBody"/>
        <w:bidi w:val="0"/>
        <w:jc w:val="both"/>
        <w:rPr/>
      </w:pPr>
      <w:r>
        <w:rPr/>
        <w:t>For the three and nine months ended June 30, 2026 investment income was $66.1 million and $202.1 million, respectively, which was attributable to $58.9 million and $181.8 million from first lien secured debt and $7.2 million and $20.3 million from other investments, respectively. For the three and nine months ended June 30, 2025, investment income was $63.5 million and $192.4 million, respectively, which was attributable to $57.9 million and $175.1 million from first lien secured debt and $5.6 million and $17.3 million from other investments, respectively. The increase in investment income for the three and nine months ended June 30, 2026, was primarily due to the increase in the size of our debt portfolio.</w:t>
      </w:r>
    </w:p>
    <w:p>
      <w:pPr>
        <w:pStyle w:val="TextBody"/>
        <w:bidi w:val="0"/>
        <w:jc w:val="both"/>
        <w:rPr/>
      </w:pPr>
      <w:r>
        <w:rPr>
          <w:rStyle w:val="StrongEmphasis"/>
        </w:rPr>
        <w:t>Expenses</w:t>
      </w:r>
    </w:p>
    <w:p>
      <w:pPr>
        <w:pStyle w:val="TextBody"/>
        <w:bidi w:val="0"/>
        <w:jc w:val="both"/>
        <w:rPr/>
      </w:pPr>
      <w:r>
        <w:rPr/>
        <w:t>For the three and nine months ended June 30, 2026, expenses totaled $40.2 million and $123.8 million, respectively and were comprised of: $25.0 million and $76.3 million of debt related interest and expenses, $6.4 million and $19.6 million of base management fees, $6.5 million and $19.6 million of performance-based incentive fees, $2.3 million and $$6.5 million of general and administrative expenses, $0.1 million and $0.3 million of taxes and zero and $1.6 million in Credit Facility amendment and debt issuance costs. For the three and nine months ended June 30, 2025, expenses totaled $38.9 million and $112.8 million, respectively and were comprised of: $22.5 million and $67.4 million of debt related interest and expenses, $5.9 million and $16.8 million of base management fees, $5.4 million and $19.1 million of performance-based incentive fees, $2.0 million and $5.5 million of general and administrative expenses, $0.2 million and $0.7 million of taxes and $2.9 million and $3.3 million in Credit Facility amendment costs. The increase in expenses for the three and nine months ended June 30, 2026, was primarily due to the increase in interest expense from increased borrowings as a result of the increase in our investment portfolio.</w:t>
      </w:r>
    </w:p>
    <w:p>
      <w:pPr>
        <w:pStyle w:val="TextBody"/>
        <w:bidi w:val="0"/>
        <w:jc w:val="both"/>
        <w:rPr/>
      </w:pPr>
      <w:r>
        <w:rPr>
          <w:rStyle w:val="StrongEmphasis"/>
        </w:rPr>
        <w:t>Net Investment Income</w:t>
      </w:r>
    </w:p>
    <w:p>
      <w:pPr>
        <w:pStyle w:val="TextBody"/>
        <w:bidi w:val="0"/>
        <w:jc w:val="both"/>
        <w:rPr/>
      </w:pPr>
      <w:r>
        <w:rPr/>
        <w:t>For the three and nine months ended June 30, 2026 net investment income totaled $25.9 million or $0.26 per share, and $78.3 million or $0.79 per share, respectively. For the three and nine months ended June 30, 2025 net investment income totaled $24.6 million or $0.25 per share, and $79.6 million or $0.88 per share, respectively. The decrease in net investment income for the nine months ended June 30, 2026, was primarily due to an increase in interest expense.</w:t>
      </w:r>
    </w:p>
    <w:p>
      <w:pPr>
        <w:pStyle w:val="TextBody"/>
        <w:bidi w:val="0"/>
        <w:jc w:val="both"/>
        <w:rPr/>
      </w:pPr>
      <w:r>
        <w:rPr>
          <w:rStyle w:val="StrongEmphasis"/>
        </w:rPr>
        <w:t>Net Realized Gains or Losses</w:t>
      </w:r>
    </w:p>
    <w:p>
      <w:pPr>
        <w:pStyle w:val="TextBody"/>
        <w:bidi w:val="0"/>
        <w:jc w:val="both"/>
        <w:rPr/>
      </w:pPr>
      <w:r>
        <w:rPr/>
        <w:t>For the three and nine months ended June 30, 2026 net realized gains (losses) totaled $37.3 million and $29.9 million, respectively. For the three and nine months ended June 30, 2025 net realized gains (losses) totaled $(14.8) million and $8.4 million, respectively. The change in net realized gains (losses) was primarily due to changes in the market conditions of our investments and the values at which investments were realized.</w:t>
      </w:r>
    </w:p>
    <w:p>
      <w:pPr>
        <w:pStyle w:val="TextBody"/>
        <w:bidi w:val="0"/>
        <w:spacing w:before="0" w:after="283"/>
        <w:jc w:val="left"/>
        <w:rPr/>
      </w:pPr>
      <w:r>
        <w:rPr>
          <w:rStyle w:val="StrongEmphasis"/>
        </w:rPr>
        <w:t>Unrealized Appreciation or Depreciation on Investments and Debt</w:t>
      </w:r>
    </w:p>
    <w:p>
      <w:pPr>
        <w:pStyle w:val="TextBody"/>
        <w:bidi w:val="0"/>
        <w:jc w:val="both"/>
        <w:rPr/>
      </w:pPr>
      <w:r>
        <w:rPr/>
        <w:t>For the three and nine months ended June 30, 2026, we reported net change in unrealized appreciation (depreciation) on investments of $(56.6) million and $(76.7) million, respectively. For the three and nine months ended June 30, 2025 we reported net change in unrealized appreciation (depreciation) on investments of $9.9 million and $(39.9) million, respectively. As of June 30, 2026 and September 30, 2025, our net unrealized appreciation (depreciation) on investments totaled $(122.8) million and $(46.1)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pStyle w:val="TextBody"/>
        <w:bidi w:val="0"/>
        <w:jc w:val="both"/>
        <w:rPr/>
      </w:pPr>
      <w:r>
        <w:rPr/>
        <w:t>For the three and nine months ended June 30, 2026, our Credit Facility had a net change in unrealized appreciation (depreciation) of less than $0.1 million and less than $0.1 million, respectively. For the three and nine months ended June 30, 2025, our Credit Facility had a net change in unrealized appreciation (depreciation) of $(0.1) million and less than $0.1 million, respectively. As of June 30, 2026 and September 30, 2025, the net unrealized appreciation (depreciation) on the Credit Facility totaled zero and zero, respectively. The net change in net unrealized (appreciation) or depreciation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nine months ended June 30, 2026, net increase (decrease) in net assets resulting from operations totaled $7.6 million or $0.08 per share and $32.7 million, or $0.33 per share, respectively. For the three and nine months ended June 30, 2025, net increase (decrease) in net assets resulting from operations totaled $19.3 million or $0.19 per share and $48.9 million or $0.54 per share, respectively. The net increase or (decrease) from operations for the three and nine months ended June 30, 2026, was primarily due to operating performance of our portfolio and changes in capital market conditions of our investments along with change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In June 2026, we issued $105.0 million in aggregate principal amount of unsecured 2031 Notes. The effective interest rate on the 2031 Notes is 7.375% and they mature in June 2031.</w:t>
      </w:r>
    </w:p>
    <w:p>
      <w:pPr>
        <w:pStyle w:val="TextBody"/>
        <w:bidi w:val="0"/>
        <w:jc w:val="both"/>
        <w:rPr/>
      </w:pPr>
      <w:r>
        <w:rPr/>
        <w:t>For the nine months ended June 30, 2026 and 2025, the annualized weighted average cost of debt, inclusive of the fee on the undrawn commitment on the Credit Facility, amendment costs and debt issuance costs, was 6.1% and 6.9%, respectively. As of June 30, 2026 and September 30, 2025 we had $449.7 million and $34.1 million of unused borrowing capacity under the Credit Facility, respectively, subject to leverage and borrowing base restrictions.</w:t>
      </w:r>
    </w:p>
    <w:p>
      <w:pPr>
        <w:pStyle w:val="TextBody"/>
        <w:bidi w:val="0"/>
        <w:jc w:val="both"/>
        <w:rPr/>
      </w:pPr>
      <w:r>
        <w:rPr/>
        <w:t>As of June 30, 2026 and September 30, 2025, we had cash and cash equivalents of $100.8 million and $122.7 million, respectively, available for investing and general corporate purposes. We believe our liquidity and capital resources are sufficient to take advantage of market opportunities.</w:t>
      </w:r>
    </w:p>
    <w:p>
      <w:pPr>
        <w:pStyle w:val="TextBody"/>
        <w:bidi w:val="0"/>
        <w:jc w:val="both"/>
        <w:rPr/>
      </w:pPr>
      <w:r>
        <w:rPr/>
        <w:t>During the three and nine months ended June 30, 2026, we did not issue any shares of our common stock under the ATM Programs. During the three and nine months ended June 30, 2025, we issued 2,800,000 shares and 21,638,000 shares of our common stock under the ATM Programs, respectively, at an average price of $11.31 per share and $11.34 per share raising $31.6 million and $244.8 million of net proceeds after commissions to the Sales Agents and inclusive of proceeds from the Investment Adviser to ensure that all shares were sold at or above NAV, respectively.</w:t>
      </w:r>
    </w:p>
    <w:p>
      <w:pPr>
        <w:pStyle w:val="TextBody"/>
        <w:bidi w:val="0"/>
        <w:jc w:val="both"/>
        <w:rPr/>
      </w:pPr>
      <w:r>
        <w:rPr/>
        <w:t>For the nine months ended June 30, 2026, our operating activities provided cash of $276.1 million and our financing activities used cash of $298.0 million. Our operating activities provided cash primarily due to our investment activities and our financing activities used cash primarily due to repayments of our Credit Facility and 2026 Notes offset by proceeds received from the sales of $28.5 million of 2037 Class D Notes, $21.0 million of 2036-R Asset-Backed Debt D-R Notes to third parties and the issuance of $200.0 million of our 2029 Notes and the issuance of $105.0 million of our 2031 Notes.</w:t>
      </w:r>
    </w:p>
    <w:p>
      <w:pPr>
        <w:pStyle w:val="TextBody"/>
        <w:bidi w:val="0"/>
        <w:jc w:val="both"/>
        <w:rPr/>
      </w:pPr>
      <w:r>
        <w:rPr/>
        <w:t>For the nine months ended June 30, 2025, our operating activities used cash of $386.1 million and our financing activities provided cash of $376.7 million. Our operating activities used cash primarily due to our investment activities and our financing activities provided cash primarily due to proceeds from the 2037 Asset-Backed debt and proceeds from public offerings under our 2024 ATM Program partially offset by repayments of our Credit Facility.</w:t>
      </w:r>
    </w:p>
    <w:p>
      <w:pPr>
        <w:pStyle w:val="TextBody"/>
        <w:bidi w:val="0"/>
        <w:jc w:val="both"/>
        <w:rPr/>
      </w:pPr>
      <w:r>
        <w:rPr>
          <w:rStyle w:val="StrongEmphasis"/>
        </w:rPr>
        <w:t>DISTRIBUTIONS</w:t>
      </w:r>
    </w:p>
    <w:p>
      <w:pPr>
        <w:pStyle w:val="TextBody"/>
        <w:bidi w:val="0"/>
        <w:jc w:val="both"/>
        <w:rPr/>
      </w:pPr>
      <w:r>
        <w:rPr/>
        <w:t>During the three and nine months ended June 30, 2026 we declared distributions of $0.2883 per share and $0.9033 per share for total distributions of $28.6 million and $89.6 million. During the three and nine months ended June 30, 2025, we declared distributions of $0.3075 per share and $0.9225 per share for total distributions of $30.5 million and $83.4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t>We will maintain a base dividend of $0.08 per share and supplemental dividend of $0.0033 per share for October, November and December.</w:t>
      </w:r>
    </w:p>
    <w:p>
      <w:pPr>
        <w:pStyle w:val="TextBody"/>
        <w:bidi w:val="0"/>
        <w:jc w:val="both"/>
        <w:rPr/>
      </w:pPr>
      <w:r>
        <w:rPr>
          <w:rStyle w:val="StrongEmphasis"/>
        </w:rPr>
        <w:t xml:space="preserve">AVAILABLE INFORMATION </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tbl>
      <w:tblPr>
        <w:tblW w:w="10205" w:type="dxa"/>
        <w:jc w:val="center"/>
        <w:tblInd w:w="0" w:type="dxa"/>
        <w:tblLayout w:type="fixed"/>
        <w:tblCellMar>
          <w:top w:w="28" w:type="dxa"/>
          <w:left w:w="28" w:type="dxa"/>
          <w:bottom w:w="28" w:type="dxa"/>
          <w:right w:w="28" w:type="dxa"/>
        </w:tblCellMar>
      </w:tblPr>
      <w:tblGrid>
        <w:gridCol w:w="6529"/>
        <w:gridCol w:w="146"/>
        <w:gridCol w:w="239"/>
        <w:gridCol w:w="1132"/>
        <w:gridCol w:w="181"/>
        <w:gridCol w:w="146"/>
        <w:gridCol w:w="280"/>
        <w:gridCol w:w="1323"/>
        <w:gridCol w:w="229"/>
      </w:tblGrid>
      <w:tr>
        <w:trPr/>
        <w:tc>
          <w:tcPr>
            <w:tcW w:w="10205" w:type="dxa"/>
            <w:gridSpan w:val="9"/>
            <w:tcBorders/>
            <w:vAlign w:val="center"/>
          </w:tcPr>
          <w:p>
            <w:pPr>
              <w:pStyle w:val="TableContents"/>
              <w:bidi w:val="0"/>
              <w:spacing w:before="0" w:after="283"/>
              <w:jc w:val="center"/>
              <w:rPr/>
            </w:pPr>
            <w:r>
              <w:rPr>
                <w:rStyle w:val="StrongEmphasis"/>
              </w:rPr>
              <w:t>PENNANTPARK FLOATING RATE CAPITAL LTD. AND SUBSIDIARIES</w:t>
              <w:br/>
              <w:t>CONSOLIDATED STATEMENTS OF ASSETS AND LIABILITIES</w:t>
              <w:br/>
              <w:t>(in thousands, except per share data)</w:t>
            </w:r>
          </w:p>
        </w:tc>
      </w:tr>
      <w:tr>
        <w:trPr/>
        <w:tc>
          <w:tcPr>
            <w:tcW w:w="652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7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2025</w:t>
            </w:r>
          </w:p>
        </w:tc>
        <w:tc>
          <w:tcPr>
            <w:tcW w:w="229" w:type="dxa"/>
            <w:tcBorders/>
            <w:vAlign w:val="center"/>
          </w:tcPr>
          <w:p>
            <w:pPr>
              <w:pStyle w:val="TableContents"/>
              <w:bidi w:val="0"/>
              <w:spacing w:before="0" w:after="283"/>
              <w:jc w:val="center"/>
              <w:rPr/>
            </w:pPr>
            <w:r>
              <w:rPr/>
              <w:t> </w:t>
            </w:r>
          </w:p>
        </w:tc>
      </w:tr>
      <w:tr>
        <w:trPr/>
        <w:tc>
          <w:tcPr>
            <w:tcW w:w="652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71"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center"/>
              <w:rPr/>
            </w:pPr>
            <w:r>
              <w:rPr/>
              <w:t> </w:t>
            </w:r>
          </w:p>
        </w:tc>
      </w:tr>
      <w:tr>
        <w:trPr/>
        <w:tc>
          <w:tcPr>
            <w:tcW w:w="6529"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529"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$2,132,947 and $2,458,018,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2,120,934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2,491,360</w:t>
            </w:r>
          </w:p>
        </w:tc>
        <w:tc>
          <w:tcPr>
            <w:tcW w:w="229" w:type="dxa"/>
            <w:tcBorders/>
            <w:vAlign w:val="center"/>
          </w:tcPr>
          <w:p>
            <w:pPr>
              <w:pStyle w:val="TableContents"/>
              <w:bidi w:val="0"/>
              <w:spacing w:before="0" w:after="283"/>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$494,500 and $361,375, respectively)</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383,724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281,968</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Total investments (amortized cost— $2,627,447 and $2,819,393, respectively)</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3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2,504,658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2,773,328</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Cash equivalents (cost— $50,725 and $40,729,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50,725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40,729</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Cash (cost— $50,090 and $81,955,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50,083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81,959</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13,496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13,832</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Distributions receivable</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6,081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Receivable for investments sold</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7,472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1,369</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Due from affiliates</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321</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2,143</w:t>
            </w:r>
          </w:p>
        </w:tc>
        <w:tc>
          <w:tcPr>
            <w:tcW w:w="229" w:type="dxa"/>
            <w:tcBorders/>
            <w:vAlign w:val="center"/>
          </w:tcPr>
          <w:p>
            <w:pPr>
              <w:pStyle w:val="TableContents"/>
              <w:bidi w:val="0"/>
              <w:spacing w:before="0" w:after="283"/>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2,634,842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2,913,681</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37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529" w:type="dxa"/>
            <w:tcBorders/>
            <w:vAlign w:val="center"/>
          </w:tcPr>
          <w:p>
            <w:pPr>
              <w:pStyle w:val="TableContents"/>
              <w:bidi w:val="0"/>
              <w:spacing w:before="0" w:after="283"/>
              <w:jc w:val="left"/>
              <w:rPr/>
            </w:pPr>
            <w:r>
              <w:rPr/>
              <w:t>Credit Facility payable, at fair value (cost— $318,355 and $683,855,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318,310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683,837</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2026 Notes payable, net (par— $0 and $185,000) (unamortized deferred financing costs of $0 and $391,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184,609</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2029 Notes payable, net (par—$200,000 and $0) (unamortized deferred financing costs of $3,788 and $0,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196,212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2031 Notes payable, net (par—$105,000 and $0) (unamortized deferred financing costs of $3,745 and $0,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101,255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2036 Asset-Backed Debt, net (par—$0 and $287,000) (unamortized deferred financing costs of $0 and $2,373,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284,627</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2036-R Asset-Backed Debt, net (par— $287,000 and $266,000) (unamortized deferred financing costs of $391 and $634,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286,609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265,366</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2037 Asset-Backed Debt, net (par— $389,500 and $361,000) (unamortized deferred financing costs of $2,234 and $2,669,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387,266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358,331</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2038-R Asset-Backed Debt, net (par—$287,000 and $0) (unamortized deferred financing costs of $2,135 and $0, respectively)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284,865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Payable for investments purchased</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14,852</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19,662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19,172</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8,265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10,170</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6,381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6,549</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6,476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6,883</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1,320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2,166</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Deferred tax liability</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592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1,864</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Due to affiliates</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739</w:t>
            </w:r>
          </w:p>
        </w:tc>
        <w:tc>
          <w:tcPr>
            <w:tcW w:w="229" w:type="dxa"/>
            <w:tcBorders/>
            <w:vAlign w:val="center"/>
          </w:tcPr>
          <w:p>
            <w:pPr>
              <w:pStyle w:val="TableContents"/>
              <w:bidi w:val="0"/>
              <w:spacing w:before="0" w:after="283"/>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1,617,213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1,839,165</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37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529" w:type="dxa"/>
            <w:tcBorders/>
            <w:vAlign w:val="center"/>
          </w:tcPr>
          <w:p>
            <w:pPr>
              <w:pStyle w:val="TableContents"/>
              <w:bidi w:val="0"/>
              <w:spacing w:before="0" w:after="283"/>
              <w:jc w:val="left"/>
              <w:rPr/>
            </w:pPr>
            <w:r>
              <w:rPr/>
              <w:t>Common stock, 99,217,896 and 99,217,896 shares issued and outstanding, respectively Par value $0.001 per share and 200,000,000 shares authorized</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99</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1,219,502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1,219,502</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(201,972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(145,085</w:t>
            </w:r>
          </w:p>
        </w:tc>
        <w:tc>
          <w:tcPr>
            <w:tcW w:w="229" w:type="dxa"/>
            <w:tcBorders/>
            <w:vAlign w:val="center"/>
          </w:tcPr>
          <w:p>
            <w:pPr>
              <w:pStyle w:val="TableContents"/>
              <w:bidi w:val="0"/>
              <w:spacing w:before="0" w:after="283"/>
              <w:jc w:val="left"/>
              <w:rPr/>
            </w:pPr>
            <w:r>
              <w:rPr/>
              <w:t>)</w:t>
            </w:r>
          </w:p>
        </w:tc>
      </w:tr>
      <w:tr>
        <w:trPr/>
        <w:tc>
          <w:tcPr>
            <w:tcW w:w="652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1,017,629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1,074,516</w:t>
            </w:r>
          </w:p>
        </w:tc>
        <w:tc>
          <w:tcPr>
            <w:tcW w:w="229" w:type="dxa"/>
            <w:tcBorders/>
            <w:vAlign w:val="center"/>
          </w:tcPr>
          <w:p>
            <w:pPr>
              <w:pStyle w:val="TableContents"/>
              <w:bidi w:val="0"/>
              <w:spacing w:before="0" w:after="283"/>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2,634,842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2,913,681</w:t>
            </w:r>
          </w:p>
        </w:tc>
        <w:tc>
          <w:tcPr>
            <w:tcW w:w="229"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3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3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2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10.83</w:t>
            </w:r>
          </w:p>
        </w:tc>
        <w:tc>
          <w:tcPr>
            <w:tcW w:w="229" w:type="dxa"/>
            <w:tcBorders/>
            <w:vAlign w:val="center"/>
          </w:tcPr>
          <w:p>
            <w:pPr>
              <w:pStyle w:val="TableContents"/>
              <w:bidi w:val="0"/>
              <w:spacing w:before="0" w:after="283"/>
              <w:jc w:val="left"/>
              <w:rPr/>
            </w:pPr>
            <w:r>
              <w:rPr/>
              <w:t> </w:t>
            </w:r>
          </w:p>
        </w:tc>
      </w:tr>
    </w:tbl>
    <w:p>
      <w:pPr>
        <w:pStyle w:val="TextBody"/>
        <w:bidi w:val="0"/>
        <w:jc w:val="center"/>
        <w:rPr>
          <w:rStyle w:val="StrongEmphasis"/>
        </w:rPr>
      </w:pPr>
      <w:r>
        <w:rPr/>
      </w:r>
    </w:p>
    <w:tbl>
      <w:tblPr>
        <w:tblW w:w="10205" w:type="dxa"/>
        <w:jc w:val="center"/>
        <w:tblInd w:w="0" w:type="dxa"/>
        <w:tblLayout w:type="fixed"/>
        <w:tblCellMar>
          <w:top w:w="28" w:type="dxa"/>
          <w:left w:w="28" w:type="dxa"/>
          <w:bottom w:w="28" w:type="dxa"/>
          <w:right w:w="28" w:type="dxa"/>
        </w:tblCellMar>
      </w:tblPr>
      <w:tblGrid>
        <w:gridCol w:w="4067"/>
        <w:gridCol w:w="146"/>
        <w:gridCol w:w="248"/>
        <w:gridCol w:w="926"/>
        <w:gridCol w:w="199"/>
        <w:gridCol w:w="160"/>
        <w:gridCol w:w="248"/>
        <w:gridCol w:w="926"/>
        <w:gridCol w:w="181"/>
        <w:gridCol w:w="146"/>
        <w:gridCol w:w="241"/>
        <w:gridCol w:w="947"/>
        <w:gridCol w:w="193"/>
        <w:gridCol w:w="156"/>
        <w:gridCol w:w="241"/>
        <w:gridCol w:w="947"/>
        <w:gridCol w:w="233"/>
      </w:tblGrid>
      <w:tr>
        <w:trPr/>
        <w:tc>
          <w:tcPr>
            <w:tcW w:w="10205" w:type="dxa"/>
            <w:gridSpan w:val="17"/>
            <w:tcBorders/>
            <w:vAlign w:val="center"/>
          </w:tcPr>
          <w:p>
            <w:pPr>
              <w:pStyle w:val="TableContents"/>
              <w:bidi w:val="0"/>
              <w:spacing w:before="0" w:after="283"/>
              <w:jc w:val="center"/>
              <w:rPr/>
            </w:pPr>
            <w:r>
              <w:rPr>
                <w:rStyle w:val="StrongEmphasis"/>
              </w:rPr>
              <w:t>PENNANTPARK FLOATING RATE CAPITAL LTD. AND SUBSIDIARIES</w:t>
              <w:br/>
              <w:t>CONSOLIDATED STATEMENTS OF OPERATIONS</w:t>
              <w:br/>
              <w:t>(in thousands, except per share data)</w:t>
              <w:br/>
              <w:t>(Unaudited)</w:t>
            </w:r>
          </w:p>
        </w:tc>
      </w:tr>
      <w:tr>
        <w:trPr/>
        <w:tc>
          <w:tcPr>
            <w:tcW w:w="4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7" w:type="dxa"/>
            <w:gridSpan w:val="6"/>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25" w:type="dxa"/>
            <w:gridSpan w:val="6"/>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7"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72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c>
          <w:tcPr>
            <w:tcW w:w="233" w:type="dxa"/>
            <w:tcBorders/>
            <w:vAlign w:val="center"/>
          </w:tcPr>
          <w:p>
            <w:pPr>
              <w:pStyle w:val="TableContents"/>
              <w:bidi w:val="0"/>
              <w:spacing w:before="0" w:after="283"/>
              <w:jc w:val="center"/>
              <w:rPr/>
            </w:pPr>
            <w:r>
              <w:rPr/>
              <w:t> </w:t>
            </w:r>
          </w:p>
        </w:tc>
      </w:tr>
      <w:tr>
        <w:trPr/>
        <w:tc>
          <w:tcPr>
            <w:tcW w:w="4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9" w:type="dxa"/>
            <w:tcBorders/>
            <w:vAlign w:val="center"/>
          </w:tcPr>
          <w:p>
            <w:pPr>
              <w:pStyle w:val="TableContents"/>
              <w:bidi w:val="0"/>
              <w:spacing w:before="0" w:after="283"/>
              <w:jc w:val="center"/>
              <w:rPr/>
            </w:pPr>
            <w:r>
              <w:rPr/>
              <w:t> </w:t>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7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3" w:type="dxa"/>
            <w:tcBorders/>
            <w:vAlign w:val="center"/>
          </w:tcPr>
          <w:p>
            <w:pPr>
              <w:pStyle w:val="TableContents"/>
              <w:bidi w:val="0"/>
              <w:spacing w:before="0" w:after="283"/>
              <w:jc w:val="center"/>
              <w:rPr/>
            </w:pPr>
            <w:r>
              <w:rPr/>
              <w:t> </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8"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33" w:type="dxa"/>
            <w:tcBorders/>
            <w:vAlign w:val="center"/>
          </w:tcPr>
          <w:p>
            <w:pPr>
              <w:pStyle w:val="TableContents"/>
              <w:bidi w:val="0"/>
              <w:spacing w:before="0" w:after="283"/>
              <w:jc w:val="center"/>
              <w:rPr/>
            </w:pPr>
            <w:r>
              <w:rPr/>
              <w:t> </w:t>
            </w:r>
          </w:p>
        </w:tc>
      </w:tr>
      <w:tr>
        <w:trPr/>
        <w:tc>
          <w:tcPr>
            <w:tcW w:w="4067"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11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283"/>
              <w:jc w:val="right"/>
              <w:rPr/>
            </w:pPr>
            <w:r>
              <w:rPr/>
              <w:t>50,133</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283"/>
              <w:jc w:val="right"/>
              <w:rPr/>
            </w:pPr>
            <w:r>
              <w:rPr/>
              <w:t>50,856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283"/>
              <w:jc w:val="right"/>
              <w:rPr/>
            </w:pPr>
            <w:r>
              <w:rPr/>
              <w:t>157,398</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283"/>
              <w:jc w:val="right"/>
              <w:rPr/>
            </w:pPr>
            <w:r>
              <w:rPr/>
              <w:t>147,533</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111</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549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152</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1,495</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816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786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1,964</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2,901</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8,947</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7,373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25,444</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27,526</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6,081</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3,938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17,175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12,688</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66,088</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202,133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192,449</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11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25,029</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22,547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76,321</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67,437</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6,476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5,396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19,573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19,146</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6,381</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5,929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19,622</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16,797</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1,350</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3,750</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3,600</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900</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2,700</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1,900</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debt issuance costs and provision for taxes</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40,136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121,966</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108,880</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50</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300</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650</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Credit Facility amendment and debt issuance costs</w:t>
            </w:r>
          </w:p>
        </w:tc>
        <w:tc>
          <w:tcPr>
            <w:tcW w:w="146"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1,578</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3,297</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40,186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38,877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123,844</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112,827</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25,902</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24,625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78,289</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79,622</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11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4067" w:type="dxa"/>
            <w:tcBorders/>
            <w:vAlign w:val="center"/>
          </w:tcPr>
          <w:p>
            <w:pPr>
              <w:pStyle w:val="TableContents"/>
              <w:bidi w:val="0"/>
              <w:spacing w:before="0" w:after="283"/>
              <w:jc w:val="left"/>
              <w:rPr/>
            </w:pPr>
            <w:r>
              <w:rPr/>
              <w:t>Net realized gain (loss) on:</w:t>
            </w:r>
          </w:p>
        </w:tc>
        <w:tc>
          <w:tcPr>
            <w:tcW w:w="14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37,383</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(14,842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31,304</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(14,456</w:t>
            </w:r>
          </w:p>
        </w:tc>
        <w:tc>
          <w:tcPr>
            <w:tcW w:w="233" w:type="dxa"/>
            <w:tcBorders/>
            <w:vAlign w:val="center"/>
          </w:tcPr>
          <w:p>
            <w:pPr>
              <w:pStyle w:val="TableContents"/>
              <w:bidi w:val="0"/>
              <w:spacing w:before="0" w:after="283"/>
              <w:jc w:val="left"/>
              <w:rPr/>
            </w:pPr>
            <w:r>
              <w:rPr/>
              <w:t>)</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22,811</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(loss) on investments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(49</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(49</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(82</w:t>
            </w:r>
          </w:p>
        </w:tc>
        <w:tc>
          <w:tcPr>
            <w:tcW w:w="233" w:type="dxa"/>
            <w:tcBorders/>
            <w:vAlign w:val="center"/>
          </w:tcPr>
          <w:p>
            <w:pPr>
              <w:pStyle w:val="TableContents"/>
              <w:bidi w:val="0"/>
              <w:spacing w:before="0" w:after="283"/>
              <w:jc w:val="left"/>
              <w:rPr/>
            </w:pPr>
            <w:r>
              <w:rPr/>
              <w:t>)</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Debt extinguishment</w:t>
            </w:r>
          </w:p>
        </w:tc>
        <w:tc>
          <w:tcPr>
            <w:tcW w:w="146"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(1,380</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37,334</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(14,830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29,875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8,273</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(49,103</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16,233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(45,360</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9,546</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(7,546</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(6,351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(31,369</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(49,401</w:t>
            </w:r>
          </w:p>
        </w:tc>
        <w:tc>
          <w:tcPr>
            <w:tcW w:w="233" w:type="dxa"/>
            <w:tcBorders/>
            <w:vAlign w:val="center"/>
          </w:tcPr>
          <w:p>
            <w:pPr>
              <w:pStyle w:val="TableContents"/>
              <w:bidi w:val="0"/>
              <w:spacing w:before="0" w:after="283"/>
              <w:jc w:val="left"/>
              <w:rPr/>
            </w:pPr>
            <w:r>
              <w:rPr/>
              <w:t>)</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966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(303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1,273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797</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w:t>
            </w:r>
          </w:p>
        </w:tc>
        <w:tc>
          <w:tcPr>
            <w:tcW w:w="233" w:type="dxa"/>
            <w:tcBorders/>
            <w:vAlign w:val="center"/>
          </w:tcPr>
          <w:p>
            <w:pPr>
              <w:pStyle w:val="TableContents"/>
              <w:bidi w:val="0"/>
              <w:spacing w:before="0" w:after="283"/>
              <w:jc w:val="left"/>
              <w:rPr/>
            </w:pPr>
            <w:r>
              <w:rPr/>
              <w:t> </w:t>
            </w:r>
          </w:p>
        </w:tc>
      </w:tr>
      <w:tr>
        <w:trPr/>
        <w:tc>
          <w:tcPr>
            <w:tcW w:w="406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(55,660</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9,503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(75,429</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(39,043</w:t>
            </w:r>
          </w:p>
        </w:tc>
        <w:tc>
          <w:tcPr>
            <w:tcW w:w="233" w:type="dxa"/>
            <w:tcBorders/>
            <w:vAlign w:val="center"/>
          </w:tcPr>
          <w:p>
            <w:pPr>
              <w:pStyle w:val="TableContents"/>
              <w:bidi w:val="0"/>
              <w:spacing w:before="0" w:after="283"/>
              <w:jc w:val="left"/>
              <w:rPr/>
            </w:pPr>
            <w:r>
              <w:rPr/>
              <w:t>)</w:t>
            </w:r>
          </w:p>
        </w:tc>
      </w:tr>
      <w:tr>
        <w:trPr/>
        <w:tc>
          <w:tcPr>
            <w:tcW w:w="4067"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(18,326</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(5,327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(45,554</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(30,770</w:t>
            </w:r>
          </w:p>
        </w:tc>
        <w:tc>
          <w:tcPr>
            <w:tcW w:w="233" w:type="dxa"/>
            <w:tcBorders/>
            <w:vAlign w:val="center"/>
          </w:tcPr>
          <w:p>
            <w:pPr>
              <w:pStyle w:val="TableContents"/>
              <w:bidi w:val="0"/>
              <w:spacing w:before="0" w:after="283"/>
              <w:jc w:val="left"/>
              <w:rPr/>
            </w:pPr>
            <w:r>
              <w:rPr/>
              <w:t>)</w:t>
            </w:r>
          </w:p>
        </w:tc>
      </w:tr>
      <w:tr>
        <w:trPr/>
        <w:tc>
          <w:tcPr>
            <w:tcW w:w="4067"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7,576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19,298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32,735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48,852</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0.08</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0.54</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0.79</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0.88</w:t>
            </w:r>
          </w:p>
        </w:tc>
        <w:tc>
          <w:tcPr>
            <w:tcW w:w="233"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rStyle w:val="StrongEmphasis"/>
        </w:rPr>
        <w:t xml:space="preserve">ABOUT PENNANTPARK INVESTMENT ADVISERS, LLC </w:t>
      </w:r>
    </w:p>
    <w:p>
      <w:pPr>
        <w:pStyle w:val="TextBody"/>
        <w:bidi w:val="0"/>
        <w:jc w:val="both"/>
        <w:rPr/>
      </w:pPr>
      <w:r>
        <w:rPr/>
        <w:t xml:space="preserve">PennantPark Investment Advisers, LLC, a leading middle-market credit platform, and its affiliates, manage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t>
      </w:r>
      <w:r>
        <w:rPr>
          <w:u w:val="single"/>
        </w:rPr>
        <w:t>www.pennantpark.com</w:t>
      </w:r>
      <w:r>
        <w:rPr/>
        <w:t>.</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222" w:type="dxa"/>
        <w:jc w:val="left"/>
        <w:tblInd w:w="0" w:type="dxa"/>
        <w:tblLayout w:type="fixed"/>
        <w:tblCellMar>
          <w:top w:w="28" w:type="dxa"/>
          <w:left w:w="28" w:type="dxa"/>
          <w:bottom w:w="28" w:type="dxa"/>
          <w:right w:w="28" w:type="dxa"/>
        </w:tblCellMar>
      </w:tblPr>
      <w:tblGrid>
        <w:gridCol w:w="1351"/>
        <w:gridCol w:w="3871"/>
      </w:tblGrid>
      <w:tr>
        <w:trPr/>
        <w:tc>
          <w:tcPr>
            <w:tcW w:w="1351" w:type="dxa"/>
            <w:tcBorders/>
            <w:vAlign w:val="center"/>
          </w:tcPr>
          <w:p>
            <w:pPr>
              <w:pStyle w:val="TableContents"/>
              <w:bidi w:val="0"/>
              <w:spacing w:before="0" w:after="283"/>
              <w:jc w:val="left"/>
              <w:rPr/>
            </w:pPr>
            <w:r>
              <w:rPr/>
              <w:t>CONTACT:</w:t>
            </w:r>
          </w:p>
        </w:tc>
        <w:tc>
          <w:tcPr>
            <w:tcW w:w="3871" w:type="dxa"/>
            <w:tcBorders/>
            <w:vAlign w:val="center"/>
          </w:tcPr>
          <w:p>
            <w:pPr>
              <w:pStyle w:val="TableContents"/>
              <w:bidi w:val="0"/>
              <w:spacing w:before="0" w:after="283"/>
              <w:jc w:val="left"/>
              <w:rPr/>
            </w:pPr>
            <w:r>
              <w:rPr/>
              <w:t>Richard T. Allorto, Jr.</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PennantPark Floating Rate Capital Ltd.</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(212) 905-1000</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u w:val="single"/>
              </w:rPr>
            </w:pPr>
            <w:r>
              <w:rPr>
                <w:u w:val="single"/>
              </w:rPr>
              <w:t>www.pennantpark.com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5046</Words>
  <Characters>27874</Characters>
  <CharactersWithSpaces>33312</CharactersWithSpaces>
  <Paragraphs>1467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