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oc_1_1"/>
      <w:bookmarkStart w:id="1" w:name="filing_1"/>
      <w:bookmarkStart w:id="2" w:name="pflt-20240206.htm"/>
      <w:bookmarkStart w:id="3" w:name="kspflt20240206"/>
      <w:bookmarkEnd w:id="0"/>
      <w:bookmarkEnd w:id="1"/>
      <w:bookmarkEnd w:id="2"/>
      <w:bookmarkEnd w:id="3"/>
      <w:r>
        <w:rPr/>
        <w:t> </w:t>
      </w:r>
    </w:p>
    <w:p>
      <w:pPr>
        <w:pStyle w:val="TextBody"/>
        <w:bidi w:val="0"/>
        <w:spacing w:before="44"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66" w:after="283"/>
        <w:jc w:val="center"/>
        <w:rPr>
          <w:rFonts w:ascii="Times New Roman" w:hAnsi="Times New Roman"/>
          <w:b/>
          <w:color w:val="000000"/>
          <w:sz w:val="28"/>
        </w:rPr>
      </w:pPr>
      <w:r>
        <w:rPr>
          <w:rFonts w:ascii="Times New Roman" w:hAnsi="Times New Roman"/>
          <w:b/>
          <w:color w:val="000000"/>
          <w:sz w:val="28"/>
        </w:rPr>
        <w:t>FORM 8-K</w:t>
      </w:r>
    </w:p>
    <w:p>
      <w:pPr>
        <w:pStyle w:val="TextBody"/>
        <w:bidi w:val="0"/>
        <w:spacing w:before="66"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98" w:after="283"/>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198" w:after="283"/>
        <w:jc w:val="center"/>
        <w:rPr>
          <w:rFonts w:ascii="Times New Roman" w:hAnsi="Times New Roman"/>
          <w:b/>
          <w:color w:val="000000"/>
          <w:sz w:val="20"/>
        </w:rPr>
      </w:pPr>
      <w:r>
        <w:rPr>
          <w:rFonts w:ascii="Times New Roman" w:hAnsi="Times New Roman"/>
          <w:b/>
          <w:color w:val="000000"/>
          <w:sz w:val="20"/>
        </w:rPr>
        <w:t>February 3, 2026</w:t>
      </w:r>
    </w:p>
    <w:p>
      <w:pPr>
        <w:pStyle w:val="TextBody"/>
        <w:bidi w:val="0"/>
        <w:spacing w:before="198" w:after="283"/>
        <w:jc w:val="center"/>
        <w:rPr>
          <w:rFonts w:ascii="Times New Roman" w:hAnsi="Times New Roman"/>
          <w:b/>
          <w:color w:val="000000"/>
          <w:sz w:val="20"/>
        </w:rPr>
      </w:pPr>
      <w:r>
        <w:rPr>
          <w:rFonts w:ascii="Times New Roman" w:hAnsi="Times New Roman"/>
          <w:b/>
          <w:color w:val="000000"/>
          <w:sz w:val="20"/>
        </w:rPr>
        <w:t>Date of Report (Date of earliest event reported)</w:t>
      </w:r>
    </w:p>
    <w:p>
      <w:pPr>
        <w:pStyle w:val="TextBody"/>
        <w:bidi w:val="0"/>
        <w:spacing w:before="66" w:after="283"/>
        <w:jc w:val="center"/>
        <w:rPr>
          <w:rFonts w:ascii="Times New Roman" w:hAnsi="Times New Roman"/>
          <w:b/>
          <w:color w:val="000000"/>
          <w:sz w:val="34"/>
        </w:rPr>
      </w:pPr>
      <w:r>
        <w:rPr>
          <w:rFonts w:ascii="Times New Roman" w:hAnsi="Times New Roman"/>
          <w:b/>
          <w:color w:val="000000"/>
          <w:sz w:val="34"/>
        </w:rPr>
        <w:t>PennantPark Floating Rate Capital Ltd.</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8028" w:type="dxa"/>
        <w:jc w:val="left"/>
        <w:tblInd w:w="0" w:type="dxa"/>
        <w:tblLayout w:type="fixed"/>
        <w:tblCellMar>
          <w:top w:w="28" w:type="dxa"/>
          <w:left w:w="28" w:type="dxa"/>
          <w:bottom w:w="28" w:type="dxa"/>
          <w:right w:w="28" w:type="dxa"/>
        </w:tblCellMar>
      </w:tblPr>
      <w:tblGrid>
        <w:gridCol w:w="3376"/>
        <w:gridCol w:w="2041"/>
        <w:gridCol w:w="2611"/>
      </w:tblGrid>
      <w:tr>
        <w:trPr/>
        <w:tc>
          <w:tcPr>
            <w:tcW w:w="337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198" w:after="283"/>
              <w:jc w:val="center"/>
              <w:rPr>
                <w:rFonts w:ascii="Times New Roman" w:hAnsi="Times New Roman"/>
                <w:b/>
                <w:color w:val="000000"/>
                <w:sz w:val="16"/>
              </w:rPr>
            </w:pPr>
            <w:r>
              <w:rPr>
                <w:rFonts w:ascii="Times New Roman" w:hAnsi="Times New Roman"/>
                <w:b/>
                <w:color w:val="000000"/>
                <w:sz w:val="16"/>
              </w:rPr>
              <w:t>Maryland</w:t>
            </w:r>
          </w:p>
        </w:tc>
        <w:tc>
          <w:tcPr>
            <w:tcW w:w="2041" w:type="dxa"/>
            <w:tcBorders/>
            <w:tcMar>
              <w:top w:w="0" w:type="dxa"/>
              <w:left w:w="0" w:type="dxa"/>
              <w:bottom w:w="0" w:type="dxa"/>
              <w:right w:w="0" w:type="dxa"/>
            </w:tcMar>
            <w:vAlign w:val="center"/>
          </w:tcPr>
          <w:p>
            <w:pPr>
              <w:pStyle w:val="TableContents"/>
              <w:bidi w:val="0"/>
              <w:spacing w:before="198" w:after="283"/>
              <w:jc w:val="center"/>
              <w:rPr>
                <w:rFonts w:ascii="Times New Roman" w:hAnsi="Times New Roman"/>
                <w:b/>
                <w:color w:val="000000"/>
                <w:sz w:val="16"/>
              </w:rPr>
            </w:pPr>
            <w:r>
              <w:rPr>
                <w:rFonts w:ascii="Times New Roman" w:hAnsi="Times New Roman"/>
                <w:b/>
                <w:color w:val="000000"/>
                <w:sz w:val="16"/>
              </w:rPr>
              <w:t>814-00891</w:t>
            </w:r>
          </w:p>
        </w:tc>
        <w:tc>
          <w:tcPr>
            <w:tcW w:w="2611" w:type="dxa"/>
            <w:tcBorders/>
            <w:tcMar>
              <w:top w:w="0" w:type="dxa"/>
              <w:left w:w="0" w:type="dxa"/>
              <w:bottom w:w="0" w:type="dxa"/>
              <w:right w:w="0" w:type="dxa"/>
            </w:tcMar>
            <w:vAlign w:val="center"/>
          </w:tcPr>
          <w:p>
            <w:pPr>
              <w:pStyle w:val="TableContents"/>
              <w:bidi w:val="0"/>
              <w:spacing w:before="198" w:after="283"/>
              <w:jc w:val="center"/>
              <w:rPr>
                <w:rFonts w:ascii="Times New Roman" w:hAnsi="Times New Roman"/>
                <w:b/>
                <w:color w:val="000000"/>
                <w:sz w:val="16"/>
              </w:rPr>
            </w:pPr>
            <w:r>
              <w:rPr>
                <w:rFonts w:ascii="Times New Roman" w:hAnsi="Times New Roman"/>
                <w:b/>
                <w:color w:val="000000"/>
                <w:sz w:val="16"/>
              </w:rPr>
              <w:t>27-3794690</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spacing w:before="198" w:after="283"/>
        <w:jc w:val="center"/>
        <w:rPr/>
      </w:pPr>
      <w:r>
        <w:rPr/>
        <w:t> </w:t>
      </w:r>
    </w:p>
    <w:tbl>
      <w:tblPr>
        <w:tblW w:w="3951" w:type="dxa"/>
        <w:jc w:val="left"/>
        <w:tblInd w:w="0" w:type="dxa"/>
        <w:tblLayout w:type="fixed"/>
        <w:tblCellMar>
          <w:top w:w="28" w:type="dxa"/>
          <w:left w:w="28" w:type="dxa"/>
          <w:bottom w:w="28" w:type="dxa"/>
          <w:right w:w="28" w:type="dxa"/>
        </w:tblCellMar>
      </w:tblPr>
      <w:tblGrid>
        <w:gridCol w:w="2926"/>
        <w:gridCol w:w="109"/>
        <w:gridCol w:w="91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1691 Michigan Avenue</w:t>
            </w:r>
          </w:p>
          <w:p>
            <w:pPr>
              <w:pStyle w:val="TableContents"/>
              <w:bidi w:val="0"/>
              <w:jc w:val="center"/>
              <w:rPr>
                <w:rFonts w:ascii="Times New Roman" w:hAnsi="Times New Roman"/>
                <w:b/>
                <w:color w:val="000000"/>
                <w:sz w:val="16"/>
              </w:rPr>
            </w:pPr>
            <w:r>
              <w:rPr>
                <w:rFonts w:ascii="Times New Roman" w:hAnsi="Times New Roman"/>
                <w:b/>
                <w:color w:val="000000"/>
                <w:sz w:val="16"/>
              </w:rPr>
              <w:t xml:space="preserve">Miami Beach, Florida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33139</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rFonts w:ascii="Times New Roman" w:hAnsi="Times New Roman"/>
          <w:b/>
          <w:color w:val="000000"/>
          <w:sz w:val="16"/>
        </w:rPr>
      </w:pPr>
      <w:r>
        <w:rPr>
          <w:rFonts w:ascii="Times New Roman" w:hAnsi="Times New Roman"/>
          <w:b/>
          <w:color w:val="000000"/>
          <w:sz w:val="16"/>
        </w:rPr>
        <w:t>(786) 297-9500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Not Applicable</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center"/>
        <w:rPr/>
      </w:pPr>
      <w:r>
        <w:rPr/>
        <w:t> </w:t>
      </w:r>
    </w:p>
    <w:tbl>
      <w:tblPr>
        <w:tblW w:w="9318" w:type="dxa"/>
        <w:jc w:val="left"/>
        <w:tblInd w:w="0" w:type="dxa"/>
        <w:tblLayout w:type="fixed"/>
        <w:tblCellMar>
          <w:top w:w="28" w:type="dxa"/>
          <w:left w:w="28" w:type="dxa"/>
          <w:bottom w:w="28" w:type="dxa"/>
          <w:right w:w="28" w:type="dxa"/>
        </w:tblCellMar>
      </w:tblPr>
      <w:tblGrid>
        <w:gridCol w:w="3601"/>
        <w:gridCol w:w="1696"/>
        <w:gridCol w:w="4021"/>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PFLT</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66" w:after="283"/>
        <w:jc w:val="left"/>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 under any of the following provisions:</w:t>
      </w:r>
    </w:p>
    <w:tbl>
      <w:tblPr>
        <w:tblW w:w="6692" w:type="dxa"/>
        <w:jc w:val="left"/>
        <w:tblInd w:w="0" w:type="dxa"/>
        <w:tblLayout w:type="fixed"/>
        <w:tblCellMar>
          <w:top w:w="28" w:type="dxa"/>
          <w:left w:w="28" w:type="dxa"/>
          <w:bottom w:w="28" w:type="dxa"/>
          <w:right w:w="28" w:type="dxa"/>
        </w:tblCellMar>
      </w:tblPr>
      <w:tblGrid>
        <w:gridCol w:w="331"/>
        <w:gridCol w:w="6361"/>
      </w:tblGrid>
      <w:tr>
        <w:trPr/>
        <w:tc>
          <w:tcPr>
            <w:tcW w:w="331"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Written communications pursuant to Rule 425 under the Securities Act (17 CFR 230.425)</w:t>
            </w:r>
          </w:p>
        </w:tc>
      </w:tr>
    </w:tbl>
    <w:tbl>
      <w:tblPr>
        <w:tblW w:w="6737" w:type="dxa"/>
        <w:jc w:val="left"/>
        <w:tblInd w:w="0" w:type="dxa"/>
        <w:tblLayout w:type="fixed"/>
        <w:tblCellMar>
          <w:top w:w="28" w:type="dxa"/>
          <w:left w:w="28" w:type="dxa"/>
          <w:bottom w:w="28" w:type="dxa"/>
          <w:right w:w="28" w:type="dxa"/>
        </w:tblCellMar>
      </w:tblPr>
      <w:tblGrid>
        <w:gridCol w:w="331"/>
        <w:gridCol w:w="6406"/>
      </w:tblGrid>
      <w:tr>
        <w:trPr/>
        <w:tc>
          <w:tcPr>
            <w:tcW w:w="331"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Soliciting material pursuant to Rule 14a-12 under the Exchange Act (17 CFR 240.14a-12)</w:t>
            </w:r>
          </w:p>
        </w:tc>
      </w:tr>
    </w:tbl>
    <w:tbl>
      <w:tblPr>
        <w:tblW w:w="8312" w:type="dxa"/>
        <w:jc w:val="left"/>
        <w:tblInd w:w="0" w:type="dxa"/>
        <w:tblLayout w:type="fixed"/>
        <w:tblCellMar>
          <w:top w:w="28" w:type="dxa"/>
          <w:left w:w="28" w:type="dxa"/>
          <w:bottom w:w="28" w:type="dxa"/>
          <w:right w:w="28" w:type="dxa"/>
        </w:tblCellMar>
      </w:tblPr>
      <w:tblGrid>
        <w:gridCol w:w="331"/>
        <w:gridCol w:w="7981"/>
      </w:tblGrid>
      <w:tr>
        <w:trPr/>
        <w:tc>
          <w:tcPr>
            <w:tcW w:w="331" w:type="dxa"/>
            <w:tcBorders/>
            <w:vAlign w:val="center"/>
          </w:tcPr>
          <w:p>
            <w:pPr>
              <w:pStyle w:val="TableContents"/>
              <w:bidi w:val="0"/>
              <w:spacing w:before="0" w:after="283"/>
              <w:jc w:val="left"/>
              <w:rPr>
                <w:sz w:val="4"/>
                <w:szCs w:val="4"/>
              </w:rPr>
            </w:pPr>
            <w:r>
              <w:rPr>
                <w:sz w:val="4"/>
                <w:szCs w:val="4"/>
              </w:rPr>
            </w:r>
          </w:p>
        </w:tc>
        <w:tc>
          <w:tcPr>
            <w:tcW w:w="79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Pre-commencement communications pursuant to Rule 14d-2(b) under the Exchange Act (17 CFR 240.14d-2(b))</w:t>
            </w:r>
          </w:p>
        </w:tc>
      </w:tr>
    </w:tbl>
    <w:tbl>
      <w:tblPr>
        <w:tblW w:w="8252" w:type="dxa"/>
        <w:jc w:val="left"/>
        <w:tblInd w:w="0" w:type="dxa"/>
        <w:tblLayout w:type="fixed"/>
        <w:tblCellMar>
          <w:top w:w="28" w:type="dxa"/>
          <w:left w:w="28" w:type="dxa"/>
          <w:bottom w:w="28" w:type="dxa"/>
          <w:right w:w="28" w:type="dxa"/>
        </w:tblCellMar>
      </w:tblPr>
      <w:tblGrid>
        <w:gridCol w:w="331"/>
        <w:gridCol w:w="7921"/>
      </w:tblGrid>
      <w:tr>
        <w:trPr/>
        <w:tc>
          <w:tcPr>
            <w:tcW w:w="331" w:type="dxa"/>
            <w:tcBorders/>
            <w:vAlign w:val="center"/>
          </w:tcPr>
          <w:p>
            <w:pPr>
              <w:pStyle w:val="TableContents"/>
              <w:bidi w:val="0"/>
              <w:spacing w:before="0" w:after="283"/>
              <w:jc w:val="left"/>
              <w:rPr>
                <w:sz w:val="4"/>
                <w:szCs w:val="4"/>
              </w:rPr>
            </w:pPr>
            <w:r>
              <w:rPr>
                <w:sz w:val="4"/>
                <w:szCs w:val="4"/>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Pre-commencement communications pursuant to Rule 13e-4(c) under the Exchange Act (17 CFR 240.13e-4(c))</w:t>
            </w:r>
          </w:p>
        </w:tc>
      </w:tr>
    </w:tbl>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6" w:space="1" w:color="7F0000"/>
        </w:pBdr>
        <w:bidi w:val="0"/>
        <w:jc w:val="left"/>
        <w:rPr/>
      </w:pPr>
      <w:r>
        <w:rPr/>
        <w:t> </w:t>
      </w:r>
    </w:p>
    <w:p>
      <w:pPr>
        <w:pStyle w:val="TextBody"/>
        <w:bidi w:val="0"/>
        <w:jc w:val="left"/>
        <w:rPr/>
      </w:pPr>
      <w:bookmarkStart w:id="4" w:name="part_1_2_1"/>
      <w:bookmarkEnd w:id="4"/>
      <w:r>
        <w:rPr/>
        <w:t> </w:t>
      </w:r>
    </w:p>
    <w:tbl>
      <w:tblPr>
        <w:tblW w:w="4742" w:type="dxa"/>
        <w:jc w:val="left"/>
        <w:tblInd w:w="0" w:type="dxa"/>
        <w:tblLayout w:type="fixed"/>
        <w:tblCellMar>
          <w:top w:w="28" w:type="dxa"/>
          <w:left w:w="28" w:type="dxa"/>
          <w:bottom w:w="28" w:type="dxa"/>
          <w:right w:w="28" w:type="dxa"/>
        </w:tblCellMar>
      </w:tblPr>
      <w:tblGrid>
        <w:gridCol w:w="811"/>
        <w:gridCol w:w="3931"/>
      </w:tblGrid>
      <w:tr>
        <w:trPr/>
        <w:tc>
          <w:tcPr>
            <w:tcW w:w="811"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Item 5.07</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Submission of Matters to a Vote of Security Holders</w:t>
            </w:r>
          </w:p>
        </w:tc>
      </w:tr>
    </w:tbl>
    <w:p>
      <w:pPr>
        <w:pStyle w:val="TextBody"/>
        <w:bidi w:val="0"/>
        <w:spacing w:before="60" w:after="283"/>
        <w:jc w:val="left"/>
        <w:rPr>
          <w:rFonts w:ascii="Times New Roman" w:hAnsi="Times New Roman"/>
          <w:sz w:val="20"/>
        </w:rPr>
      </w:pPr>
      <w:r>
        <w:rPr>
          <w:rFonts w:ascii="Times New Roman" w:hAnsi="Times New Roman"/>
          <w:color w:val="000000"/>
          <w:sz w:val="16"/>
        </w:rPr>
        <w:t>On February 3, 2026, PennantPark Floating Rate Capital Ltd. (the “Company”) held its annual meeting of stockholders (the “Annual Meeting”) and submitted two matters to the vote of its stockholders. The proposals are described in detail in the Company’s definitive proxy statement filed with the Securities and Exchange Commission on December 17, 2025. As of December 3, 2025, the record date, 99,217,896 shares of common stock were eligible to vote. A summary of the matters voted upon by the stockholders is set forth below.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6"/>
        </w:rPr>
        <w:t>Proposal 1.</w:t>
      </w:r>
      <w:r>
        <w:rPr>
          <w:rFonts w:ascii="Times New Roman" w:hAnsi="Times New Roman"/>
          <w:color w:val="000000"/>
          <w:sz w:val="20"/>
        </w:rPr>
        <w:t xml:space="preserve"> </w:t>
      </w:r>
      <w:r>
        <w:rPr>
          <w:rFonts w:ascii="Times New Roman" w:hAnsi="Times New Roman"/>
          <w:color w:val="000000"/>
          <w:sz w:val="16"/>
        </w:rPr>
        <w:t>The Company’s stockholders elected two Class III directors of the Company, who will each serve until the 2029 Annual Meeting and until his successor is duly elected and qualifies.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voting results as of February 3, 2026, as certified by the inspector of election, are set forth below:</w:t>
      </w:r>
    </w:p>
    <w:tbl>
      <w:tblPr>
        <w:tblW w:w="7700" w:type="dxa"/>
        <w:jc w:val="left"/>
        <w:tblInd w:w="0" w:type="dxa"/>
        <w:tblLayout w:type="fixed"/>
        <w:tblCellMar>
          <w:top w:w="28" w:type="dxa"/>
          <w:left w:w="28" w:type="dxa"/>
          <w:bottom w:w="28" w:type="dxa"/>
          <w:right w:w="28" w:type="dxa"/>
        </w:tblCellMar>
      </w:tblPr>
      <w:tblGrid>
        <w:gridCol w:w="1711"/>
        <w:gridCol w:w="146"/>
        <w:gridCol w:w="146"/>
        <w:gridCol w:w="916"/>
        <w:gridCol w:w="241"/>
        <w:gridCol w:w="146"/>
        <w:gridCol w:w="146"/>
        <w:gridCol w:w="826"/>
        <w:gridCol w:w="241"/>
        <w:gridCol w:w="146"/>
        <w:gridCol w:w="146"/>
        <w:gridCol w:w="691"/>
        <w:gridCol w:w="241"/>
        <w:gridCol w:w="146"/>
        <w:gridCol w:w="181"/>
        <w:gridCol w:w="1139"/>
        <w:gridCol w:w="4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Against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Abstain</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Broker Non-Vote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BDD7E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Arthur H. Penn</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18,594,173</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2,754,774</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530,679</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38,651,116</w:t>
            </w:r>
          </w:p>
        </w:tc>
        <w:tc>
          <w:tcPr>
            <w:tcW w:w="491" w:type="dxa"/>
            <w:tcBorders/>
            <w:shd w:fill="BDD7EE"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 of Shares Voted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BDD7EE"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Jos</w:t>
            </w:r>
            <w:r>
              <w:rPr>
                <w:rFonts w:ascii="sans-serif" w:hAnsi="sans-serif"/>
                <w:color w:val="000000"/>
                <w:sz w:val="16"/>
              </w:rPr>
              <w:t>é</w:t>
            </w:r>
            <w:r>
              <w:rPr>
                <w:rFonts w:ascii="Times New Roman" w:hAnsi="Times New Roman"/>
                <w:color w:val="000000"/>
                <w:sz w:val="16"/>
              </w:rPr>
              <w:t> A. Briones, Jr.</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17,591,279</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3,676,864</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611,483</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38,651,116</w:t>
            </w:r>
          </w:p>
        </w:tc>
        <w:tc>
          <w:tcPr>
            <w:tcW w:w="491" w:type="dxa"/>
            <w:tcBorders/>
            <w:shd w:fill="BDD7EE"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 of Shares Voted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6"/>
        </w:rPr>
        <w:t>Proposal 2.</w:t>
      </w:r>
      <w:r>
        <w:rPr>
          <w:rFonts w:ascii="Times New Roman" w:hAnsi="Times New Roman"/>
          <w:color w:val="000000"/>
          <w:sz w:val="20"/>
        </w:rPr>
        <w:t xml:space="preserve"> </w:t>
      </w:r>
      <w:r>
        <w:rPr>
          <w:rFonts w:ascii="Times New Roman" w:hAnsi="Times New Roman"/>
          <w:color w:val="000000"/>
          <w:sz w:val="16"/>
        </w:rPr>
        <w:t>The Company’s stockholders ratified the selection of RSM US LLP to serve as the Company’s independent registered public accounting firm for the year ending September 30,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voting results as of February 3, 2026, as certified by the inspector of election, are set forth below:</w:t>
      </w:r>
    </w:p>
    <w:p>
      <w:pPr>
        <w:pStyle w:val="TextBody"/>
        <w:bidi w:val="0"/>
        <w:jc w:val="left"/>
        <w:rPr/>
      </w:pPr>
      <w:r>
        <w:rPr/>
        <w:t> </w:t>
      </w:r>
    </w:p>
    <w:tbl>
      <w:tblPr>
        <w:tblW w:w="5623" w:type="dxa"/>
        <w:jc w:val="left"/>
        <w:tblInd w:w="0" w:type="dxa"/>
        <w:tblLayout w:type="fixed"/>
        <w:tblCellMar>
          <w:top w:w="28" w:type="dxa"/>
          <w:left w:w="28" w:type="dxa"/>
          <w:bottom w:w="28" w:type="dxa"/>
          <w:right w:w="28" w:type="dxa"/>
        </w:tblCellMar>
      </w:tblPr>
      <w:tblGrid>
        <w:gridCol w:w="1411"/>
        <w:gridCol w:w="146"/>
        <w:gridCol w:w="146"/>
        <w:gridCol w:w="916"/>
        <w:gridCol w:w="241"/>
        <w:gridCol w:w="146"/>
        <w:gridCol w:w="146"/>
        <w:gridCol w:w="826"/>
        <w:gridCol w:w="241"/>
        <w:gridCol w:w="146"/>
        <w:gridCol w:w="146"/>
        <w:gridCol w:w="826"/>
        <w:gridCol w:w="286"/>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Against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Abstain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BDD7E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Voted</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57,485,168</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1,945,710</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1,099,864</w:t>
            </w:r>
          </w:p>
        </w:tc>
        <w:tc>
          <w:tcPr>
            <w:tcW w:w="28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of Shares Voted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6" w:space="1" w:color="7F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6"/>
        </w:rPr>
      </w:pPr>
      <w:bookmarkStart w:id="5" w:name="part_1_2_2"/>
      <w:bookmarkEnd w:id="5"/>
      <w:r>
        <w:rPr>
          <w:rFonts w:ascii="Times New Roman" w:hAnsi="Times New Roman"/>
          <w:b/>
          <w:color w:val="000000"/>
          <w:sz w:val="16"/>
        </w:rPr>
        <w:t>SIGNATURE</w:t>
      </w:r>
    </w:p>
    <w:p>
      <w:pPr>
        <w:pStyle w:val="TextBody"/>
        <w:bidi w:val="0"/>
        <w:spacing w:before="198" w:after="283"/>
        <w:jc w:val="left"/>
        <w:rPr>
          <w:rFonts w:ascii="Times New Roman" w:hAnsi="Times New Roman"/>
          <w:color w:val="000000"/>
          <w:sz w:val="16"/>
        </w:rPr>
      </w:pPr>
      <w:r>
        <w:rPr>
          <w:rFonts w:ascii="Times New Roman" w:hAnsi="Times New Roman"/>
          <w:color w:val="000000"/>
          <w:sz w:val="16"/>
        </w:rPr>
        <w:t>Pursuant to the requirements of the Securities Exchange Act of 1934, as amended, the Registrant has duly caused this report to be signed on its behalf by the undersigned hereunto duly authorized.</w:t>
      </w:r>
    </w:p>
    <w:tbl>
      <w:tblPr>
        <w:tblW w:w="5207" w:type="dxa"/>
        <w:jc w:val="left"/>
        <w:tblInd w:w="0" w:type="dxa"/>
        <w:tblLayout w:type="fixed"/>
        <w:tblCellMar>
          <w:top w:w="28" w:type="dxa"/>
          <w:left w:w="28" w:type="dxa"/>
          <w:bottom w:w="28" w:type="dxa"/>
          <w:right w:w="28" w:type="dxa"/>
        </w:tblCellMar>
      </w:tblPr>
      <w:tblGrid>
        <w:gridCol w:w="2007"/>
        <w:gridCol w:w="109"/>
        <w:gridCol w:w="3091"/>
      </w:tblGrid>
      <w:tr>
        <w:trPr/>
        <w:tc>
          <w:tcPr>
            <w:tcW w:w="2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0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PennantPark Floating Rate Capital Ltd.</w:t>
            </w:r>
          </w:p>
        </w:tc>
      </w:tr>
      <w:tr>
        <w:trPr/>
        <w:tc>
          <w:tcPr>
            <w:tcW w:w="20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200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16"/>
              </w:rPr>
            </w:pPr>
            <w:r>
              <w:rPr>
                <w:rFonts w:ascii="Times New Roman" w:hAnsi="Times New Roman"/>
                <w:color w:val="000000"/>
                <w:sz w:val="16"/>
              </w:rPr>
              <w:t>Dated: February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16"/>
              </w:rPr>
            </w:pPr>
            <w:r>
              <w:rPr>
                <w:rFonts w:ascii="Times New Roman" w:hAnsi="Times New Roman"/>
                <w:color w:val="000000"/>
                <w:sz w:val="16"/>
              </w:rPr>
              <w:t>/s/ RICHARD T. ALLORTO, Jr.</w:t>
            </w:r>
          </w:p>
        </w:tc>
      </w:tr>
      <w:tr>
        <w:trPr/>
        <w:tc>
          <w:tcPr>
            <w:tcW w:w="20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Richard T. Allorto, Jr.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Chief Financial Officer &amp;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3274</Characters>
  <CharactersWithSpaces>3872</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