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30,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March 30, 2022, PennantPark Floating Rate Capital Ltd. (the “Company”), acting pursuant to authorization from its Board of Directors, provided written notice to The Nasdaq Stock Market LLC (“Nasdaq”) of its determination to voluntarily withdraw the principal listing of the Company’s common stock, $0.001 par value (the “Common Stock”), from Nasdaq and transfer the listing to the New York Stock Exchange (“NYSE”). The Company expects that listing and trading of the Common Stock on Nasdaq will end at market close on April 13, 2022, and that trading will commence on the NYSE at market open on April 14,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been authorized for listing on the NYSE, where it will continue to trade under the stock symbol “PNNT.”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March 30, 2022, the Company issued a press release, a copy of which is furnished as Exhibit 99.1 to this report on Form 8-K.</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March 30,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520" w:type="dxa"/>
            <w:vAlign w:val="bottom"/>
          </w:tcPr>
          <w:p>
            <w:pPr>
              <w:spacing w:after="0"/>
              <w:rPr>
                <w:sz w:val="20"/>
                <w:szCs w:val="20"/>
                <w:color w:val="auto"/>
              </w:rPr>
            </w:pPr>
            <w:r>
              <w:rPr>
                <w:rFonts w:ascii="Arial" w:cs="Arial" w:eastAsia="Arial" w:hAnsi="Arial"/>
                <w:sz w:val="18"/>
                <w:szCs w:val="18"/>
                <w:color w:val="auto"/>
              </w:rPr>
              <w:t>Date: March 30, 2022</w:t>
            </w:r>
          </w:p>
        </w:tc>
        <w:tc>
          <w:tcPr>
            <w:tcW w:w="5040" w:type="dxa"/>
            <w:vAlign w:val="bottom"/>
            <w:gridSpan w:val="3"/>
          </w:tcPr>
          <w:p>
            <w:pPr>
              <w:ind w:left="1940"/>
              <w:spacing w:after="0"/>
              <w:rPr>
                <w:sz w:val="20"/>
                <w:szCs w:val="20"/>
                <w:color w:val="auto"/>
              </w:rPr>
            </w:pPr>
            <w:r>
              <w:rPr>
                <w:rFonts w:ascii="Arial" w:cs="Arial" w:eastAsia="Arial" w:hAnsi="Arial"/>
                <w:sz w:val="18"/>
                <w:szCs w:val="18"/>
                <w:color w:val="auto"/>
              </w:rPr>
              <w:t>By: /s/ Richard Cheung</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PennantPark Floating Rate Capital Ltd. Announces Transfer of Common Stock listing to the New York Stock Exchange</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MIAMI, March 30, 2022 (GLOBE NEWSWIRE) -- PennantPark Floating Rate Capital Ltd. (the “Company”) (NASDAQ: PNNT) today announced that it is transferring the listing of its common stock to the New York Stock Exchange (NYSE) from The NASDAQ Global Select Market. The Company’s common stock is expected to begin trading on the NYSE on April 14, 2022 under its current ticker symbol of ‘PNNT’. The Company will continue to trade its common stock on NASDAQ until the transfer to the NYSE is completed.</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“PennantPark Floating Rate Capital Ltd. is pleased to join the NYSE alongside many of the world’s most well-established and regarded companies,” said Arthur H. Penn, Chairman and CEO of PennantPark Floating Rate Capital Ltd. “This move is part of our strategic evolution as we continue to focus on generating long-term value for our shareholders. We are grateful for our past partnership with NASDAQ and look forward to our future with the NYSE.”</w:t>
      </w:r>
    </w:p>
    <w:p>
      <w:pPr>
        <w:spacing w:after="0" w:line="174"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“We are excited to welcome PennantPark Floating Rate Capital Ltd. as it joins the NYSE’s community of icons and disruptors,” said John Tuttle, Vice Chairman and Chief Commercial Officer, NYSE Group.</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$5.9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as amended. You should understand that under Section 27A(b)(2)(B) of the Securities Act and Section 21E(b)(2)(B) of the Securities Exchange Act of 1934, as amended (the “Exchange Act”), the “safe harbor” provisions of the Private Securities Litigation Reform Act of 1995, as amended,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military conflict and related sanctions, terrorism, natural disasters or pandemics. The Company undertakes no duty to update any forward-looking statement made herein. You should not place undue influence on such forward-looking statements as such statements speak only as of the date on which they are made.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2"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22"/>
          <w:szCs w:val="22"/>
          <w:b w:val="1"/>
          <w:bCs w:val="1"/>
          <w:color w:val="auto"/>
        </w:rPr>
        <w:t>Rubenstein</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Stefan Prelog</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917-804-7003</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sprelog@rubenstein.com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2022-03-30T16:04:09Z</dcterms:created>
  <dcterms:modified xsi:type="dcterms:W3CDTF">2022-03-30T16:04:09Z</dcterms:modified>
</cp:coreProperties>
</file>