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04,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On November 4, 2013, PennantPark Floating Rate Capital Ltd. (the "Company"), announced an increase of the size of its Credit Facility to $200 million. All other terms remain unchanged. SunTrust Robinson Humphrey, Inc. acted as lead arranger as the Company entered into an amended and restated revolving credit and security agreement. SunTrust Bank remains as the administrative agent and U.S. Bank National Association remains as the collateral agent, backup collateral manager and custodian.</w:t>
      </w:r>
    </w:p>
    <w:p>
      <w:pPr>
        <w:spacing w:after="0" w:line="214" w:lineRule="exact"/>
        <w:rPr>
          <w:sz w:val="24"/>
          <w:szCs w:val="24"/>
          <w:color w:val="auto"/>
        </w:rPr>
      </w:pPr>
    </w:p>
    <w:p>
      <w:pPr>
        <w:ind w:left="40" w:right="20"/>
        <w:spacing w:after="0" w:line="328" w:lineRule="auto"/>
        <w:rPr>
          <w:sz w:val="20"/>
          <w:szCs w:val="20"/>
          <w:color w:val="auto"/>
        </w:rPr>
      </w:pPr>
      <w:r>
        <w:rPr>
          <w:rFonts w:ascii="Arial" w:cs="Arial" w:eastAsia="Arial" w:hAnsi="Arial"/>
          <w:sz w:val="19"/>
          <w:szCs w:val="19"/>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132" w:lineRule="exact"/>
        <w:rPr>
          <w:sz w:val="24"/>
          <w:szCs w:val="24"/>
          <w:color w:val="auto"/>
        </w:rPr>
      </w:pPr>
    </w:p>
    <w:p>
      <w:pPr>
        <w:ind w:left="40" w:right="620"/>
        <w:spacing w:after="0" w:line="250" w:lineRule="auto"/>
        <w:rPr>
          <w:sz w:val="20"/>
          <w:szCs w:val="20"/>
          <w:color w:val="auto"/>
        </w:rPr>
      </w:pPr>
      <w:r>
        <w:rPr>
          <w:rFonts w:ascii="Arial" w:cs="Arial" w:eastAsia="Arial" w:hAnsi="Arial"/>
          <w:sz w:val="22"/>
          <w:szCs w:val="22"/>
          <w:color w:val="auto"/>
        </w:rPr>
        <w:t>The description above is only a summary of the material provisions of the Credit Facility and is qualified in its entirety by reference to the Credit Facility.</w:t>
      </w:r>
    </w:p>
    <w:p>
      <w:pPr>
        <w:spacing w:after="0" w:line="202" w:lineRule="exact"/>
        <w:rPr>
          <w:sz w:val="24"/>
          <w:szCs w:val="24"/>
          <w:color w:val="auto"/>
        </w:rPr>
      </w:pPr>
    </w:p>
    <w:p>
      <w:pPr>
        <w:ind w:left="40"/>
        <w:spacing w:after="0"/>
        <w:rPr>
          <w:sz w:val="20"/>
          <w:szCs w:val="20"/>
          <w:color w:val="auto"/>
        </w:rPr>
      </w:pPr>
      <w:r>
        <w:rPr>
          <w:rFonts w:ascii="Arial" w:cs="Arial" w:eastAsia="Arial" w:hAnsi="Arial"/>
          <w:sz w:val="22"/>
          <w:szCs w:val="22"/>
          <w:color w:val="auto"/>
        </w:rPr>
        <w:t>A press release announcing the amendment to the Credit Facility is attached hereto as Exhibit 99.1.</w:t>
      </w:r>
    </w:p>
    <w:p>
      <w:pPr>
        <w:spacing w:after="0" w:line="200" w:lineRule="exact"/>
        <w:rPr>
          <w:sz w:val="24"/>
          <w:szCs w:val="24"/>
          <w:color w:val="auto"/>
        </w:rPr>
      </w:pPr>
    </w:p>
    <w:p>
      <w:pPr>
        <w:ind w:left="40" w:right="460"/>
        <w:spacing w:after="0" w:line="256"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195" w:lineRule="exact"/>
        <w:rPr>
          <w:sz w:val="24"/>
          <w:szCs w:val="24"/>
          <w:color w:val="auto"/>
        </w:rPr>
      </w:pPr>
    </w:p>
    <w:p>
      <w:pPr>
        <w:ind w:left="40"/>
        <w:spacing w:after="0"/>
        <w:rPr>
          <w:sz w:val="20"/>
          <w:szCs w:val="20"/>
          <w:color w:val="auto"/>
        </w:rPr>
      </w:pPr>
      <w:r>
        <w:rPr>
          <w:rFonts w:ascii="Arial" w:cs="Arial" w:eastAsia="Arial" w:hAnsi="Arial"/>
          <w:sz w:val="22"/>
          <w:szCs w:val="22"/>
          <w:color w:val="auto"/>
        </w:rPr>
        <w:t>The information set forth in Item 1.01 is incorporated by reference into this Item 2.03.</w:t>
      </w:r>
    </w:p>
    <w:p>
      <w:pPr>
        <w:spacing w:after="0" w:line="200"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81"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(d) Exhibits</w:t>
      </w:r>
    </w:p>
    <w:p>
      <w:pPr>
        <w:spacing w:after="0" w:line="15"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November 04,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04, 2013</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November 04,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Upsizes Credit Facility to $200 Million</w:t>
      </w:r>
    </w:p>
    <w:p>
      <w:pPr>
        <w:spacing w:after="0" w:line="21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NEW YORK, NY -- (Marketwired - November 04, 2013) - PennantPark Floating Rate Capital Ltd. (the "Company") (NASDAQ: PFLT), announced an increase of the size of its Credit Facility to $200 million. All other terms remain unchanged. SunTrust Robinson Humphrey, Inc. acted as lead arranger as the Company entered into an amended and restated revolving credit and security agreement. SunTrust Bank remains as the administrative agent and U.S. Bank National Association remains as the collateral agent, backup collateral manager and custodian.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"We are pleased to have amended our Credit Facility to this new size as it nicely complements our permanent equity base. We are delighted to have received strong support from existing lenders and welcome new relationships that have joined our growing list of lending partners," said Chairman and Chief Executive Officer Arthur H. Penn.</w:t>
      </w:r>
    </w:p>
    <w:p>
      <w:pPr>
        <w:spacing w:after="0" w:line="169"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105"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The description above is only a summary of the material provisions of the Credit Facility and is qualified in its entirety by reference to the Credit Facility.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0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2020-05-05T12:04:34Z</dcterms:created>
  <dcterms:modified xsi:type="dcterms:W3CDTF">2020-05-05T12:04:34Z</dcterms:modified>
</cp:coreProperties>
</file>