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July 2, 2013.</w:t>
      </w:r>
    </w:p>
    <w:p>
      <w:pPr>
        <w:jc w:val="center"/>
        <w:ind w:right="-99"/>
        <w:spacing w:after="0" w:line="223" w:lineRule="auto"/>
        <w:rPr>
          <w:sz w:val="20"/>
          <w:szCs w:val="20"/>
          <w:color w:val="auto"/>
        </w:rPr>
      </w:pPr>
      <w:r>
        <w:rPr>
          <w:rFonts w:ascii="Arial" w:cs="Arial" w:eastAsia="Arial" w:hAnsi="Arial"/>
          <w:sz w:val="14"/>
          <w:szCs w:val="14"/>
          <w:b w:val="1"/>
          <w:bCs w:val="1"/>
          <w:color w:val="auto"/>
        </w:rPr>
        <w:t>Securities Act Registration No. 333-180084</w:t>
      </w:r>
    </w:p>
    <w:p>
      <w:pPr>
        <w:jc w:val="center"/>
        <w:ind w:right="-9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99"/>
        <w:spacing w:after="0" w:line="207" w:lineRule="exact"/>
        <w:rPr>
          <w:sz w:val="20"/>
          <w:szCs w:val="20"/>
          <w:color w:val="auto"/>
        </w:rPr>
      </w:pPr>
      <w:r>
        <w:rPr>
          <w:rFonts w:ascii="Arial" w:cs="Arial" w:eastAsia="Arial" w:hAnsi="Arial"/>
          <w:sz w:val="18"/>
          <w:szCs w:val="18"/>
          <w:b w:val="1"/>
          <w:bCs w:val="1"/>
          <w:color w:val="auto"/>
        </w:rPr>
        <w:t xml:space="preserve">Post-Effective Amendment No. 3 </w:t>
      </w:r>
      <w:r>
        <w:rPr>
          <w:rFonts w:ascii="MS PGothic" w:cs="MS PGothic" w:eastAsia="MS PGothic" w:hAnsi="MS PGothic"/>
          <w:sz w:val="18"/>
          <w:szCs w:val="18"/>
          <w:color w:val="auto"/>
        </w:rPr>
        <w:t>☒</w:t>
      </w:r>
    </w:p>
    <w:p>
      <w:pPr>
        <w:spacing w:after="0" w:line="10" w:lineRule="exact"/>
        <w:rPr>
          <w:sz w:val="24"/>
          <w:szCs w:val="24"/>
          <w:color w:val="auto"/>
        </w:rPr>
      </w:pPr>
    </w:p>
    <w:p>
      <w:pPr>
        <w:jc w:val="center"/>
        <w:ind w:right="-99"/>
        <w:spacing w:after="0" w:line="207" w:lineRule="exact"/>
        <w:tabs>
          <w:tab w:leader="none" w:pos="24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William Tuttle</w:t>
      </w:r>
    </w:p>
    <w:p>
      <w:pPr>
        <w:jc w:val="center"/>
        <w:ind w:right="-99"/>
        <w:spacing w:after="0" w:line="221"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2"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1"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4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4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500" w:firstLine="464"/>
        <w:spacing w:after="0" w:line="239" w:lineRule="auto"/>
        <w:tabs>
          <w:tab w:leader="none" w:pos="60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60" w:type="dxa"/>
            <w:vAlign w:val="bottom"/>
            <w:tcBorders>
              <w:top w:val="single" w:sz="8" w:color="auto"/>
              <w:left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38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ind w:right="214"/>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40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tcPr>
          <w:p>
            <w:pPr>
              <w:ind w:left="74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880" w:type="dxa"/>
            <w:vAlign w:val="bottom"/>
            <w:tcBorders>
              <w:right w:val="single" w:sz="8" w:color="auto"/>
            </w:tcBorders>
          </w:tcPr>
          <w:p>
            <w:pPr>
              <w:jc w:val="right"/>
              <w:ind w:right="332"/>
              <w:spacing w:after="0" w:line="148" w:lineRule="exact"/>
              <w:rPr>
                <w:sz w:val="20"/>
                <w:szCs w:val="20"/>
                <w:color w:val="auto"/>
              </w:rPr>
            </w:pPr>
            <w:r>
              <w:rPr>
                <w:rFonts w:ascii="Arial" w:cs="Arial" w:eastAsia="Arial" w:hAnsi="Arial"/>
                <w:sz w:val="14"/>
                <w:szCs w:val="14"/>
                <w:b w:val="1"/>
                <w:bCs w:val="1"/>
                <w:color w:val="auto"/>
              </w:rPr>
              <w:t>Amount Being</w:t>
            </w:r>
          </w:p>
        </w:tc>
        <w:tc>
          <w:tcPr>
            <w:tcW w:w="194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380" w:type="dxa"/>
            <w:vAlign w:val="bottom"/>
          </w:tcPr>
          <w:p>
            <w:pPr>
              <w:spacing w:after="0"/>
              <w:rPr>
                <w:sz w:val="12"/>
                <w:szCs w:val="12"/>
                <w:color w:val="auto"/>
              </w:rPr>
            </w:pPr>
          </w:p>
        </w:tc>
        <w:tc>
          <w:tcPr>
            <w:tcW w:w="1540" w:type="dxa"/>
            <w:vAlign w:val="bottom"/>
            <w:tcBorders>
              <w:right w:val="single" w:sz="8" w:color="auto"/>
            </w:tcBorders>
          </w:tcPr>
          <w:p>
            <w:pPr>
              <w:jc w:val="center"/>
              <w:ind w:right="234"/>
              <w:spacing w:after="0" w:line="148" w:lineRule="exact"/>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620" w:type="dxa"/>
            <w:vAlign w:val="bottom"/>
            <w:tcBorders>
              <w:right w:val="single" w:sz="8" w:color="auto"/>
            </w:tcBorders>
          </w:tcPr>
          <w:p>
            <w:pPr>
              <w:jc w:val="center"/>
              <w:ind w:right="33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760" w:type="dxa"/>
            <w:vAlign w:val="bottom"/>
            <w:tcBorders>
              <w:left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4"/>
                <w:szCs w:val="14"/>
                <w:b w:val="1"/>
                <w:bCs w:val="1"/>
                <w:color w:val="auto"/>
              </w:rPr>
              <w:t>Registered</w:t>
            </w:r>
          </w:p>
        </w:tc>
        <w:tc>
          <w:tcPr>
            <w:tcW w:w="188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Registered</w:t>
            </w:r>
          </w:p>
        </w:tc>
        <w:tc>
          <w:tcPr>
            <w:tcW w:w="194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93"/>
              </w:rPr>
              <w:t>Per Unit</w:t>
            </w: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right="23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35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880" w:type="dxa"/>
            <w:vAlign w:val="bottom"/>
            <w:tcBorders>
              <w:right w:val="single" w:sz="8" w:color="auto"/>
            </w:tcBorders>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vMerge w:val="continue"/>
          </w:tcPr>
          <w:p>
            <w:pPr>
              <w:spacing w:after="0"/>
              <w:rPr>
                <w:sz w:val="2"/>
                <w:szCs w:val="2"/>
                <w:color w:val="auto"/>
              </w:rPr>
            </w:pPr>
          </w:p>
        </w:tc>
        <w:tc>
          <w:tcPr>
            <w:tcW w:w="380" w:type="dxa"/>
            <w:vAlign w:val="bottom"/>
            <w:tcBorders>
              <w:bottom w:val="single" w:sz="8" w:color="auto"/>
            </w:tcBorders>
            <w:vMerge w:val="continue"/>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80" w:type="dxa"/>
            <w:vAlign w:val="bottom"/>
            <w:tcBorders>
              <w:right w:val="single" w:sz="8" w:color="auto"/>
            </w:tcBorders>
            <w:vMerge w:val="restart"/>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150,000,000</w:t>
            </w:r>
            <w:r>
              <w:rPr>
                <w:rFonts w:ascii="Arial" w:cs="Arial" w:eastAsia="Arial" w:hAnsi="Arial"/>
                <w:sz w:val="22"/>
                <w:szCs w:val="22"/>
                <w:color w:val="auto"/>
                <w:vertAlign w:val="superscript"/>
              </w:rPr>
              <w:t>(5)</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17,190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760" w:type="dxa"/>
            <w:vAlign w:val="bottom"/>
            <w:tcBorders>
              <w:left w:val="single" w:sz="8" w:color="auto"/>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5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$150,000,000.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$150,000,000.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jc w:val="both"/>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8(c) of the Securities Act of 1933 or until the Registration Statement shall become effective on such dates as the Commission, acting pursuant to said Section 8(c), may determine.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58"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6 and “Sales of Common Stock Below Net Asset Value” on page 39 of this prospectus for more information.</w:t>
      </w:r>
    </w:p>
    <w:p>
      <w:pPr>
        <w:spacing w:after="0" w:line="46"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July 1, 2013 was $14.22 per share, and our net asset value on March 31, 2013 was $14.10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color w:val="auto"/>
        </w:rPr>
        <w:t>” beginning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1"/>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9">
              <w:r>
                <w:rPr>
                  <w:rFonts w:ascii="Arial" w:cs="Arial" w:eastAsia="Arial" w:hAnsi="Arial"/>
                  <w:sz w:val="14"/>
                  <w:szCs w:val="14"/>
                  <w:color w:val="0000EE"/>
                  <w:w w:val="89"/>
                </w:rPr>
                <w:t>FEES AND EXPENSES</w:t>
              </w:r>
            </w:hyperlink>
          </w:p>
        </w:tc>
        <w:tc>
          <w:tcPr>
            <w:tcW w:w="944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22</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28">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23</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24</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1"/>
          </w:tcPr>
          <w:p>
            <w:pPr>
              <w:spacing w:after="0"/>
              <w:rPr>
                <w:rFonts w:ascii="Arial" w:cs="Arial" w:eastAsia="Arial" w:hAnsi="Arial"/>
                <w:sz w:val="14"/>
                <w:szCs w:val="14"/>
                <w:color w:val="0000EE"/>
                <w:w w:val="93"/>
              </w:rPr>
            </w:pPr>
            <w:hyperlink w:anchor="page31">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26</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2">
              <w:r>
                <w:rPr>
                  <w:rFonts w:ascii="Arial" w:cs="Arial" w:eastAsia="Arial" w:hAnsi="Arial"/>
                  <w:sz w:val="14"/>
                  <w:szCs w:val="14"/>
                  <w:color w:val="0000EE"/>
                  <w:w w:val="90"/>
                </w:rPr>
                <w:t>SENIOR SECURITIES</w:t>
              </w:r>
            </w:hyperlink>
          </w:p>
        </w:tc>
        <w:tc>
          <w:tcPr>
            <w:tcW w:w="950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37</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PRICE RANGE OF COMMON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39</w:t>
            </w:r>
          </w:p>
        </w:tc>
      </w:tr>
      <w:tr>
        <w:trPr>
          <w:trHeight w:val="196"/>
        </w:trPr>
        <w:tc>
          <w:tcPr>
            <w:tcW w:w="3480" w:type="dxa"/>
            <w:vAlign w:val="bottom"/>
            <w:tcBorders>
              <w:top w:val="single" w:sz="8" w:color="0000EE"/>
            </w:tcBorders>
            <w:gridSpan w:val="27"/>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43</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BUSINESS</w:t>
              </w:r>
            </w:hyperlink>
          </w:p>
        </w:tc>
        <w:tc>
          <w:tcPr>
            <w:tcW w:w="9780" w:type="dxa"/>
            <w:vAlign w:val="bottom"/>
            <w:gridSpan w:val="2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44</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1"/>
          </w:tcPr>
          <w:p>
            <w:pPr>
              <w:spacing w:after="0"/>
              <w:rPr>
                <w:rFonts w:ascii="Arial" w:cs="Arial" w:eastAsia="Arial" w:hAnsi="Arial"/>
                <w:sz w:val="14"/>
                <w:szCs w:val="14"/>
                <w:color w:val="0000EE"/>
                <w:w w:val="93"/>
              </w:rPr>
            </w:pPr>
            <w:hyperlink w:anchor="page52">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47</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52</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MANAGEMENT</w:t>
              </w:r>
            </w:hyperlink>
          </w:p>
        </w:tc>
        <w:tc>
          <w:tcPr>
            <w:tcW w:w="9260" w:type="dxa"/>
            <w:vAlign w:val="bottom"/>
            <w:gridSpan w:val="2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57</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6"/>
          </w:tcPr>
          <w:p>
            <w:pPr>
              <w:spacing w:after="0"/>
              <w:rPr>
                <w:rFonts w:ascii="Arial" w:cs="Arial" w:eastAsia="Arial" w:hAnsi="Arial"/>
                <w:sz w:val="14"/>
                <w:szCs w:val="14"/>
                <w:color w:val="0000EE"/>
                <w:w w:val="91"/>
              </w:rPr>
            </w:pPr>
            <w:hyperlink w:anchor="page67">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62</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64</w:t>
            </w:r>
          </w:p>
        </w:tc>
      </w:tr>
      <w:tr>
        <w:trPr>
          <w:trHeight w:val="196"/>
        </w:trPr>
        <w:tc>
          <w:tcPr>
            <w:tcW w:w="2540" w:type="dxa"/>
            <w:vAlign w:val="bottom"/>
            <w:tcBorders>
              <w:top w:val="single" w:sz="8" w:color="0000EE"/>
              <w:bottom w:val="single" w:sz="8" w:color="0000EE"/>
            </w:tcBorders>
            <w:gridSpan w:val="19"/>
          </w:tcPr>
          <w:p>
            <w:pPr>
              <w:spacing w:after="0"/>
              <w:rPr>
                <w:rFonts w:ascii="Arial" w:cs="Arial" w:eastAsia="Arial" w:hAnsi="Arial"/>
                <w:sz w:val="14"/>
                <w:szCs w:val="14"/>
                <w:color w:val="0000EE"/>
                <w:w w:val="93"/>
              </w:rPr>
            </w:pPr>
            <w:hyperlink w:anchor="page74">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69</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71</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8"/>
          </w:tcPr>
          <w:p>
            <w:pPr>
              <w:spacing w:after="0"/>
              <w:rPr>
                <w:rFonts w:ascii="Arial" w:cs="Arial" w:eastAsia="Arial" w:hAnsi="Arial"/>
                <w:sz w:val="14"/>
                <w:szCs w:val="14"/>
                <w:color w:val="0000EE"/>
                <w:w w:val="91"/>
              </w:rPr>
            </w:pPr>
            <w:hyperlink w:anchor="page77">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72</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76</w:t>
            </w:r>
          </w:p>
        </w:tc>
      </w:tr>
      <w:tr>
        <w:trPr>
          <w:trHeight w:val="196"/>
        </w:trPr>
        <w:tc>
          <w:tcPr>
            <w:tcW w:w="2680" w:type="dxa"/>
            <w:vAlign w:val="bottom"/>
            <w:tcBorders>
              <w:top w:val="single" w:sz="8" w:color="0000EE"/>
            </w:tcBorders>
            <w:gridSpan w:val="22"/>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77</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78</w:t>
            </w:r>
          </w:p>
        </w:tc>
      </w:tr>
      <w:tr>
        <w:trPr>
          <w:trHeight w:val="196"/>
        </w:trPr>
        <w:tc>
          <w:tcPr>
            <w:tcW w:w="260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1"/>
              </w:rPr>
            </w:pPr>
            <w:hyperlink w:anchor="page84">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79</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4">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89</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8">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93</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94</w:t>
            </w:r>
          </w:p>
        </w:tc>
      </w:tr>
      <w:tr>
        <w:trPr>
          <w:trHeight w:val="196"/>
        </w:trPr>
        <w:tc>
          <w:tcPr>
            <w:tcW w:w="3660" w:type="dxa"/>
            <w:vAlign w:val="bottom"/>
            <w:tcBorders>
              <w:top w:val="single" w:sz="8" w:color="0000EE"/>
            </w:tcBorders>
            <w:gridSpan w:val="29"/>
          </w:tcPr>
          <w:p>
            <w:pPr>
              <w:spacing w:after="0"/>
              <w:rPr>
                <w:rFonts w:ascii="Arial" w:cs="Arial" w:eastAsia="Arial" w:hAnsi="Arial"/>
                <w:sz w:val="14"/>
                <w:szCs w:val="14"/>
                <w:color w:val="0000EE"/>
              </w:rPr>
            </w:pPr>
            <w:hyperlink w:anchor="page103">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04">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4"/>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196"/>
        </w:trPr>
        <w:tc>
          <w:tcPr>
            <w:tcW w:w="3600" w:type="dxa"/>
            <w:vAlign w:val="bottom"/>
            <w:tcBorders>
              <w:top w:val="single" w:sz="8" w:color="0000EE"/>
            </w:tcBorders>
            <w:gridSpan w:val="28"/>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5"/>
          </w:tcPr>
          <w:p>
            <w:pPr>
              <w:spacing w:after="0"/>
              <w:rPr>
                <w:rFonts w:ascii="Arial" w:cs="Arial" w:eastAsia="Arial" w:hAnsi="Arial"/>
                <w:sz w:val="14"/>
                <w:szCs w:val="14"/>
                <w:color w:val="0000EE"/>
              </w:rPr>
            </w:pPr>
            <w:hyperlink w:anchor="page151">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61">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1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$150,000,000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8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left="200" w:right="160" w:firstLine="443"/>
        <w:spacing w:after="0" w:line="288"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as amended, or the Credit Facility, proceeds from the rotation of our portfolio and proceeds from public and private offerings of securities to finance our investment objectives.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60" w:firstLine="443"/>
        <w:spacing w:after="0" w:line="233" w:lineRule="auto"/>
        <w:rPr>
          <w:sz w:val="20"/>
          <w:szCs w:val="20"/>
          <w:color w:val="auto"/>
        </w:rPr>
      </w:pPr>
      <w:r>
        <w:rPr>
          <w:rFonts w:ascii="Arial" w:cs="Arial" w:eastAsia="Arial" w:hAnsi="Arial"/>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$1.7 billion in debt and equity capital and has invested approximately $2.5 billion in 244 companies with 110 different financial sponsors through its managed funds.</w:t>
      </w:r>
    </w:p>
    <w:p>
      <w:pPr>
        <w:spacing w:after="0" w:line="123" w:lineRule="exact"/>
        <w:rPr>
          <w:sz w:val="20"/>
          <w:szCs w:val="20"/>
          <w:color w:val="auto"/>
        </w:rPr>
      </w:pPr>
    </w:p>
    <w:p>
      <w:pPr>
        <w:ind w:left="200" w:right="120" w:firstLine="443"/>
        <w:spacing w:after="0" w:line="227"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69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3694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7" w:lineRule="exact"/>
        <w:rPr>
          <w:sz w:val="20"/>
          <w:szCs w:val="20"/>
          <w:color w:val="auto"/>
        </w:rPr>
      </w:pPr>
    </w:p>
    <w:p>
      <w:pPr>
        <w:ind w:left="200" w:right="80" w:firstLine="443"/>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200" w:firstLine="443"/>
        <w:spacing w:after="0" w:line="227" w:lineRule="auto"/>
        <w:rPr>
          <w:sz w:val="20"/>
          <w:szCs w:val="20"/>
          <w:color w:val="auto"/>
        </w:rPr>
      </w:pPr>
      <w:r>
        <w:rPr>
          <w:rFonts w:ascii="Arial" w:cs="Arial" w:eastAsia="Arial" w:hAnsi="Arial"/>
          <w:sz w:val="14"/>
          <w:szCs w:val="14"/>
          <w:color w:val="auto"/>
        </w:rPr>
        <w:t>We maintain a $125 million Credit Facility, which matures in May 2018, with SunTrust Bank, or the Lender. During the Credit Facility’s period to and including May 14, 2016, or the revolving period, it bears interest at LIBOR plus 200 basis points, and after the revolving period, the rate sets to LIBOR plus 425 basis points for the remaining two years. The Credit Facility is secured by all of the assets held by Funding I, under which we had $34.2 million outstanding with an annual interest rate of 2.21%, excluding the undrawn commitment fee of 0.375%, as of March 31, 2013.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 – Liquidity and Capital Resources”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8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9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3898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20" w:firstLine="443"/>
        <w:spacing w:after="0" w:line="233"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right="8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March 31, 2013, the corresponding interest rate charged on such borrowings as of that date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Recent Developments</w:t>
      </w:r>
    </w:p>
    <w:p>
      <w:pPr>
        <w:spacing w:after="0" w:line="71" w:lineRule="exact"/>
        <w:rPr>
          <w:sz w:val="20"/>
          <w:szCs w:val="20"/>
          <w:color w:val="auto"/>
        </w:rPr>
      </w:pPr>
    </w:p>
    <w:p>
      <w:pPr>
        <w:ind w:left="200" w:right="100" w:firstLine="443"/>
        <w:spacing w:after="0" w:line="318" w:lineRule="auto"/>
        <w:rPr>
          <w:sz w:val="20"/>
          <w:szCs w:val="20"/>
          <w:color w:val="auto"/>
        </w:rPr>
      </w:pPr>
      <w:r>
        <w:rPr>
          <w:rFonts w:ascii="Arial" w:cs="Arial" w:eastAsia="Arial" w:hAnsi="Arial"/>
          <w:sz w:val="12"/>
          <w:szCs w:val="12"/>
          <w:color w:val="auto"/>
        </w:rPr>
        <w:t>On April 8, 2013, we sold an additional 450,000 shares of common stock pursuant to the exercise of the underwriters’ overallotment option that we granted in our March 2013 equity offering at a public offering price of $14.00 per share, generating gross proceeds of $6.3 million. Our Investment Adviser paid the entire sales load of $0.2 million in connection with the sale of these shares.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left="200" w:right="120" w:firstLine="443"/>
        <w:spacing w:after="0" w:line="239" w:lineRule="auto"/>
        <w:rPr>
          <w:sz w:val="20"/>
          <w:szCs w:val="20"/>
          <w:color w:val="auto"/>
        </w:rPr>
      </w:pPr>
      <w:r>
        <w:rPr>
          <w:rFonts w:ascii="Arial" w:cs="Arial" w:eastAsia="Arial" w:hAnsi="Arial"/>
          <w:sz w:val="14"/>
          <w:szCs w:val="14"/>
          <w:color w:val="auto"/>
        </w:rPr>
        <w:t>We intend to continue our monthly distributions to our common stockholders. Our monthly distributions, if any, are determined by our board of directors. See “Distributions” and “Price Range of Common Stock”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4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$150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4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1.67 %</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2.05 %</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2.25 %</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1.67 %</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-17145</wp:posOffset>
            </wp:positionV>
            <wp:extent cx="4375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7.64 %</w:t>
      </w:r>
      <w:r>
        <w:rPr>
          <w:rFonts w:ascii="Arial" w:cs="Arial" w:eastAsia="Arial" w:hAnsi="Arial"/>
          <w:sz w:val="17"/>
          <w:szCs w:val="17"/>
          <w:color w:val="auto"/>
          <w:vertAlign w:val="superscript"/>
        </w:rPr>
        <w:t>(8)</w:t>
      </w:r>
    </w:p>
    <w:p>
      <w:pPr>
        <w:spacing w:after="0" w:line="200"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spacing w:after="0" w:line="4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March 31, 2013.</w:t>
      </w:r>
    </w:p>
    <w:p>
      <w:pPr>
        <w:spacing w:after="0" w:line="68" w:lineRule="exact"/>
        <w:rPr>
          <w:rFonts w:ascii="Arial" w:cs="Arial" w:eastAsia="Arial" w:hAnsi="Arial"/>
          <w:sz w:val="14"/>
          <w:szCs w:val="14"/>
          <w:color w:val="auto"/>
        </w:rPr>
      </w:pPr>
    </w:p>
    <w:p>
      <w:pPr>
        <w:ind w:left="580" w:right="70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March 31, 2013.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4"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unrealized capital gains exceeded our cumulative realized and unrealized capital losses and we accrued a capital gains incentive fee of $0.3 million in accordance with U.S. generally accepted accounting principles, or GAAP. However, “Incentive fees” includes an accrual for capital gains incentive fee for the three months ended March 31, 2013 even though no capital gains incentive fee was payable under our Investment Management Agreement as of March 31, 2013. As we cannot predict our future net investment income or capital gains, the incentive fee paid in future periods, if any, may be substantially different than the fee earned during the three months ended March 31, 2013, and we cannot assure you that we will recognize capital gains for the calendar year ending December 31, 2013 in amounts consistent with the accrual for the same period.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right="60" w:hanging="572"/>
        <w:spacing w:after="0" w:line="273"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March 31, 2013, we had $34.2 million in borrowings outstanding under our $125.0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which includes actual (unannualized) amendment costs incurred in connection with amending our Credit Facility,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580" w:right="20" w:hanging="572"/>
        <w:spacing w:after="0" w:line="28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right="120" w:hanging="572"/>
        <w:spacing w:after="0" w:line="27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28 of this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152"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0.83%, (2) total net annual expenses of 5.59%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1 year</w:t>
            </w:r>
          </w:p>
        </w:tc>
        <w:tc>
          <w:tcPr>
            <w:tcW w:w="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10 years</w:t>
            </w:r>
          </w:p>
        </w:tc>
      </w:tr>
      <w:tr>
        <w:trPr>
          <w:trHeight w:val="142"/>
        </w:trPr>
        <w:tc>
          <w:tcPr>
            <w:tcW w:w="8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You would pay the following expenses on a $1,000 common stock investment, assuming a 5% annual return(1)</w:t>
            </w: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303</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w:t>
            </w:r>
          </w:p>
        </w:tc>
        <w:tc>
          <w:tcPr>
            <w:tcW w:w="60" w:type="dxa"/>
            <w:vAlign w:val="bottom"/>
            <w:tcBorders>
              <w:top w:val="single" w:sz="8" w:color="CCEEFF"/>
            </w:tcBorders>
            <w:shd w:val="clear" w:color="auto" w:fill="CCEEFF"/>
          </w:tcPr>
          <w:p>
            <w:pPr>
              <w:spacing w:after="0"/>
              <w:rPr>
                <w:sz w:val="12"/>
                <w:szCs w:val="12"/>
                <w:color w:val="auto"/>
              </w:rPr>
            </w:pPr>
          </w:p>
        </w:tc>
      </w:tr>
      <w:tr>
        <w:trPr>
          <w:trHeight w:val="172"/>
        </w:trPr>
        <w:tc>
          <w:tcPr>
            <w:tcW w:w="8780" w:type="dxa"/>
            <w:vAlign w:val="bottom"/>
          </w:tcPr>
          <w:p>
            <w:pPr>
              <w:spacing w:after="0"/>
              <w:rPr>
                <w:sz w:val="20"/>
                <w:szCs w:val="20"/>
                <w:color w:val="auto"/>
              </w:rPr>
            </w:pPr>
            <w:r>
              <w:rPr>
                <w:rFonts w:ascii="Arial" w:cs="Arial" w:eastAsia="Arial" w:hAnsi="Arial"/>
                <w:sz w:val="14"/>
                <w:szCs w:val="14"/>
                <w:color w:val="auto"/>
              </w:rPr>
              <w:t>You would pay the following expenses on a $1,000 common stock investment, assuming a 5% annual return(2)</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343</w:t>
            </w:r>
          </w:p>
        </w:tc>
        <w:tc>
          <w:tcPr>
            <w:tcW w:w="4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624</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Assumes that we will not realize any capital gains computed net of all realized capital losses and unrealized capital appreciation and depreciation.</w:t>
      </w:r>
    </w:p>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Assumes no unrealized capital appreciation or depreciation and 5% annual return resulting entirely from net realized capital gains (and therefore subject to the capital gains incentive fee).</w:t>
      </w:r>
    </w:p>
    <w:p>
      <w:pPr>
        <w:spacing w:after="0" w:line="16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71" w:lineRule="exact"/>
        <w:rPr>
          <w:sz w:val="20"/>
          <w:szCs w:val="20"/>
          <w:color w:val="auto"/>
        </w:rPr>
      </w:pPr>
    </w:p>
    <w:p>
      <w:pPr>
        <w:ind w:right="120" w:firstLine="456"/>
        <w:spacing w:after="0" w:line="318" w:lineRule="auto"/>
        <w:rPr>
          <w:sz w:val="20"/>
          <w:szCs w:val="20"/>
          <w:color w:val="auto"/>
        </w:rPr>
      </w:pPr>
      <w:r>
        <w:rPr>
          <w:rFonts w:ascii="Arial" w:cs="Arial" w:eastAsia="Arial" w:hAnsi="Arial"/>
          <w:sz w:val="12"/>
          <w:szCs w:val="12"/>
          <w:b w:val="1"/>
          <w:bCs w:val="1"/>
          <w:i w:val="1"/>
          <w:iCs w:val="1"/>
          <w:color w:val="auto"/>
        </w:rPr>
        <w:t>Global capital markets could enter a period of severe disruption and instability. These market conditions have historically and could again have a material adverse effect on debt and equity capital markets in the United States, which could have a materially negative impact on our business, financial condition and results of operations.</w:t>
      </w:r>
    </w:p>
    <w:p>
      <w:pPr>
        <w:spacing w:after="0" w:line="12"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including the recent U.S. government spending cuts that took effect March 1, 2013, could have a material adverse effect on our business, financial condition and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our asset coverage, as defined in the 1940 Act, which we refer to as the asset coverage ratio. Declining portfolio values negatively impact our ability to borrow additional funds under our Credit Facility because our net asset value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Any unrealized losses we experience on our investment portfolio may be an indication of future realized losses, which could reduce our income available for distribution.</w:t>
      </w:r>
    </w:p>
    <w:p>
      <w:pPr>
        <w:spacing w:after="0" w:line="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Following periods of volatility in the market price of a company’s securities, securities class action litigation has often been brought against that company.</w:t>
      </w:r>
    </w:p>
    <w:p>
      <w:pPr>
        <w:spacing w:after="0" w:line="6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valuation of our portfolio companies. Negative credit events will lead to a decrease in the fair value of our portfolio companies.</w:t>
      </w:r>
    </w:p>
    <w:p>
      <w:pPr>
        <w:spacing w:after="0" w:line="139"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In addition, current market conditions have affected consumer confidence levels, which may harm the business of our portfolio companies and result in adverse changes in payment patterns. If interest rates rise, some of our portfolio companies may not be able to pay the escalating interest on our loans and may default. Increased delinquencies and default rates would negatively impact our results of operations. Deterioration in the quality of our credit portfolio could have a material adverse effect on our business, financial condition and results of operations.</w:t>
      </w:r>
    </w:p>
    <w:p>
      <w:pPr>
        <w:spacing w:after="0" w:line="111"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investments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investments. Deterioration in a borrower’s financial condition and prospects may be accompanied by deterioration in any related collateral and may have a material adverse effect on our financial condition and results of operations.</w:t>
      </w:r>
    </w:p>
    <w:p>
      <w:pPr>
        <w:spacing w:after="0" w:line="208"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the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with which our investment professionals have been affiliated.</w:t>
      </w:r>
    </w:p>
    <w:p>
      <w:pPr>
        <w:spacing w:after="0" w:line="69"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Any failure on our part to maintain our status as a business development company would reduce our operating flexibility.</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dividends.</w:t>
      </w:r>
    </w:p>
    <w:p>
      <w:pPr>
        <w:spacing w:after="0" w:line="69" w:lineRule="exact"/>
        <w:rPr>
          <w:sz w:val="20"/>
          <w:szCs w:val="20"/>
          <w:color w:val="auto"/>
        </w:rPr>
      </w:pPr>
    </w:p>
    <w:p>
      <w:pPr>
        <w:ind w:right="40" w:firstLine="456"/>
        <w:spacing w:after="0" w:line="267" w:lineRule="auto"/>
        <w:rPr>
          <w:sz w:val="20"/>
          <w:szCs w:val="20"/>
          <w:color w:val="auto"/>
        </w:rPr>
      </w:pPr>
      <w:r>
        <w:rPr>
          <w:rFonts w:ascii="Arial" w:cs="Arial" w:eastAsia="Arial" w:hAnsi="Arial"/>
          <w:sz w:val="12"/>
          <w:szCs w:val="12"/>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6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For federal income tax purposes, we include in income certain amounts that we have not yet received in cash, such as original issue discount, or OID, or contractual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11" w:lineRule="exact"/>
        <w:rPr>
          <w:sz w:val="20"/>
          <w:szCs w:val="20"/>
          <w:color w:val="auto"/>
        </w:rPr>
      </w:pPr>
    </w:p>
    <w:p>
      <w:pPr>
        <w:ind w:right="30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8" w:lineRule="exact"/>
        <w:rPr>
          <w:sz w:val="20"/>
          <w:szCs w:val="20"/>
          <w:color w:val="auto"/>
        </w:rPr>
      </w:pPr>
    </w:p>
    <w:p>
      <w:pPr>
        <w:ind w:right="100"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waivers and if Funding I is unable to obtain a waiver, compliance with the covenants may result in a corporate-level income tax on 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Regulations governing our operation as a business development company will affect our ability to, and the way in which we, raise additional capital.</w:t>
      </w:r>
    </w:p>
    <w:p>
      <w:pPr>
        <w:spacing w:after="0" w:line="6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additional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permissable under the asset coverage definition under the 1940 Act. Our ability to pay dividends or issue additional senior securities would be restricted if our asset coverage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60" w:lineRule="exact"/>
        <w:rPr>
          <w:sz w:val="20"/>
          <w:szCs w:val="20"/>
          <w:color w:val="auto"/>
        </w:rPr>
      </w:pPr>
    </w:p>
    <w:p>
      <w:pPr>
        <w:jc w:val="both"/>
        <w:ind w:left="540" w:right="140" w:hanging="316"/>
        <w:spacing w:after="0" w:line="228"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are exposed to typical risks associated with leverage, including an increased risk of loss. If we issue preferred securities, they would rank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hanging="316"/>
        <w:spacing w:after="0" w:line="265"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on Form N-2, we must then be qualified to register our securities under the requirements of Form S-3. We may actually issue shares above or below a future net asset value.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42"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 funding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met, and any amounts that we use to service our indebtedness are not available for distribution to our common stockholders.</w:t>
      </w:r>
    </w:p>
    <w:p>
      <w:pPr>
        <w:spacing w:after="0" w:line="11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Funding I may fail to meet certain asset coverage tests, which would have an adverse effect on the timing of payments to us, or otherwise fail to satisfy various covenants.</w:t>
      </w:r>
    </w:p>
    <w:p>
      <w:pPr>
        <w:spacing w:after="0" w:line="92"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A material decrease in our net asset value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69"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have priority over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7"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As of March 31, 2013, we had outstanding borrowings of $34.2 million under our Credit Facility with a weighted average annual interest rate of 2.21% exclusive of the fees on the undrawn commitment of 0.375%. Accordingly, to cover the annual interest on our borrowings outstanding at March 31, 2013, at the then current rate, we would have to receive an annual yield of at least 0.42%. This example is for illustrative purposes only, and actual interest rates on our Credit Facility or any future borrowings are likely to fluctuate. The costs associated with our borrowings, including any increase in the management fee payable to our Investment Adviser, are and will be borne by our common stockholders.</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March 31, 2013 of 18% of total assets (including such borrowed funds), at a weighted average rate at the time of 2.21%, and assuming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93"/>
        </w:trPr>
        <w:tc>
          <w:tcPr>
            <w:tcW w:w="556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480" w:type="dxa"/>
            <w:vAlign w:val="bottom"/>
          </w:tcPr>
          <w:p>
            <w:pPr>
              <w:jc w:val="right"/>
              <w:ind w:right="72"/>
              <w:spacing w:after="0"/>
              <w:rPr>
                <w:sz w:val="20"/>
                <w:szCs w:val="20"/>
                <w:color w:val="auto"/>
              </w:rPr>
            </w:pPr>
            <w:r>
              <w:rPr>
                <w:rFonts w:ascii="Arial" w:cs="Arial" w:eastAsia="Arial" w:hAnsi="Arial"/>
                <w:sz w:val="14"/>
                <w:szCs w:val="14"/>
                <w:color w:val="auto"/>
              </w:rPr>
              <w:t>(14.1)%</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(7.3)%</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6.2%</w:t>
            </w:r>
          </w:p>
        </w:tc>
        <w:tc>
          <w:tcPr>
            <w:tcW w:w="520" w:type="dxa"/>
            <w:vAlign w:val="bottom"/>
          </w:tcPr>
          <w:p>
            <w:pPr>
              <w:jc w:val="right"/>
              <w:spacing w:after="0"/>
              <w:rPr>
                <w:sz w:val="20"/>
                <w:szCs w:val="20"/>
                <w:color w:val="auto"/>
              </w:rPr>
            </w:pPr>
            <w:r>
              <w:rPr>
                <w:rFonts w:ascii="Arial" w:cs="Arial" w:eastAsia="Arial" w:hAnsi="Arial"/>
                <w:sz w:val="14"/>
                <w:szCs w:val="14"/>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8"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 in the same way as our borrowings.</w:t>
      </w:r>
    </w:p>
    <w:p>
      <w:pPr>
        <w:spacing w:after="0" w:line="5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2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58" w:lineRule="exact"/>
        <w:rPr>
          <w:sz w:val="20"/>
          <w:szCs w:val="20"/>
          <w:color w:val="auto"/>
        </w:rPr>
      </w:pPr>
    </w:p>
    <w:p>
      <w:pPr>
        <w:ind w:right="60" w:firstLine="456"/>
        <w:spacing w:after="0" w:line="227"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net asset value and market value of our common stock may become more volatile.</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debt securities and/or convertible debt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3"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There is also a risk that, in the event of a sharp decline in the value of our net assets, we would be in danger of failing to maintain required asset coverage ratios which may be required by the preferred stock, debt securities and/or convertible debt or of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and/or convertible debt. In addition, we would pay (and the holders of our common stock would bear) all costs and expenses relating to the issuance and ongoing maintenance of the preferred stock, debt securities and/or convertible debt. Holders of preferred stock, debt securities and/or convertible debt may have different interests than holders of common stock and may at times have disproportionate influence over our affairs.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69"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Ltd.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have entered into a license agreement, or the Licence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69" w:lineRule="exact"/>
        <w:rPr>
          <w:sz w:val="20"/>
          <w:szCs w:val="20"/>
          <w:color w:val="auto"/>
        </w:rPr>
      </w:pPr>
    </w:p>
    <w:p>
      <w:pPr>
        <w:ind w:right="480" w:firstLine="456"/>
        <w:spacing w:after="0" w:line="239" w:lineRule="auto"/>
        <w:rPr>
          <w:sz w:val="20"/>
          <w:szCs w:val="20"/>
          <w:color w:val="auto"/>
        </w:rPr>
      </w:pPr>
      <w:r>
        <w:rPr>
          <w:rFonts w:ascii="Arial" w:cs="Arial" w:eastAsia="Arial" w:hAnsi="Arial"/>
          <w:sz w:val="14"/>
          <w:szCs w:val="14"/>
          <w:color w:val="auto"/>
        </w:rPr>
        <w:t>The Credit Facility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securities or convertible debt may be volatile.</w:t>
      </w:r>
    </w:p>
    <w:p>
      <w:pPr>
        <w:spacing w:after="0" w:line="69" w:lineRule="exact"/>
        <w:rPr>
          <w:sz w:val="20"/>
          <w:szCs w:val="20"/>
          <w:color w:val="auto"/>
        </w:rPr>
      </w:pPr>
    </w:p>
    <w:p>
      <w:pPr>
        <w:ind w:right="440" w:firstLine="456"/>
        <w:spacing w:after="0" w:line="233" w:lineRule="auto"/>
        <w:rPr>
          <w:sz w:val="20"/>
          <w:szCs w:val="20"/>
          <w:color w:val="auto"/>
        </w:rPr>
      </w:pPr>
      <w:r>
        <w:rPr>
          <w:rFonts w:ascii="Arial" w:cs="Arial" w:eastAsia="Arial" w:hAnsi="Arial"/>
          <w:sz w:val="14"/>
          <w:szCs w:val="14"/>
          <w:color w:val="auto"/>
        </w:rPr>
        <w:t>If we publicly issue debt securities or convertible debt,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debt securities.</w:t>
      </w:r>
    </w:p>
    <w:p>
      <w:pPr>
        <w:spacing w:after="0" w:line="6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Terms relating to redemption may have a material adverse effect on the return on any debt securities.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6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quarterly the valuation of our portfolio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2"/>
          <w:szCs w:val="12"/>
          <w:color w:val="auto"/>
        </w:rPr>
        <w:t>At March 31, 2013, all of our investments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6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rely in part on our over-the-counter securities, which faced liquidity constraints under recent market conditions, to provide us with additional liquidity.</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150"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i w:val="1"/>
          <w:iCs w:val="1"/>
          <w:color w:val="auto"/>
        </w:rPr>
        <w:t>Floating Rate Loans</w:t>
      </w:r>
      <w:r>
        <w:rPr>
          <w:rFonts w:ascii="Arial" w:cs="Arial" w:eastAsia="Arial" w:hAnsi="Arial"/>
          <w:sz w:val="12"/>
          <w:szCs w:val="12"/>
          <w:color w:val="auto"/>
        </w:rPr>
        <w:t>. 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3"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540" w:right="12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3"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6" w:lineRule="exact"/>
        <w:rPr>
          <w:rFonts w:ascii="Arial" w:cs="Arial" w:eastAsia="Arial" w:hAnsi="Arial"/>
          <w:sz w:val="12"/>
          <w:szCs w:val="12"/>
          <w:color w:val="auto"/>
        </w:rPr>
      </w:pPr>
    </w:p>
    <w:p>
      <w:pPr>
        <w:ind w:left="540" w:hanging="316"/>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4"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believe that most of our debt and equity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8"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17"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2"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9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6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6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6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69" w:lineRule="exact"/>
        <w:rPr>
          <w:sz w:val="20"/>
          <w:szCs w:val="20"/>
          <w:color w:val="auto"/>
        </w:rPr>
      </w:pPr>
    </w:p>
    <w:p>
      <w:pPr>
        <w:ind w:right="56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shares may trade at discounts from net asset value or at premiums that are unsustainable over the long term.</w:t>
      </w:r>
    </w:p>
    <w:p>
      <w:pPr>
        <w:spacing w:after="0" w:line="69"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net asset value that is attributable to those shares. Our shares may trade above and below our net asset value, or NAV. Our shares traded on the NASDAQ Global Select Market at $13.96 and $12.67 as of March 31, 2013 and September 30, 2012, respectively. Our NAV was $14.10 and $13.98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44"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69"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There is a risk that our common stockholders may receive our stock as dividends in which case they may be required to pay taxes in excess of the cash they receive.</w:t>
      </w:r>
    </w:p>
    <w:p>
      <w:pPr>
        <w:spacing w:after="0" w:line="92"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20"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220"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 Oxley Act, and other rules implemented by the SEC and the listing standards of the NASDAQ Stock Market LLC.</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9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40"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39" w:lineRule="exact"/>
        <w:rPr>
          <w:sz w:val="20"/>
          <w:szCs w:val="20"/>
          <w:color w:val="auto"/>
        </w:rPr>
      </w:pPr>
    </w:p>
    <w:p>
      <w:pPr>
        <w:ind w:right="22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94"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March 31, 2013, we had $34.2 million in borrowings outstanding under our $125.0 million Credit Facility. Borrowings under our Credit Facility bear interest at LIBOR plus 200 basis points per annum during the revolving period, and the rate resets to LIBOR plus 425 basis points per annum for the remaining two years. At March 31, 2013, the interest rate was 2.21%.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Interim results as of and for the six months ended March 31, 2013, are not necessarily indicative of the results that may be expected for the year ending September 30, 2013. The unaudited selected financial data for the six months ended March 31, 2013 and 2012, should be read in conjunction with our consolidated financial statements and related notes thereto and “Management’s Discussion and Analysis of Financial Condition and Results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2100" w:type="dxa"/>
            <w:vAlign w:val="bottom"/>
            <w:gridSpan w:val="4"/>
          </w:tcPr>
          <w:p>
            <w:pPr>
              <w:jc w:val="right"/>
              <w:ind w:right="720"/>
              <w:spacing w:after="0" w:line="149" w:lineRule="exact"/>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6"/>
                <w:szCs w:val="16"/>
                <w:b w:val="1"/>
                <w:bCs w:val="1"/>
                <w:color w:val="auto"/>
                <w:vertAlign w:val="superscript"/>
              </w:rPr>
              <w:t>(1)</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  8,103</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  5,411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12,099</w:t>
            </w:r>
          </w:p>
        </w:tc>
        <w:tc>
          <w:tcPr>
            <w:tcW w:w="660" w:type="dxa"/>
            <w:vAlign w:val="bottom"/>
          </w:tcPr>
          <w:p>
            <w:pPr>
              <w:spacing w:after="0"/>
              <w:rPr>
                <w:sz w:val="12"/>
                <w:szCs w:val="12"/>
                <w:color w:val="auto"/>
              </w:rPr>
            </w:pPr>
          </w:p>
        </w:tc>
        <w:tc>
          <w:tcPr>
            <w:tcW w:w="200" w:type="dxa"/>
            <w:vAlign w:val="bottom"/>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 after Credit Facility debt issuance and excise taxes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4,378</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2,491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5,789</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2,626</w:t>
            </w:r>
            <w:r>
              <w:rPr>
                <w:rFonts w:ascii="Arial" w:cs="Arial" w:eastAsia="Arial" w:hAnsi="Arial"/>
                <w:sz w:val="17"/>
                <w:szCs w:val="17"/>
                <w:color w:val="auto"/>
                <w:vertAlign w:val="superscript"/>
              </w:rPr>
              <w:t>(5)</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3,725</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2,920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6,310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1,246</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4,710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4,971</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7,630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11,961</w:t>
            </w: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Net asset value (at period end)</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14.10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14.12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0.54</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0.43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(2)</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0.18</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0.69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0.72</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(2),(3)</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0.50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0.44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Assets and Liabilities data (at period end):</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187,877</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151,174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178,367</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121,075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98"/>
              </w:rPr>
              <w:t>183,870</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146,188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110,724</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Credit Facility payable, at fair value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34,200</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47,561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75,123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11,852</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5,102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3,358</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120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w w:val="98"/>
              </w:rPr>
              <w:t>138,879</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96,722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95,744</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92,072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(4)</w:t>
            </w:r>
          </w:p>
        </w:tc>
        <w:tc>
          <w:tcPr>
            <w:tcW w:w="1200" w:type="dxa"/>
            <w:vAlign w:val="bottom"/>
            <w:gridSpan w:val="2"/>
          </w:tcPr>
          <w:p>
            <w:pPr>
              <w:jc w:val="right"/>
              <w:ind w:right="512"/>
              <w:spacing w:after="0" w:line="149" w:lineRule="exact"/>
              <w:rPr>
                <w:sz w:val="20"/>
                <w:szCs w:val="20"/>
                <w:color w:val="auto"/>
              </w:rPr>
            </w:pPr>
            <w:r>
              <w:rPr>
                <w:rFonts w:ascii="Arial" w:cs="Arial" w:eastAsia="Arial" w:hAnsi="Arial"/>
                <w:sz w:val="14"/>
                <w:szCs w:val="14"/>
                <w:color w:val="auto"/>
              </w:rPr>
              <w:t>14.34%</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15.75%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29.43%</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6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(1)</w:t>
            </w:r>
          </w:p>
        </w:tc>
        <w:tc>
          <w:tcPr>
            <w:tcW w:w="12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63</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6460" w:type="dxa"/>
            <w:vAlign w:val="bottom"/>
          </w:tcPr>
          <w:p>
            <w:pPr>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(1)</w:t>
            </w:r>
          </w:p>
        </w:tc>
        <w:tc>
          <w:tcPr>
            <w:tcW w:w="1200" w:type="dxa"/>
            <w:vAlign w:val="bottom"/>
            <w:gridSpan w:val="2"/>
          </w:tcPr>
          <w:p>
            <w:pPr>
              <w:jc w:val="right"/>
              <w:ind w:right="512"/>
              <w:spacing w:after="0"/>
              <w:rPr>
                <w:sz w:val="20"/>
                <w:szCs w:val="20"/>
                <w:color w:val="auto"/>
              </w:rPr>
            </w:pPr>
            <w:r>
              <w:rPr>
                <w:rFonts w:ascii="Arial" w:cs="Arial" w:eastAsia="Arial" w:hAnsi="Arial"/>
                <w:sz w:val="14"/>
                <w:szCs w:val="14"/>
                <w:color w:val="auto"/>
              </w:rPr>
              <w:t>8.8%</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340" w:hanging="332"/>
        <w:spacing w:after="0" w:line="23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Unaudited.</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the basic weighted average shares outstanding for the respective periods.</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start-up and organizational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8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4,140</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3,963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87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2,059</w:t>
            </w:r>
          </w:p>
        </w:tc>
        <w:tc>
          <w:tcPr>
            <w:tcW w:w="100" w:type="dxa"/>
            <w:vAlign w:val="bottom"/>
          </w:tcPr>
          <w:p>
            <w:pPr>
              <w:spacing w:after="0"/>
              <w:rPr>
                <w:sz w:val="12"/>
                <w:szCs w:val="12"/>
                <w:color w:val="auto"/>
              </w:rPr>
            </w:pPr>
          </w:p>
        </w:tc>
      </w:tr>
      <w:tr>
        <w:trPr>
          <w:trHeight w:val="149"/>
        </w:trPr>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(294)</w:t>
            </w:r>
          </w:p>
        </w:tc>
      </w:tr>
      <w:tr>
        <w:trPr>
          <w:trHeight w:val="149"/>
        </w:trPr>
        <w:tc>
          <w:tcPr>
            <w:tcW w:w="87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3,206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1,765</w:t>
            </w:r>
          </w:p>
        </w:tc>
        <w:tc>
          <w:tcPr>
            <w:tcW w:w="100" w:type="dxa"/>
            <w:vAlign w:val="bottom"/>
          </w:tcPr>
          <w:p>
            <w:pPr>
              <w:spacing w:after="0"/>
              <w:rPr>
                <w:sz w:val="12"/>
                <w:szCs w:val="12"/>
                <w:color w:val="auto"/>
              </w:rPr>
            </w:pPr>
          </w:p>
        </w:tc>
      </w:tr>
      <w:tr>
        <w:trPr>
          <w:trHeight w:val="149"/>
        </w:trPr>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0.45</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2"/>
                <w:szCs w:val="12"/>
                <w:color w:val="auto"/>
              </w:rPr>
            </w:pPr>
          </w:p>
        </w:tc>
      </w:tr>
      <w:tr>
        <w:trPr>
          <w:trHeight w:val="149"/>
        </w:trPr>
        <w:tc>
          <w:tcPr>
            <w:tcW w:w="87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14.10</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13.99</w:t>
            </w:r>
          </w:p>
        </w:tc>
        <w:tc>
          <w:tcPr>
            <w:tcW w:w="100" w:type="dxa"/>
            <w:vAlign w:val="bottom"/>
          </w:tcPr>
          <w:p>
            <w:pPr>
              <w:spacing w:after="0"/>
              <w:rPr>
                <w:sz w:val="12"/>
                <w:szCs w:val="12"/>
                <w:color w:val="auto"/>
              </w:rPr>
            </w:pPr>
          </w:p>
        </w:tc>
      </w:tr>
      <w:tr>
        <w:trPr>
          <w:trHeight w:val="149"/>
        </w:trPr>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106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Q3</w:t>
            </w:r>
          </w:p>
        </w:tc>
        <w:tc>
          <w:tcPr>
            <w:tcW w:w="300" w:type="dxa"/>
            <w:vAlign w:val="bottom"/>
          </w:tcPr>
          <w:p>
            <w:pPr>
              <w:spacing w:after="0"/>
              <w:rPr>
                <w:sz w:val="12"/>
                <w:szCs w:val="12"/>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3,487</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3,201</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2,944</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18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1,846</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1,545</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(1,459)</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3,944</w:t>
            </w:r>
          </w:p>
        </w:tc>
        <w:tc>
          <w:tcPr>
            <w:tcW w:w="18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387</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4,525</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0.58</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0.66</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00" w:type="dxa"/>
            <w:vAlign w:val="bottom"/>
            <w:shd w:val="clear" w:color="auto" w:fill="CCEEFF"/>
          </w:tcPr>
          <w:p>
            <w:pPr>
              <w:spacing w:after="0"/>
              <w:rPr>
                <w:sz w:val="12"/>
                <w:szCs w:val="12"/>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4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8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13.94</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14.12</w:t>
            </w: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100" w:type="dxa"/>
            <w:vAlign w:val="bottom"/>
          </w:tcPr>
          <w:p>
            <w:pPr>
              <w:spacing w:after="0"/>
              <w:rPr>
                <w:sz w:val="12"/>
                <w:szCs w:val="12"/>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4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11.90</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11.75</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2011</w:t>
            </w:r>
          </w:p>
        </w:tc>
        <w:tc>
          <w:tcPr>
            <w:tcW w:w="920" w:type="dxa"/>
            <w:vAlign w:val="bottom"/>
            <w:tcBorders>
              <w:bottom w:val="single" w:sz="8" w:color="auto"/>
            </w:tcBorders>
          </w:tcPr>
          <w:p>
            <w:pPr>
              <w:spacing w:after="0"/>
              <w:rPr>
                <w:sz w:val="14"/>
                <w:szCs w:val="14"/>
                <w:color w:val="auto"/>
              </w:rPr>
            </w:pPr>
          </w:p>
        </w:tc>
        <w:tc>
          <w:tcPr>
            <w:tcW w:w="284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92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Q3*</w:t>
            </w:r>
          </w:p>
        </w:tc>
        <w:tc>
          <w:tcPr>
            <w:tcW w:w="2840" w:type="dxa"/>
            <w:vAlign w:val="bottom"/>
          </w:tcPr>
          <w:p>
            <w:pPr>
              <w:spacing w:after="0"/>
              <w:rPr>
                <w:sz w:val="12"/>
                <w:szCs w:val="12"/>
                <w:color w:val="auto"/>
              </w:rPr>
            </w:pPr>
          </w:p>
        </w:tc>
      </w:tr>
      <w:tr>
        <w:trPr>
          <w:trHeight w:val="142"/>
        </w:trPr>
        <w:tc>
          <w:tcPr>
            <w:tcW w:w="4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2840" w:type="dxa"/>
            <w:vAlign w:val="bottom"/>
            <w:tcBorders>
              <w:top w:val="single" w:sz="8" w:color="CCEEFF"/>
            </w:tcBorders>
            <w:shd w:val="clear" w:color="auto" w:fill="CCEEFF"/>
          </w:tcPr>
          <w:p>
            <w:pPr>
              <w:spacing w:after="0"/>
              <w:rPr>
                <w:sz w:val="12"/>
                <w:szCs w:val="12"/>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investment income (loss)</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1,203</w:t>
            </w:r>
          </w:p>
        </w:tc>
        <w:tc>
          <w:tcPr>
            <w:tcW w:w="1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tcPr>
          <w:p>
            <w:pPr>
              <w:jc w:val="right"/>
              <w:ind w:right="2800"/>
              <w:spacing w:after="0" w:line="149" w:lineRule="exact"/>
              <w:rPr>
                <w:sz w:val="20"/>
                <w:szCs w:val="20"/>
                <w:color w:val="auto"/>
              </w:rPr>
            </w:pPr>
            <w:r>
              <w:rPr>
                <w:rFonts w:ascii="Arial" w:cs="Arial" w:eastAsia="Arial" w:hAnsi="Arial"/>
                <w:sz w:val="14"/>
                <w:szCs w:val="14"/>
                <w:color w:val="auto"/>
              </w:rPr>
              <w:t>(883)</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(4,012)</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shd w:val="clear" w:color="auto" w:fill="CCEEFF"/>
          </w:tcPr>
          <w:p>
            <w:pPr>
              <w:jc w:val="right"/>
              <w:ind w:right="2840"/>
              <w:spacing w:after="0" w:line="149" w:lineRule="exact"/>
              <w:rPr>
                <w:sz w:val="20"/>
                <w:szCs w:val="20"/>
                <w:color w:val="auto"/>
              </w:rPr>
            </w:pPr>
            <w:r>
              <w:rPr>
                <w:rFonts w:ascii="Arial" w:cs="Arial" w:eastAsia="Arial" w:hAnsi="Arial"/>
                <w:sz w:val="14"/>
                <w:szCs w:val="14"/>
                <w:color w:val="auto"/>
              </w:rPr>
              <w:t>219</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(2,809)</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tcPr>
          <w:p>
            <w:pPr>
              <w:jc w:val="right"/>
              <w:ind w:right="2800"/>
              <w:spacing w:after="0" w:line="149" w:lineRule="exact"/>
              <w:rPr>
                <w:sz w:val="20"/>
                <w:szCs w:val="20"/>
                <w:color w:val="auto"/>
              </w:rPr>
            </w:pPr>
            <w:r>
              <w:rPr>
                <w:rFonts w:ascii="Arial" w:cs="Arial" w:eastAsia="Arial" w:hAnsi="Arial"/>
                <w:sz w:val="14"/>
                <w:szCs w:val="14"/>
                <w:color w:val="auto"/>
              </w:rPr>
              <w:t>(664)</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net assets resulting from operations per common share</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shd w:val="clear" w:color="auto" w:fill="CCEEFF"/>
          </w:tcPr>
          <w:p>
            <w:pPr>
              <w:jc w:val="right"/>
              <w:ind w:right="2800"/>
              <w:spacing w:after="0" w:line="149" w:lineRule="exact"/>
              <w:rPr>
                <w:sz w:val="20"/>
                <w:szCs w:val="20"/>
                <w:color w:val="auto"/>
              </w:rPr>
            </w:pPr>
            <w:r>
              <w:rPr>
                <w:rFonts w:ascii="Arial" w:cs="Arial" w:eastAsia="Arial" w:hAnsi="Arial"/>
                <w:sz w:val="14"/>
                <w:szCs w:val="14"/>
                <w:color w:val="auto"/>
              </w:rPr>
              <w:t>(0.10)</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3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tcPr>
          <w:p>
            <w:pPr>
              <w:jc w:val="right"/>
              <w:ind w:right="2840"/>
              <w:spacing w:after="0" w:line="149" w:lineRule="exact"/>
              <w:rPr>
                <w:sz w:val="20"/>
                <w:szCs w:val="20"/>
                <w:color w:val="auto"/>
              </w:rPr>
            </w:pPr>
            <w:r>
              <w:rPr>
                <w:rFonts w:ascii="Arial" w:cs="Arial" w:eastAsia="Arial" w:hAnsi="Arial"/>
                <w:sz w:val="14"/>
                <w:szCs w:val="14"/>
                <w:color w:val="auto"/>
              </w:rPr>
              <w:t>14.06</w:t>
            </w: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3760" w:type="dxa"/>
            <w:vAlign w:val="bottom"/>
            <w:gridSpan w:val="2"/>
            <w:shd w:val="clear" w:color="auto" w:fill="CCEEFF"/>
          </w:tcPr>
          <w:p>
            <w:pPr>
              <w:jc w:val="right"/>
              <w:ind w:right="2840"/>
              <w:spacing w:after="0" w:line="149" w:lineRule="exact"/>
              <w:rPr>
                <w:sz w:val="20"/>
                <w:szCs w:val="20"/>
                <w:color w:val="auto"/>
              </w:rPr>
            </w:pPr>
            <w:r>
              <w:rPr>
                <w:rFonts w:ascii="Arial" w:cs="Arial" w:eastAsia="Arial" w:hAnsi="Arial"/>
                <w:sz w:val="14"/>
                <w:szCs w:val="14"/>
                <w:color w:val="auto"/>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830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 For the period March 4, 2011 (commencement of operations) to June 30, 2011.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other instruments bearing a variable rate of interest which may, from time to time, include variable-rate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36"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36"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jc w:val="both"/>
        <w:ind w:firstLine="456"/>
        <w:spacing w:after="0" w:line="278" w:lineRule="auto"/>
        <w:rPr>
          <w:sz w:val="20"/>
          <w:szCs w:val="20"/>
          <w:color w:val="auto"/>
        </w:rPr>
      </w:pPr>
      <w:r>
        <w:rPr>
          <w:rFonts w:ascii="Arial" w:cs="Arial" w:eastAsia="Arial" w:hAnsi="Arial"/>
          <w:sz w:val="12"/>
          <w:szCs w:val="12"/>
          <w:color w:val="auto"/>
        </w:rPr>
        <w:t>We generate revenue in the form of interest income on the debt securities we hold. Capital gains, if any, are recorded on a trade date basis upon existing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OID, commitment, origination, structuring or diligence fees, fees for providing managerial assistance and possibly consulting fees.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Our primary operating expenses include the payment of a management fee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undrawn commitment fees under our Credit Facility. We bear all other direct or indirect costs and expenses of our operations and transactions, including:</w:t>
      </w:r>
    </w:p>
    <w:p>
      <w:pPr>
        <w:spacing w:after="0" w:line="16"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420" w:hanging="316"/>
        <w:spacing w:after="0" w:line="239"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60" w:hanging="316"/>
        <w:spacing w:after="0" w:line="233"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“Total Estimated Annual Expenses” be calculated as a percentage of average net assets in the table on page 4 of this prospectus rather than as a percentage of average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table below illustrates our “Total Estimated Annual Expenses” as a percentage of average total assets:</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90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Annual Expenses (as a Percentage of Average Total Assets)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4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5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1.00 % </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Incentive fees</w:t>
            </w:r>
          </w:p>
        </w:tc>
        <w:tc>
          <w:tcPr>
            <w:tcW w:w="574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 xml:space="preserve">1.22 % </w:t>
            </w:r>
            <w:r>
              <w:rPr>
                <w:rFonts w:ascii="Arial" w:cs="Arial" w:eastAsia="Arial" w:hAnsi="Arial"/>
                <w:sz w:val="17"/>
                <w:szCs w:val="17"/>
                <w:color w:val="auto"/>
                <w:vertAlign w:val="superscript"/>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borrowed funds</w:t>
            </w:r>
          </w:p>
        </w:tc>
        <w:tc>
          <w:tcPr>
            <w:tcW w:w="5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1.35 % </w:t>
            </w:r>
            <w:r>
              <w:rPr>
                <w:rFonts w:ascii="Arial" w:cs="Arial" w:eastAsia="Arial" w:hAnsi="Arial"/>
                <w:sz w:val="17"/>
                <w:szCs w:val="17"/>
                <w:color w:val="auto"/>
                <w:vertAlign w:val="superscript"/>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456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1"/>
                <w:szCs w:val="11"/>
                <w:color w:val="auto"/>
              </w:rPr>
              <w:t xml:space="preserve">1.00 % </w:t>
            </w:r>
            <w:r>
              <w:rPr>
                <w:rFonts w:ascii="Arial" w:cs="Arial" w:eastAsia="Arial" w:hAnsi="Arial"/>
                <w:sz w:val="17"/>
                <w:szCs w:val="17"/>
                <w:color w:val="auto"/>
                <w:vertAlign w:val="superscript"/>
              </w:rPr>
              <w:t>(4)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2"/>
              </w:rPr>
              <w:t>Total estimated annual expenses</w:t>
            </w:r>
          </w:p>
        </w:tc>
        <w:tc>
          <w:tcPr>
            <w:tcW w:w="5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4.57 % </w:t>
            </w:r>
            <w:r>
              <w:rPr>
                <w:rFonts w:ascii="Arial" w:cs="Arial" w:eastAsia="Arial" w:hAnsi="Arial"/>
                <w:sz w:val="17"/>
                <w:szCs w:val="17"/>
                <w:color w:val="auto"/>
                <w:vertAlign w:val="superscript"/>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line="239"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hanging="332"/>
        <w:spacing w:after="0" w:line="264"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unrealized capital gains exceeded our cumulative realized and unrealized capital losses and we accrued a capital gains incentive fee of $0.3 million in accordance with GAAP. However, “Incentive fees payable under the Investment Management Agreement” includes an accrual for capital gains incentive fee for the three months ended March 31, 2013 even though no capital gains incentive fee was payable under our Investment Management Agreement as of March 31, 2013. As we cannot predict our future net investment income or capital gains, the incentive fee paid in future periods, if any, may be substantially different than the fee earned during the three months ended March 31, 2013, and we cannot assure you that we will recognize capital gains for the calendar year ending December 31, 2013 in amounts consistent with the accrual for the same period.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40" w:hanging="332"/>
        <w:spacing w:after="0" w:line="273"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 of March 31, 2013, we had $34.2 million in borrowings outstanding under our $125.0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which includes actual (unannualized) amendment costs incurred in connection with amending our Credit Facility but does not annualize them,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 w:hanging="332"/>
        <w:spacing w:after="0" w:line="288"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right="140" w:hanging="332"/>
        <w:spacing w:after="0" w:line="273"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March 31,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from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valuations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60" w:hanging="334"/>
        <w:spacing w:after="0" w:line="239"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680" w:right="180" w:hanging="334"/>
        <w:spacing w:after="0" w:line="288" w:lineRule="auto"/>
        <w:tabs>
          <w:tab w:leader="none" w:pos="6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680" w:right="120" w:hanging="334"/>
        <w:spacing w:after="0" w:line="239"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660" w:hanging="334"/>
        <w:spacing w:after="0" w:line="239"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1"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election, we must, among other requirements, meet certain source-of-income and quarterly asset diversification requirements. We also must annually distribute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4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As of March 31, 2013, our portfolio totaled $183.9 million and consisted of $159.7 million of senior secured loans, $10.4 million of second lien secured debt and $13.8 million of subordinated debt, preferred and common equity investments. Our debt portfolio consisted of 88% variable-rate investments (including 83% with a LIBOR or prime floor) and 12% fixed-rate investments. Overall, the portfolio had unrealized appreciation of $0.3 million. Our overall portfolio consisted of 63 companies with an average investment size of $2.9 million, had a weighted average yield on debt investments of 8.8%, and was invested 87% in senior secured loans, 6% in second lien secured debt and 7% in subordinated debt, preferred and common equity investments.</w:t>
      </w:r>
    </w:p>
    <w:p>
      <w:pPr>
        <w:spacing w:after="0" w:line="117"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17"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$91.4 million of senior secured loans, $12.2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For the three months ended March 31, 2013, we invested $45.1 million in 16 new and four existing portfolio companies with a weighted average yield on debt investments of 7.9%. Sales and repayments of investments for the three months ended March 31, 2013 totaled $43.9 million. For the six months ended March 31, 2013, we invested $84.0 million in 28 new portfolio companies and six existing portfolio companies with a weighted average yield on debt investments of 8.8%. Sales and repayments of investments for the six months ended March 31, 2013 totaled $74.2 million.</w:t>
      </w:r>
    </w:p>
    <w:p>
      <w:pPr>
        <w:spacing w:after="0" w:line="11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two existing portfolio companies with a weighted average yield on debt investments of 9.2%. Sales and repayments of investments for the six months ended March 31, 2012 totaled $41.6 million.</w:t>
      </w:r>
    </w:p>
    <w:p>
      <w:pPr>
        <w:spacing w:after="0" w:line="111"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13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six months ended March 31, 2013 and 2012.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69" w:lineRule="exact"/>
        <w:rPr>
          <w:sz w:val="20"/>
          <w:szCs w:val="20"/>
          <w:color w:val="auto"/>
        </w:rPr>
      </w:pPr>
    </w:p>
    <w:p>
      <w:pPr>
        <w:ind w:right="80" w:firstLine="456"/>
        <w:spacing w:after="0" w:line="227" w:lineRule="auto"/>
        <w:rPr>
          <w:sz w:val="20"/>
          <w:szCs w:val="20"/>
          <w:color w:val="auto"/>
        </w:rPr>
      </w:pPr>
      <w:r>
        <w:rPr>
          <w:rFonts w:ascii="Arial" w:cs="Arial" w:eastAsia="Arial" w:hAnsi="Arial"/>
          <w:sz w:val="14"/>
          <w:szCs w:val="14"/>
          <w:color w:val="auto"/>
        </w:rPr>
        <w:t>Investment income for the three and six months ended March 31, 2013 was $4.1 million and $8.1 million, respectively, and was attributable to $3.6 million and $6.9 million from senior secured loans, $0.2 million and $0.5 million from second lien secured debt investments and $0.3 million and $0.7 million from subordinated debt investments, respectively. This compares to investment income for the three and six months ended March 31, 2012, which was $2.9 million and $5.4 million, respectively, and was attributable to $2.3 million and $4.3 million from senior secured loans, $0.3 million and $0.6 million from second lien secured debt investments and $0.3 million and $0.5 million from subordinated debt investments, respectively. The increase in investment income was due to a larger portfolio which was funded through both our Credit Facility and rotation out of lower yielding assets. We intend to grow our portfolio with the proceeds of our recent offering of common stock and our increased borrowing capacity under our Credit Facility.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Expenses for the three and six months ended March 31, 2013 totaled $2.5 million and $4.4 million, respectively. Base management fee for the same periods totaled $0.5 million and $0.9 million, performance-based incentive fee totaled $0.6 million and $1.0 million (including $0.3 million of non-payable incentive fee), Credit Facility expenses totaled $0.5 million and $1.0 million (excluding $0.5 million of Credit Facility amendment expenses), general and administrative expenses totaled $0.4 million and $0.9 million and excise taxes were $0.1 million, respectively. This compares to expenses for the three and six months ended March 31, 2012, which totaled $1.4 million and $2.5 million, respectively. Base management fee for the same periods in the prior year totaled $0.4 million and $0.7 million, performance-based incentive fee totaled $0.2 million and $0.2 million, Credit Facility expenses totaled $0.3 million and $0.6 million and general and administrative expenses totaled $0.5 million and $1.0 million, respectively. The increase in management fee, incentive fee and Credit Facility expenses was due to the growth of our portfolio and expanding our borrowing capacity under our Credit Facility.</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Net investment income totaled $1.7 million and $3.7 million, or $0.24 and $0.54 per share, for the three and six months ended March 31, 2013, respectively. Net investment income totaled $1.5 million and $2.9 million, or $0.23 and $0.43 per share, for the three and six months ended March 31, 2012, respectively. The increase in net investment income was due to a larger portfolio and higher yielding assets offset by higher Credit Facility expenses and management and incentive fee.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200" w:firstLine="456"/>
        <w:spacing w:after="0" w:line="288" w:lineRule="auto"/>
        <w:rPr>
          <w:sz w:val="20"/>
          <w:szCs w:val="20"/>
          <w:color w:val="auto"/>
        </w:rPr>
      </w:pPr>
      <w:r>
        <w:rPr>
          <w:rFonts w:ascii="Arial" w:cs="Arial" w:eastAsia="Arial" w:hAnsi="Arial"/>
          <w:sz w:val="12"/>
          <w:szCs w:val="12"/>
          <w:color w:val="auto"/>
        </w:rPr>
        <w:t>Sales and repayments of investments for the three and six months ended March 31, 2013 totaled $43.9 million and $74.2 million and realized gains totaled $1.1 million and $1.5 million, respectively. Sales and repayments of investments for the three and six months ended March 31, 2012 totaled $19.3 million and $41.6 million and realized gains totaled $0.1 million and $0.4 million, respectively. The increase in realized gains was driven by a higher volume of sales and early repayments than the comparable periods in the prior year.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For the three and six months ended March 31, 2013, we reported unrealized appreciation on investments of $0.4 million and $0.1 million, respectively. For the three and six months ended March 31, 2012, we reported unrealized appreciation on investments of $3.0 million and $4.1 million, respectively. As of March 31, 2013 and September 30, 2012, net unrealized appreciation on investments totaled $0.3 million and $0.3 million, respectively. The decrease in unrealized appreciation for current periods compared to prior periods was the result of the reversal of unrealized gains upon exiting our investments and changes in market values.</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the three and six months ended March 31, 2013, our long-term Credit Facility had a change in unrealized (appreciation) of zero and $(0.4) million, respectively. For the three and six months ended March 31, 2012, our long-term Credit Facility had a change in unrealized (appreciation) depreciation of $(0.1) million and $0.2 million, respectively. As of March 31,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Net increase in net assets resulting from operations totaled $3.2 million and $5.0 million, or $0.45 and $0.72 per share, respectively, for the three and six months ended March 31, 2013. This compares to a net increase in net assets resulting from operations which totaled $4.5 million and $7.6 million, or $0.66 and $1.12 per share, respectively, for the three and six months ended March 31, 2012. The decrease in net assets resulting from operations compared to last year was due to changes in fair value of our investments due to changes in the market values of our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right="1500" w:firstLine="456"/>
        <w:spacing w:after="0" w:line="342" w:lineRule="auto"/>
        <w:rPr>
          <w:sz w:val="20"/>
          <w:szCs w:val="20"/>
          <w:color w:val="auto"/>
        </w:rPr>
      </w:pPr>
      <w:r>
        <w:rPr>
          <w:rFonts w:ascii="Arial" w:cs="Arial" w:eastAsia="Arial" w:hAnsi="Arial"/>
          <w:sz w:val="14"/>
          <w:szCs w:val="14"/>
          <w:color w:val="auto"/>
        </w:rPr>
        <w:t xml:space="preserve">Set forth below are the results of operations for the year ended September 30, 2012 and the period from March 4, 2011 (commencement of operations) to September 30, 2011. </w:t>
      </w:r>
      <w:r>
        <w:rPr>
          <w:rFonts w:ascii="Arial" w:cs="Arial" w:eastAsia="Arial" w:hAnsi="Arial"/>
          <w:sz w:val="14"/>
          <w:szCs w:val="14"/>
          <w:b w:val="1"/>
          <w:bCs w:val="1"/>
          <w:i w:val="1"/>
          <w:iCs w:val="1"/>
          <w:color w:val="auto"/>
        </w:rPr>
        <w:t>Investment Income</w:t>
      </w:r>
    </w:p>
    <w:p>
      <w:pPr>
        <w:ind w:right="60" w:firstLine="456"/>
        <w:spacing w:after="0" w:line="230" w:lineRule="auto"/>
        <w:rPr>
          <w:sz w:val="20"/>
          <w:szCs w:val="20"/>
          <w:color w:val="auto"/>
        </w:rPr>
      </w:pPr>
      <w:r>
        <w:rPr>
          <w:rFonts w:ascii="Arial" w:cs="Arial" w:eastAsia="Arial" w:hAnsi="Arial"/>
          <w:sz w:val="14"/>
          <w:szCs w:val="14"/>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jc w:val="both"/>
        <w:ind w:right="100" w:firstLine="456"/>
        <w:spacing w:after="0" w:line="230" w:lineRule="auto"/>
        <w:rPr>
          <w:sz w:val="20"/>
          <w:szCs w:val="20"/>
          <w:color w:val="auto"/>
        </w:rPr>
      </w:pPr>
      <w:r>
        <w:rPr>
          <w:rFonts w:ascii="Arial" w:cs="Arial" w:eastAsia="Arial" w:hAnsi="Arial"/>
          <w:sz w:val="14"/>
          <w:szCs w:val="14"/>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58" w:lineRule="exact"/>
        <w:rPr>
          <w:sz w:val="20"/>
          <w:szCs w:val="20"/>
          <w:color w:val="auto"/>
        </w:rPr>
      </w:pPr>
    </w:p>
    <w:p>
      <w:pPr>
        <w:jc w:val="both"/>
        <w:ind w:right="200" w:firstLine="452"/>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30"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For the year ended September 30, 2012 and for the period March 4, 2011 (commencement of operations) to September 30, 2011, our long-term Credit Facility had a change in unrealized depreciation of $0.4 million and zero, respectively. As of September 30, 2012 and September 30, 2011, net unrealized depreciation on our long-term Credit Facility totaled $0.4 million and zero, respectively. The net change in unrealized appreciation on the Credit Facility over the prior year was due to amending the terms and changes in the leveraged finance markets.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or Decrease in Net Assets Resulting from Operations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Net increase in net assets resulting from operations totaled $12.0 million, or $1.75 per share, respectively,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Net decrease in net assets resulting from operations totaled $3.5 million, or $0.51 per share for the period March 4, 2011 (commencement of operations) to September 30, 2011.</w:t>
      </w: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39"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On March 29, 2013, we amended Funding I’s Credit Facility with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to May 2016. As of March 31, 2013 and September 30, 2012 and 2011, Funding I had $34.2 million, $75.5 million and $24.7 million of outstanding borrowings under the Credit Facility, respectively, and carried an interest rate of 2.21%, 2.47% and 2.53%, respectively, excluding the 0.375%, 0.375% and 0.500% undrawn commitment fee, respectively.</w:t>
      </w:r>
    </w:p>
    <w:p>
      <w:pPr>
        <w:spacing w:after="0" w:line="117"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2"/>
          <w:szCs w:val="12"/>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amended and restated revolving credit and security agreement filed as an exhibit to Form 10-Q filed on August 9, 2012 and the third amendment thereto filed as an exhibit to Form 10-Q filed May 9, 2013. As of March 31, 2013, we were in compliance with the covenants relating to our Credit Facility.</w:t>
      </w:r>
    </w:p>
    <w:p>
      <w:pPr>
        <w:spacing w:after="0" w:line="120"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 owed with respect to such services are to be paid to the Company so long as the Investment Adviser remains the collateral manager.</w:t>
      </w:r>
    </w:p>
    <w:p>
      <w:pPr>
        <w:spacing w:after="0" w:line="14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or strategic purposes. 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w:t>
      </w:r>
    </w:p>
    <w:p>
      <w:pPr>
        <w:spacing w:after="0" w:line="120"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At March 31, 2013 and September 30, 2012 and 2011, we had cash equivalents of $2.7 million, $3.8 million and $7.0 million, respectively, available for investing and general corporate purposes. We believe our liquidity and capital resources are sufficient to take advantage of market opportunities.</w:t>
      </w:r>
    </w:p>
    <w:p>
      <w:pPr>
        <w:spacing w:after="0" w:line="139"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Our operating activities provided cash of $4.0 million for the six months ended March 31, 2013, and our financing activities used cash of $5.1 million for the same period. Our operating activities provided cash primarily from our investment activity that offset our financing activities, which used cash primarily to pay the deferred sales load and net repayments under the Credit Facility that was partially financed by the proceeds of our offering.</w:t>
      </w:r>
    </w:p>
    <w:p>
      <w:pPr>
        <w:spacing w:after="0" w:line="139" w:lineRule="exact"/>
        <w:rPr>
          <w:sz w:val="20"/>
          <w:szCs w:val="20"/>
          <w:color w:val="auto"/>
        </w:rPr>
      </w:pPr>
    </w:p>
    <w:p>
      <w:pPr>
        <w:jc w:val="both"/>
        <w:ind w:right="20" w:firstLine="456"/>
        <w:spacing w:after="0" w:line="239" w:lineRule="auto"/>
        <w:rPr>
          <w:sz w:val="20"/>
          <w:szCs w:val="20"/>
          <w:color w:val="auto"/>
        </w:rPr>
      </w:pPr>
      <w:r>
        <w:rPr>
          <w:rFonts w:ascii="Arial" w:cs="Arial" w:eastAsia="Arial" w:hAnsi="Arial"/>
          <w:sz w:val="14"/>
          <w:szCs w:val="14"/>
          <w:color w:val="auto"/>
        </w:rPr>
        <w:t>Our operating activities used cash of $23.3 million for the six months ended March 31, 2012, and our financing activities provided cash of $20.2 million for the same period. Our operating activities used cash primarily for our investment activity that was financed by net draws under the Credit Facility.</w:t>
      </w:r>
    </w:p>
    <w:p>
      <w:pPr>
        <w:spacing w:after="0" w:line="13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Our operating activities used cash of $47.8 million for the year ended September 30, 2012, and our financing activities provided net cash proceeds of $44.7 million for the same period. Our operating activities used cash primarily for our investment activity that was provided from net draws under the Credit Facility.</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our investment activity that was provided from, primarily, proceeds from our initial public offering of common stock and draws under our Credit Facility.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summary of our significant contractual payment obligations as of March 31, 2013, including borrowings under our Credit Facility and other contractual obligations,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Payments due by period (in millions)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5 years</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9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Credit Facility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34.2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1"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our Administration Agreement, which was re-approved by the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7" w:lineRule="exact"/>
        <w:rPr>
          <w:sz w:val="20"/>
          <w:szCs w:val="20"/>
          <w:color w:val="auto"/>
        </w:rPr>
      </w:pPr>
    </w:p>
    <w:p>
      <w:pPr>
        <w:jc w:val="both"/>
        <w:ind w:right="22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3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 to purchase shares of our common stock in the secondary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capital gain net income for the one-year period ending on October 31 of the calendar year and (3) the sum of any net ordinary income and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During the three and six months ended March 31, 2013, we declared to stockholders distributions of $0.255 and $0.503 per share, for total distributions of $1.7 million and $3.4 million, respectively. For the same periods in the prior year, we declared distributions of $0.225 and $0.435 per share, respectively, for total distributions of $1.5 million and $3.0 million, respectively. 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 quarterly.</w:t>
      </w:r>
    </w:p>
    <w:p>
      <w:pPr>
        <w:spacing w:after="0" w:line="150"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39" w:lineRule="exact"/>
        <w:rPr>
          <w:sz w:val="20"/>
          <w:szCs w:val="20"/>
          <w:color w:val="auto"/>
        </w:rPr>
      </w:pPr>
    </w:p>
    <w:p>
      <w:pPr>
        <w:jc w:val="both"/>
        <w:ind w:right="6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52"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We are subject to financial market risks, including changes in interest rates. As of March 31, 2013, our debt portfolio consisted of 88% variable-rate investments (including 83% with a LIBOR or prime floor) and 12%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40"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Assuming that the most recent Statement of Assets and Liabilities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1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94"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ind w:right="340" w:firstLine="456"/>
        <w:spacing w:after="0" w:line="230" w:lineRule="auto"/>
        <w:rPr>
          <w:sz w:val="20"/>
          <w:szCs w:val="20"/>
          <w:color w:val="auto"/>
        </w:rPr>
      </w:pPr>
      <w:r>
        <w:rPr>
          <w:rFonts w:ascii="Arial" w:cs="Arial" w:eastAsia="Arial" w:hAnsi="Arial"/>
          <w:sz w:val="14"/>
          <w:szCs w:val="14"/>
          <w:color w:val="auto"/>
        </w:rPr>
        <w:t>Information about our senior securities shown in the following table as of March 31, 2013 has been derived from our unaudited Consolidated Financial Statements. Information about our senior securities shown in the following table as of September 30, 2012 and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142"/>
        </w:trPr>
        <w:tc>
          <w:tcPr>
            <w:tcW w:w="6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2013 (as of March 31, 2013)</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$34,200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$5,061</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Fiscal 2012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$75,500</w:t>
            </w: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$2,268</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2011</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$4,735</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7"/>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net asset value, or NAV, and monthly distributions per share since April 8, 2011 (initial public offering). On July 1, 2013, the last reported closing price of our common stock was $14.22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Premium/</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Premium/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High Closing</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Low Closing</w:t>
            </w:r>
          </w:p>
        </w:tc>
        <w:tc>
          <w:tcPr>
            <w:tcW w:w="160" w:type="dxa"/>
            <w:vAlign w:val="bottom"/>
          </w:tcPr>
          <w:p>
            <w:pPr>
              <w:spacing w:after="0"/>
              <w:rPr>
                <w:sz w:val="15"/>
                <w:szCs w:val="15"/>
                <w:color w:val="auto"/>
              </w:rPr>
            </w:pPr>
          </w:p>
        </w:tc>
        <w:tc>
          <w:tcPr>
            <w:tcW w:w="8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85"/>
              </w:rPr>
              <w:t>Distributions</w:t>
            </w: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5"/>
          </w:tcPr>
          <w:p>
            <w:pPr>
              <w:ind w:left="240"/>
              <w:spacing w:after="0" w:line="145" w:lineRule="exact"/>
              <w:rPr>
                <w:sz w:val="20"/>
                <w:szCs w:val="20"/>
                <w:color w:val="auto"/>
              </w:rPr>
            </w:pPr>
            <w:r>
              <w:rPr>
                <w:rFonts w:ascii="Arial" w:cs="Arial" w:eastAsia="Arial" w:hAnsi="Arial"/>
                <w:sz w:val="14"/>
                <w:szCs w:val="14"/>
                <w:b w:val="1"/>
                <w:bCs w:val="1"/>
                <w:color w:val="auto"/>
              </w:rPr>
              <w:t>Closing Price</w:t>
            </w:r>
          </w:p>
        </w:tc>
        <w:tc>
          <w:tcPr>
            <w:tcW w:w="124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85"/>
              </w:rPr>
              <w:t>Price to</w:t>
            </w:r>
          </w:p>
        </w:tc>
        <w:tc>
          <w:tcPr>
            <w:tcW w:w="10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5"/>
              </w:rPr>
              <w:t>Price to</w:t>
            </w:r>
          </w:p>
        </w:tc>
        <w:tc>
          <w:tcPr>
            <w:tcW w:w="1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7"/>
              </w:rPr>
              <w:t>Period</w:t>
            </w:r>
          </w:p>
        </w:tc>
        <w:tc>
          <w:tcPr>
            <w:tcW w:w="3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0" w:type="dxa"/>
            <w:vAlign w:val="bottom"/>
            <w:gridSpan w:val="2"/>
          </w:tcPr>
          <w:p>
            <w:pPr>
              <w:jc w:val="right"/>
              <w:ind w:right="380"/>
              <w:spacing w:after="0" w:line="135" w:lineRule="exact"/>
              <w:rPr>
                <w:sz w:val="20"/>
                <w:szCs w:val="20"/>
                <w:color w:val="auto"/>
              </w:rPr>
            </w:pPr>
            <w:r>
              <w:rPr>
                <w:rFonts w:ascii="Arial" w:cs="Arial" w:eastAsia="Arial" w:hAnsi="Arial"/>
                <w:sz w:val="10"/>
                <w:szCs w:val="10"/>
                <w:b w:val="1"/>
                <w:bCs w:val="1"/>
                <w:color w:val="auto"/>
              </w:rPr>
              <w:t>NAV</w:t>
            </w:r>
            <w:r>
              <w:rPr>
                <w:rFonts w:ascii="Arial" w:cs="Arial" w:eastAsia="Arial" w:hAnsi="Arial"/>
                <w:sz w:val="15"/>
                <w:szCs w:val="15"/>
                <w:b w:val="1"/>
                <w:bCs w:val="1"/>
                <w:color w:val="auto"/>
                <w:vertAlign w:val="superscript"/>
              </w:rPr>
              <w:t>(1)</w:t>
            </w:r>
          </w:p>
        </w:tc>
        <w:tc>
          <w:tcPr>
            <w:tcW w:w="62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High</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Low</w:t>
            </w:r>
          </w:p>
        </w:tc>
        <w:tc>
          <w:tcPr>
            <w:tcW w:w="360" w:type="dxa"/>
            <w:vAlign w:val="bottom"/>
          </w:tcPr>
          <w:p>
            <w:pPr>
              <w:spacing w:after="0"/>
              <w:rPr>
                <w:sz w:val="13"/>
                <w:szCs w:val="13"/>
                <w:color w:val="auto"/>
              </w:rPr>
            </w:pPr>
          </w:p>
        </w:tc>
        <w:tc>
          <w:tcPr>
            <w:tcW w:w="1240" w:type="dxa"/>
            <w:vAlign w:val="bottom"/>
            <w:gridSpan w:val="2"/>
          </w:tcPr>
          <w:p>
            <w:pPr>
              <w:jc w:val="center"/>
              <w:ind w:right="440"/>
              <w:spacing w:after="0" w:line="135"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5"/>
                <w:szCs w:val="15"/>
                <w:b w:val="1"/>
                <w:bCs w:val="1"/>
                <w:color w:val="auto"/>
                <w:vertAlign w:val="superscript"/>
              </w:rPr>
              <w:t>(2)</w:t>
            </w: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5"/>
                <w:szCs w:val="15"/>
                <w:b w:val="1"/>
                <w:bCs w:val="1"/>
                <w:color w:val="auto"/>
                <w:vertAlign w:val="superscript"/>
              </w:rPr>
              <w:t>(2)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22"/>
        </w:trPr>
        <w:tc>
          <w:tcPr>
            <w:tcW w:w="39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Fiscal year ending September 30, 2013</w:t>
            </w:r>
          </w:p>
        </w:tc>
        <w:tc>
          <w:tcPr>
            <w:tcW w:w="17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25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  N/A</w:t>
            </w:r>
          </w:p>
        </w:tc>
        <w:tc>
          <w:tcPr>
            <w:tcW w:w="360" w:type="dxa"/>
            <w:vAlign w:val="bottom"/>
          </w:tcPr>
          <w:p>
            <w:pPr>
              <w:spacing w:after="0" w:line="149" w:lineRule="exact"/>
              <w:rPr>
                <w:sz w:val="20"/>
                <w:szCs w:val="20"/>
                <w:color w:val="auto"/>
              </w:rPr>
            </w:pPr>
            <w:r>
              <w:rPr>
                <w:rFonts w:ascii="Arial" w:cs="Arial" w:eastAsia="Arial" w:hAnsi="Arial"/>
                <w:sz w:val="14"/>
                <w:szCs w:val="14"/>
                <w:color w:val="auto"/>
                <w:w w:val="79"/>
              </w:rPr>
              <w:t>$14.90</w:t>
            </w:r>
          </w:p>
        </w:tc>
        <w:tc>
          <w:tcPr>
            <w:tcW w:w="2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w:t>
            </w:r>
          </w:p>
        </w:tc>
        <w:tc>
          <w:tcPr>
            <w:tcW w:w="36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0.2625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25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14.10</w:t>
            </w:r>
          </w:p>
        </w:tc>
        <w:tc>
          <w:tcPr>
            <w:tcW w:w="3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9"/>
              </w:rPr>
              <w:t>14.43</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First quarter</w:t>
            </w:r>
          </w:p>
        </w:tc>
        <w:tc>
          <w:tcPr>
            <w:tcW w:w="25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13.99</w:t>
            </w:r>
          </w:p>
        </w:tc>
        <w:tc>
          <w:tcPr>
            <w:tcW w:w="360" w:type="dxa"/>
            <w:vAlign w:val="bottom"/>
          </w:tcPr>
          <w:p>
            <w:pPr>
              <w:ind w:left="60"/>
              <w:spacing w:after="0" w:line="149" w:lineRule="exact"/>
              <w:rPr>
                <w:sz w:val="20"/>
                <w:szCs w:val="20"/>
                <w:color w:val="auto"/>
              </w:rPr>
            </w:pPr>
            <w:r>
              <w:rPr>
                <w:rFonts w:ascii="Arial" w:cs="Arial" w:eastAsia="Arial" w:hAnsi="Arial"/>
                <w:sz w:val="14"/>
                <w:szCs w:val="14"/>
                <w:color w:val="auto"/>
                <w:w w:val="79"/>
              </w:rPr>
              <w:t>13.30</w:t>
            </w:r>
          </w:p>
        </w:tc>
        <w:tc>
          <w:tcPr>
            <w:tcW w:w="2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12.35</w:t>
            </w:r>
          </w:p>
        </w:tc>
        <w:tc>
          <w:tcPr>
            <w:tcW w:w="36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0.2475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25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13.98</w:t>
            </w:r>
          </w:p>
        </w:tc>
        <w:tc>
          <w:tcPr>
            <w:tcW w:w="360" w:type="dxa"/>
            <w:vAlign w:val="bottom"/>
          </w:tcPr>
          <w:p>
            <w:pPr>
              <w:ind w:left="60"/>
              <w:spacing w:after="0" w:line="149" w:lineRule="exact"/>
              <w:rPr>
                <w:sz w:val="20"/>
                <w:szCs w:val="20"/>
                <w:color w:val="auto"/>
              </w:rPr>
            </w:pPr>
            <w:r>
              <w:rPr>
                <w:rFonts w:ascii="Arial" w:cs="Arial" w:eastAsia="Arial" w:hAnsi="Arial"/>
                <w:sz w:val="14"/>
                <w:szCs w:val="14"/>
                <w:color w:val="auto"/>
                <w:w w:val="79"/>
              </w:rPr>
              <w:t>13.03</w:t>
            </w:r>
          </w:p>
        </w:tc>
        <w:tc>
          <w:tcPr>
            <w:tcW w:w="2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11.85</w:t>
            </w:r>
          </w:p>
        </w:tc>
        <w:tc>
          <w:tcPr>
            <w:tcW w:w="36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0.2400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25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13.94</w:t>
            </w:r>
          </w:p>
        </w:tc>
        <w:tc>
          <w:tcPr>
            <w:tcW w:w="6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11.93</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25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14.12</w:t>
            </w:r>
          </w:p>
        </w:tc>
        <w:tc>
          <w:tcPr>
            <w:tcW w:w="360" w:type="dxa"/>
            <w:vAlign w:val="bottom"/>
          </w:tcPr>
          <w:p>
            <w:pPr>
              <w:ind w:left="60"/>
              <w:spacing w:after="0" w:line="149" w:lineRule="exact"/>
              <w:rPr>
                <w:sz w:val="20"/>
                <w:szCs w:val="20"/>
                <w:color w:val="auto"/>
              </w:rPr>
            </w:pPr>
            <w:r>
              <w:rPr>
                <w:rFonts w:ascii="Arial" w:cs="Arial" w:eastAsia="Arial" w:hAnsi="Arial"/>
                <w:sz w:val="14"/>
                <w:szCs w:val="14"/>
                <w:color w:val="auto"/>
                <w:w w:val="79"/>
              </w:rPr>
              <w:t>12.10</w:t>
            </w:r>
          </w:p>
        </w:tc>
        <w:tc>
          <w:tcPr>
            <w:tcW w:w="2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10.52</w:t>
            </w:r>
          </w:p>
        </w:tc>
        <w:tc>
          <w:tcPr>
            <w:tcW w:w="36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0.2250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25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13.68</w:t>
            </w:r>
          </w:p>
        </w:tc>
        <w:tc>
          <w:tcPr>
            <w:tcW w:w="6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11.03</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2011</w:t>
            </w:r>
          </w:p>
        </w:tc>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25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13.44</w:t>
            </w:r>
          </w:p>
        </w:tc>
        <w:tc>
          <w:tcPr>
            <w:tcW w:w="3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9"/>
              </w:rPr>
              <w:t>12.85</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60" w:type="dxa"/>
            <w:vAlign w:val="bottom"/>
            <w:gridSpan w:val="2"/>
          </w:tcPr>
          <w:p>
            <w:pPr>
              <w:spacing w:after="0"/>
              <w:rPr>
                <w:sz w:val="20"/>
                <w:szCs w:val="20"/>
                <w:color w:val="auto"/>
              </w:rPr>
            </w:pPr>
            <w:r>
              <w:rPr>
                <w:rFonts w:ascii="Arial" w:cs="Arial" w:eastAsia="Arial" w:hAnsi="Arial"/>
                <w:sz w:val="14"/>
                <w:szCs w:val="14"/>
                <w:color w:val="auto"/>
              </w:rPr>
              <w:t>Third quarter*</w:t>
            </w:r>
          </w:p>
        </w:tc>
        <w:tc>
          <w:tcPr>
            <w:tcW w:w="2540" w:type="dxa"/>
            <w:vAlign w:val="bottom"/>
            <w:gridSpan w:val="3"/>
          </w:tcPr>
          <w:p>
            <w:pPr>
              <w:jc w:val="right"/>
              <w:ind w:right="380"/>
              <w:spacing w:after="0"/>
              <w:rPr>
                <w:sz w:val="20"/>
                <w:szCs w:val="20"/>
                <w:color w:val="auto"/>
              </w:rPr>
            </w:pPr>
            <w:r>
              <w:rPr>
                <w:rFonts w:ascii="Arial" w:cs="Arial" w:eastAsia="Arial" w:hAnsi="Arial"/>
                <w:sz w:val="14"/>
                <w:szCs w:val="14"/>
                <w:color w:val="auto"/>
              </w:rPr>
              <w:t>14.06</w:t>
            </w:r>
          </w:p>
        </w:tc>
        <w:tc>
          <w:tcPr>
            <w:tcW w:w="360" w:type="dxa"/>
            <w:vAlign w:val="bottom"/>
          </w:tcPr>
          <w:p>
            <w:pPr>
              <w:ind w:left="60"/>
              <w:spacing w:after="0"/>
              <w:rPr>
                <w:sz w:val="20"/>
                <w:szCs w:val="20"/>
                <w:color w:val="auto"/>
              </w:rPr>
            </w:pPr>
            <w:r>
              <w:rPr>
                <w:rFonts w:ascii="Arial" w:cs="Arial" w:eastAsia="Arial" w:hAnsi="Arial"/>
                <w:sz w:val="14"/>
                <w:szCs w:val="14"/>
                <w:color w:val="auto"/>
                <w:w w:val="79"/>
              </w:rPr>
              <w:t>13.70</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12.27</w:t>
            </w:r>
          </w:p>
        </w:tc>
        <w:tc>
          <w:tcPr>
            <w:tcW w:w="3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(3)</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ind w:left="220" w:right="80" w:hanging="212"/>
        <w:spacing w:after="0" w:line="230"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for more information.</w:t>
      </w:r>
    </w:p>
    <w:p>
      <w:pPr>
        <w:ind w:left="220" w:hanging="212"/>
        <w:spacing w:after="0" w:line="221"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quarter-end NAV.</w:t>
      </w: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From April 8, 2011 (initial public offering) to June 30, 2011.</w:t>
      </w:r>
    </w:p>
    <w:p>
      <w:pPr>
        <w:spacing w:after="0" w:line="138"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traded on the NASDAQ Global Select Market at $13.96 and $12.67 as of March 31, 2013 and September 30, 2012, respectively. Our NAV was $14.10 and $13.98 per share,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a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9.52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NAV per share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NAV held by stockholder 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w w:val="93"/>
              </w:rPr>
              <w:t>Total investment by stockholder A (assumed to be $10.00 per share)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dilution to stockholder A (total NAV less total investment)</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89"/>
              </w:rPr>
              <w:t>Investment per share held by stockholder A (assumed to be $10.00 per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 on shares held prior to sale)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Dilution per share held by stockholder A (NAV per share less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7"/>
              </w:rPr>
              <w:t>Percentage dilution to stockholder A (dilution per share divided by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w:t>
      </w:r>
    </w:p>
    <w:p>
      <w:pPr>
        <w:spacing w:after="0" w:line="1" w:lineRule="exact"/>
        <w:rPr>
          <w:sz w:val="20"/>
          <w:szCs w:val="20"/>
          <w:color w:val="auto"/>
        </w:rPr>
      </w:pPr>
    </w:p>
    <w:p>
      <w:pPr>
        <w:ind w:firstLine="8"/>
        <w:spacing w:after="0" w:line="277" w:lineRule="auto"/>
        <w:tabs>
          <w:tab w:leader="none" w:pos="191" w:val="left"/>
        </w:tabs>
        <w:numPr>
          <w:ilvl w:val="0"/>
          <w:numId w:val="24"/>
        </w:numPr>
        <w:rPr>
          <w:rFonts w:ascii="Arial" w:cs="Arial" w:eastAsia="Arial" w:hAnsi="Arial"/>
          <w:sz w:val="12"/>
          <w:szCs w:val="12"/>
          <w:color w:val="auto"/>
        </w:rPr>
      </w:pPr>
      <w:r>
        <w:rPr>
          <w:rFonts w:ascii="Arial" w:cs="Arial" w:eastAsia="Arial" w:hAnsi="Arial"/>
          <w:sz w:val="12"/>
          <w:szCs w:val="12"/>
          <w:color w:val="auto"/>
        </w:rPr>
        <w:t>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1.08%</w:t>
            </w: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106,370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125,710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108,470</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125,410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(0.19)</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ectPr>
          <w:pgSz w:w="11900" w:h="16838" w:orient="portrait"/>
          <w:cols w:equalWidth="0" w:num="2">
            <w:col w:w="6100" w:space="440"/>
            <w:col w:w="488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 to stockholder A (total NAV less total investment)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32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9"/>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10.00 %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20.00 %</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4,990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19,340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16,940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14.17 %</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-2854960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-2305685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-2031365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-1757045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-1482725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-1208405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-934085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-659130</wp:posOffset>
            </wp:positionV>
            <wp:extent cx="7246620"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380" w:space="280"/>
            <w:col w:w="676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000" w:type="dxa"/>
            <w:vAlign w:val="bottom"/>
            <w:vMerge w:val="restart"/>
          </w:tcPr>
          <w:p>
            <w:pPr>
              <w:spacing w:after="0"/>
              <w:rPr>
                <w:sz w:val="14"/>
                <w:szCs w:val="14"/>
                <w:color w:val="auto"/>
              </w:rPr>
            </w:pPr>
          </w:p>
        </w:tc>
        <w:tc>
          <w:tcPr>
            <w:tcW w:w="4100" w:type="dxa"/>
            <w:vAlign w:val="bottom"/>
            <w:gridSpan w:val="3"/>
            <w:vMerge w:val="restart"/>
          </w:tcPr>
          <w:p>
            <w:pPr>
              <w:ind w:left="2640"/>
              <w:spacing w:after="0"/>
              <w:rPr>
                <w:sz w:val="20"/>
                <w:szCs w:val="20"/>
                <w:color w:val="auto"/>
              </w:rPr>
            </w:pPr>
            <w:r>
              <w:rPr>
                <w:rFonts w:ascii="Arial" w:cs="Arial" w:eastAsia="Arial" w:hAnsi="Arial"/>
                <w:sz w:val="14"/>
                <w:szCs w:val="14"/>
                <w:b w:val="1"/>
                <w:bCs w:val="1"/>
                <w:color w:val="auto"/>
              </w:rPr>
              <w:t>Payment Dates</w:t>
            </w:r>
          </w:p>
        </w:tc>
        <w:tc>
          <w:tcPr>
            <w:tcW w:w="4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41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Fiscal year ending September 30, 2013</w:t>
            </w:r>
          </w:p>
        </w:tc>
        <w:tc>
          <w:tcPr>
            <w:tcW w:w="26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July 19,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August 1, 2013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June 21,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July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May 20,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June 3,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April 19,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May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22,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April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February 19, 2013</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March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January 22, 2013</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February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December 21,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January 2,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November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December 3,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October 19,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November 1, 2012</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0.8525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2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September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October 1, 2012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August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September 4,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July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August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June 21,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July 2,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May 22,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June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April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May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22,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April 2,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February 20, 2012</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March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January 20, 2012</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February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December 23,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January 3,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November 21,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December 1, 2011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October 21,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November 1, 2011</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40" w:type="dxa"/>
            <w:vAlign w:val="bottom"/>
            <w:gridSpan w:val="2"/>
          </w:tcPr>
          <w:p>
            <w:pPr>
              <w:ind w:left="580"/>
              <w:spacing w:after="0" w:line="155" w:lineRule="exact"/>
              <w:rPr>
                <w:sz w:val="20"/>
                <w:szCs w:val="20"/>
                <w:color w:val="auto"/>
              </w:rPr>
            </w:pPr>
            <w:r>
              <w:rPr>
                <w:rFonts w:ascii="Arial" w:cs="Arial" w:eastAsia="Arial" w:hAnsi="Arial"/>
                <w:sz w:val="14"/>
                <w:szCs w:val="14"/>
                <w:b w:val="1"/>
                <w:bCs w:val="1"/>
                <w:color w:val="auto"/>
              </w:rPr>
              <w:t>Total</w:t>
            </w:r>
          </w:p>
        </w:tc>
        <w:tc>
          <w:tcPr>
            <w:tcW w:w="2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0.9100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2011</w:t>
            </w:r>
          </w:p>
        </w:tc>
        <w:tc>
          <w:tcPr>
            <w:tcW w:w="2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September 23,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October 3, 2011</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August 22,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September 1, 2011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July 22, 2011</w:t>
            </w:r>
          </w:p>
        </w:tc>
        <w:tc>
          <w:tcPr>
            <w:tcW w:w="4100" w:type="dxa"/>
            <w:vAlign w:val="bottom"/>
            <w:gridSpan w:val="3"/>
          </w:tcPr>
          <w:p>
            <w:pPr>
              <w:ind w:left="2640"/>
              <w:spacing w:after="0" w:line="149" w:lineRule="exact"/>
              <w:rPr>
                <w:sz w:val="20"/>
                <w:szCs w:val="20"/>
                <w:color w:val="auto"/>
              </w:rPr>
            </w:pPr>
            <w:r>
              <w:rPr>
                <w:rFonts w:ascii="Arial" w:cs="Arial" w:eastAsia="Arial" w:hAnsi="Arial"/>
                <w:sz w:val="14"/>
                <w:szCs w:val="14"/>
                <w:color w:val="auto"/>
              </w:rPr>
              <w:t>August 1, 2011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0.0600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June 24, 2011</w:t>
            </w:r>
          </w:p>
        </w:tc>
        <w:tc>
          <w:tcPr>
            <w:tcW w:w="4100" w:type="dxa"/>
            <w:vAlign w:val="bottom"/>
            <w:gridSpan w:val="3"/>
            <w:shd w:val="clear" w:color="auto" w:fill="CCEEFF"/>
          </w:tcPr>
          <w:p>
            <w:pPr>
              <w:ind w:left="2640"/>
              <w:spacing w:after="0" w:line="149" w:lineRule="exact"/>
              <w:rPr>
                <w:sz w:val="20"/>
                <w:szCs w:val="20"/>
                <w:color w:val="auto"/>
              </w:rPr>
            </w:pPr>
            <w:r>
              <w:rPr>
                <w:rFonts w:ascii="Arial" w:cs="Arial" w:eastAsia="Arial" w:hAnsi="Arial"/>
                <w:sz w:val="14"/>
                <w:szCs w:val="14"/>
                <w:color w:val="auto"/>
              </w:rPr>
              <w:t>July 1, 2011</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40" w:type="dxa"/>
            <w:vAlign w:val="bottom"/>
            <w:gridSpan w:val="2"/>
          </w:tcPr>
          <w:p>
            <w:pPr>
              <w:ind w:left="580"/>
              <w:spacing w:after="0"/>
              <w:rPr>
                <w:sz w:val="20"/>
                <w:szCs w:val="20"/>
                <w:color w:val="auto"/>
              </w:rPr>
            </w:pPr>
            <w:r>
              <w:rPr>
                <w:rFonts w:ascii="Arial" w:cs="Arial" w:eastAsia="Arial" w:hAnsi="Arial"/>
                <w:sz w:val="14"/>
                <w:szCs w:val="14"/>
                <w:b w:val="1"/>
                <w:bCs w:val="1"/>
                <w:color w:val="auto"/>
              </w:rPr>
              <w:t>Total</w:t>
            </w:r>
          </w:p>
        </w:tc>
        <w:tc>
          <w:tcPr>
            <w:tcW w:w="2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In January 2014, a Form 1099-DIV will be sent to stockholders that will state the amount and composition of distributions and provide information with respect to appropriate tax treatment of our distributions.</w:t>
      </w:r>
    </w:p>
    <w:p>
      <w:pPr>
        <w:spacing w:after="0" w:line="112" w:lineRule="exact"/>
        <w:rPr>
          <w:sz w:val="20"/>
          <w:szCs w:val="20"/>
          <w:color w:val="auto"/>
        </w:rPr>
      </w:pPr>
    </w:p>
    <w:p>
      <w:pPr>
        <w:ind w:right="20" w:firstLine="456"/>
        <w:spacing w:after="0" w:line="318"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lesser extent equity investments. Our investment size may generally range between $1 million and $10 million, on average, although we expect that this investment size will vary proportionately with the size of our capital base.</w:t>
      </w:r>
    </w:p>
    <w:p>
      <w:pPr>
        <w:spacing w:after="0" w:line="5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elected to be treated, and intend to qualify annually as a RIC under the Code.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$1.7 billion in debt and equity capital and has invested approximately $2.5 billion in 244 companies with 110 different financial sponsors through its managed funds.</w:t>
      </w:r>
    </w:p>
    <w:p>
      <w:pPr>
        <w:spacing w:after="0" w:line="4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22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55"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CLO funds have withdrawn capital from the middle-market</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in opportunities for alternative funding sources.</w:t>
      </w:r>
    </w:p>
    <w:p>
      <w:pPr>
        <w:spacing w:after="0" w:line="54" w:lineRule="exact"/>
        <w:rPr>
          <w:rFonts w:ascii="Arial" w:cs="Arial" w:eastAsia="Arial" w:hAnsi="Arial"/>
          <w:sz w:val="14"/>
          <w:szCs w:val="14"/>
          <w:color w:val="auto"/>
        </w:rPr>
      </w:pPr>
    </w:p>
    <w:p>
      <w:pPr>
        <w:ind w:left="540" w:right="28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100" w:hanging="316"/>
        <w:spacing w:after="0" w:line="23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240" w:hanging="316"/>
        <w:spacing w:after="0" w:line="23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substantial supply of opportunities. </w:t>
      </w:r>
      <w:r>
        <w:rPr>
          <w:rFonts w:ascii="Arial" w:cs="Arial" w:eastAsia="Arial" w:hAnsi="Arial"/>
          <w:sz w:val="14"/>
          <w:szCs w:val="14"/>
          <w:color w:val="auto"/>
        </w:rPr>
        <w:t>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20 years of experience in mezzanine lending, leveraged finance, distressed debt and private equity businesses. These senior investment in each of these business across economic and market cycles. We believe this extensive experience and history has resulted in a strong reputation across the capital markets.</w:t>
      </w:r>
    </w:p>
    <w:p>
      <w:pPr>
        <w:spacing w:after="0" w:line="58"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Lending to middle-market companies requires in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3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8"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60" w:firstLine="342"/>
        <w:spacing w:after="0" w:line="278" w:lineRule="auto"/>
        <w:rPr>
          <w:sz w:val="20"/>
          <w:szCs w:val="20"/>
          <w:color w:val="auto"/>
        </w:rPr>
      </w:pPr>
      <w:r>
        <w:rPr>
          <w:rFonts w:ascii="Arial" w:cs="Arial" w:eastAsia="Arial" w:hAnsi="Arial"/>
          <w:sz w:val="12"/>
          <w:szCs w:val="12"/>
          <w:color w:val="auto"/>
        </w:rPr>
        <w:t>We maintain a $125.0 million Credit Facility, which matures in May 2018, with the Lender. During the Credit Facility’s revolving period, it bears interest at LIBOR plus 200 basis points, and after the revolving period, the rate sets to LIBOR plus 425 basis points for the remaining two years. The Credit Facility is secured by all of the assets held by Funding I, under which we had drawn $34.2 million outstanding with a weighted average interest rate of 2.21%, excluding the undrawn commitment fee of 0.375%, as of March 31, 2013.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40" w:firstLine="456"/>
        <w:spacing w:after="0" w:line="288" w:lineRule="auto"/>
        <w:rPr>
          <w:sz w:val="20"/>
          <w:szCs w:val="20"/>
          <w:color w:val="auto"/>
        </w:rPr>
      </w:pPr>
      <w:r>
        <w:rPr>
          <w:rFonts w:ascii="Arial" w:cs="Arial" w:eastAsia="Arial" w:hAnsi="Arial"/>
          <w:sz w:val="12"/>
          <w:szCs w:val="12"/>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50"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94"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7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20" w:firstLine="342"/>
        <w:spacing w:after="0" w:line="288" w:lineRule="auto"/>
        <w:rPr>
          <w:sz w:val="20"/>
          <w:szCs w:val="20"/>
          <w:color w:val="auto"/>
        </w:rPr>
      </w:pPr>
      <w:r>
        <w:rPr>
          <w:rFonts w:ascii="Arial" w:cs="Arial" w:eastAsia="Arial" w:hAnsi="Arial"/>
          <w:sz w:val="12"/>
          <w:szCs w:val="12"/>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1"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60" w:hanging="316"/>
        <w:spacing w:after="0" w:line="318"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4"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Aerospace and Defense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Environmental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Auto Sector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Financial Services</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Grocery</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Broadcasting and Entertainment</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Healthcare, Education and Childcare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High Tech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w w:val="87"/>
              </w:rPr>
              <w:t>Home &amp; Office Furnishings, Housewares &amp; Durable Consumer Products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Cable Television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Hotels, Motels, Inns and Gaming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Cargo Transportation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Insurance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Leisure, Amusement, Motion Picture, Entertainment</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Communications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Logistics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Manufacturing / Basic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Non-Durable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Media; Broadcasting and Subscription</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Containers Packaging &amp; Glass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Mining, Steel, Iron and Non-Precious Metals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Distribution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Oil and Gas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Manufacturing</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Other Media</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Personal, Food and Miscellaneous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Education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Printing and Publishing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Energy / Utilities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Retail Stores</w:t>
            </w:r>
          </w:p>
        </w:tc>
      </w:tr>
      <w:tr>
        <w:trPr>
          <w:trHeight w:val="230"/>
        </w:trPr>
        <w:tc>
          <w:tcPr>
            <w:tcW w:w="1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Telecommunications</w:t>
            </w:r>
          </w:p>
        </w:tc>
      </w:tr>
      <w:tr>
        <w:trPr>
          <w:trHeight w:val="405"/>
        </w:trPr>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0" w:type="dxa"/>
            <w:vAlign w:val="bottom"/>
          </w:tcPr>
          <w:p>
            <w:pPr>
              <w:ind w:left="1460"/>
              <w:spacing w:after="0"/>
              <w:rPr>
                <w:sz w:val="20"/>
                <w:szCs w:val="20"/>
                <w:color w:val="auto"/>
              </w:rPr>
            </w:pPr>
            <w:r>
              <w:rPr>
                <w:rFonts w:ascii="Arial" w:cs="Arial" w:eastAsia="Arial" w:hAnsi="Arial"/>
                <w:sz w:val="14"/>
                <w:szCs w:val="14"/>
                <w:color w:val="auto"/>
              </w:rPr>
              <w:t>50</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equivalents) as of:</w:t>
      </w:r>
    </w:p>
    <w:p>
      <w:pPr>
        <w:sectPr>
          <w:pgSz w:w="11900" w:h="16838" w:orient="portrait"/>
          <w:cols w:equalWidth="0" w:num="1">
            <w:col w:w="11420"/>
          </w:cols>
          <w:pgMar w:left="240" w:top="459" w:right="2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ALG USA Holdings, LLC</w:t>
            </w:r>
          </w:p>
        </w:tc>
        <w:tc>
          <w:tcPr>
            <w:tcW w:w="620" w:type="dxa"/>
            <w:vAlign w:val="bottom"/>
            <w:vMerge w:val="continue"/>
          </w:tcPr>
          <w:p>
            <w:pPr>
              <w:spacing w:after="0"/>
              <w:rPr>
                <w:sz w:val="14"/>
                <w:szCs w:val="14"/>
                <w:color w:val="auto"/>
              </w:rPr>
            </w:pPr>
          </w:p>
        </w:tc>
        <w:tc>
          <w:tcPr>
            <w:tcW w:w="1100" w:type="dxa"/>
            <w:vAlign w:val="bottom"/>
            <w:gridSpan w:val="2"/>
          </w:tcPr>
          <w:p>
            <w:pPr>
              <w:ind w:left="920"/>
              <w:spacing w:after="0"/>
              <w:rPr>
                <w:sz w:val="20"/>
                <w:szCs w:val="20"/>
                <w:color w:val="auto"/>
              </w:rPr>
            </w:pPr>
            <w:r>
              <w:rPr>
                <w:rFonts w:ascii="Arial" w:cs="Arial" w:eastAsia="Arial" w:hAnsi="Arial"/>
                <w:sz w:val="14"/>
                <w:szCs w:val="14"/>
                <w:color w:val="auto"/>
                <w:w w:val="78"/>
              </w:rPr>
              <w:t>5%</w:t>
            </w:r>
          </w:p>
        </w:tc>
        <w:tc>
          <w:tcPr>
            <w:tcW w:w="0" w:type="dxa"/>
            <w:vAlign w:val="bottom"/>
          </w:tcPr>
          <w:p>
            <w:pPr>
              <w:spacing w:after="0"/>
              <w:rPr>
                <w:sz w:val="1"/>
                <w:szCs w:val="1"/>
                <w:color w:val="auto"/>
              </w:rPr>
            </w:pPr>
          </w:p>
        </w:tc>
      </w:tr>
      <w:tr>
        <w:trPr>
          <w:trHeight w:val="178"/>
        </w:trPr>
        <w:tc>
          <w:tcPr>
            <w:tcW w:w="42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KIK Custom Products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Northfield Park Associates LLC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RiverBoat Corporation of Mississippi</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DS Waters of America,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Orbitz Worldwide, Inc.</w:t>
            </w:r>
          </w:p>
        </w:tc>
        <w:tc>
          <w:tcPr>
            <w:tcW w:w="980" w:type="dxa"/>
            <w:vAlign w:val="bottom"/>
          </w:tcPr>
          <w:p>
            <w:pPr>
              <w:ind w:left="92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620" w:type="dxa"/>
            <w:vAlign w:val="bottom"/>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88"/>
              </w:rPr>
              <w:t>March 31, 2013</w:t>
            </w:r>
          </w:p>
        </w:tc>
        <w:tc>
          <w:tcPr>
            <w:tcW w:w="120" w:type="dxa"/>
            <w:vAlign w:val="bottom"/>
          </w:tcPr>
          <w:p>
            <w:pPr>
              <w:spacing w:after="0"/>
              <w:rPr>
                <w:sz w:val="15"/>
                <w:szCs w:val="15"/>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Consumer Services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70"/>
        </w:trPr>
        <w:tc>
          <w:tcPr>
            <w:tcW w:w="420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color w:val="auto"/>
              </w:rPr>
              <w:t>Automotive</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r>
      <w:tr>
        <w:trPr>
          <w:trHeight w:val="243"/>
        </w:trPr>
        <w:tc>
          <w:tcPr>
            <w:tcW w:w="420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5"/>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September 30, 2012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Healogics Inc. (f/k/a National Healing Corp.)</w:t>
            </w:r>
          </w:p>
        </w:tc>
        <w:tc>
          <w:tcPr>
            <w:tcW w:w="640" w:type="dxa"/>
            <w:vAlign w:val="bottom"/>
            <w:vMerge w:val="continue"/>
          </w:tcPr>
          <w:p>
            <w:pPr>
              <w:spacing w:after="0"/>
              <w:rPr>
                <w:sz w:val="14"/>
                <w:szCs w:val="14"/>
                <w:color w:val="auto"/>
              </w:rPr>
            </w:pPr>
          </w:p>
        </w:tc>
        <w:tc>
          <w:tcPr>
            <w:tcW w:w="1320" w:type="dxa"/>
            <w:vAlign w:val="bottom"/>
            <w:gridSpan w:val="2"/>
          </w:tcPr>
          <w:p>
            <w:pPr>
              <w:ind w:left="1140"/>
              <w:spacing w:after="0"/>
              <w:rPr>
                <w:sz w:val="20"/>
                <w:szCs w:val="20"/>
                <w:color w:val="auto"/>
              </w:rPr>
            </w:pPr>
            <w:r>
              <w:rPr>
                <w:rFonts w:ascii="Arial" w:cs="Arial" w:eastAsia="Arial" w:hAnsi="Arial"/>
                <w:sz w:val="14"/>
                <w:szCs w:val="14"/>
                <w:color w:val="auto"/>
                <w:w w:val="78"/>
              </w:rPr>
              <w:t>3%</w:t>
            </w:r>
          </w:p>
        </w:tc>
        <w:tc>
          <w:tcPr>
            <w:tcW w:w="0" w:type="dxa"/>
            <w:vAlign w:val="bottom"/>
          </w:tcPr>
          <w:p>
            <w:pPr>
              <w:spacing w:after="0"/>
              <w:rPr>
                <w:sz w:val="1"/>
                <w:szCs w:val="1"/>
                <w:color w:val="auto"/>
              </w:rPr>
            </w:pPr>
          </w:p>
        </w:tc>
      </w:tr>
      <w:tr>
        <w:trPr>
          <w:trHeight w:val="178"/>
        </w:trPr>
        <w:tc>
          <w:tcPr>
            <w:tcW w:w="414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KIK Custom Products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Mood Media Corporation</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Yonkers Racing Corporation</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DS Waters of America, Inc.</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3"/>
          </w:tcPr>
          <w:p>
            <w:pPr>
              <w:spacing w:after="0"/>
              <w:rPr>
                <w:sz w:val="20"/>
                <w:szCs w:val="20"/>
                <w:color w:val="auto"/>
              </w:rPr>
            </w:pPr>
            <w:r>
              <w:rPr>
                <w:rFonts w:ascii="Arial" w:cs="Arial" w:eastAsia="Arial" w:hAnsi="Arial"/>
                <w:sz w:val="14"/>
                <w:szCs w:val="14"/>
                <w:color w:val="auto"/>
              </w:rPr>
              <w:t>Viamedia Services Corp.</w:t>
            </w:r>
          </w:p>
        </w:tc>
        <w:tc>
          <w:tcPr>
            <w:tcW w:w="1200" w:type="dxa"/>
            <w:vAlign w:val="bottom"/>
          </w:tcPr>
          <w:p>
            <w:pPr>
              <w:ind w:left="1140"/>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-1191260</wp:posOffset>
            </wp:positionV>
            <wp:extent cx="724662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-942340</wp:posOffset>
            </wp:positionV>
            <wp:extent cx="724662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-702310</wp:posOffset>
            </wp:positionV>
            <wp:extent cx="724662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-462280</wp:posOffset>
            </wp:positionV>
            <wp:extent cx="72466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-222250</wp:posOffset>
            </wp:positionV>
            <wp:extent cx="724662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62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2012</w:t>
            </w:r>
          </w:p>
        </w:tc>
        <w:tc>
          <w:tcPr>
            <w:tcW w:w="120" w:type="dxa"/>
            <w:vAlign w:val="bottom"/>
          </w:tcPr>
          <w:p>
            <w:pPr>
              <w:spacing w:after="0"/>
              <w:rPr>
                <w:sz w:val="15"/>
                <w:szCs w:val="15"/>
                <w:color w:val="auto"/>
              </w:rPr>
            </w:pPr>
          </w:p>
        </w:tc>
      </w:tr>
      <w:tr>
        <w:trPr>
          <w:trHeight w:val="169"/>
        </w:trPr>
        <w:tc>
          <w:tcPr>
            <w:tcW w:w="416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9"/>
                <w:szCs w:val="19"/>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-1456690</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-1174115</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-899795</wp:posOffset>
            </wp:positionV>
            <wp:extent cx="72466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-590550</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-281940</wp:posOffset>
            </wp:positionV>
            <wp:extent cx="72466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26035</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214630</wp:posOffset>
            </wp:positionV>
            <wp:extent cx="72466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340" w:space="600"/>
            <w:col w:w="5480"/>
          </w:cols>
          <w:pgMar w:left="240" w:top="459" w:right="2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Accordingly they may have obligations to investors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sought, and there can be no assurance that we will obtain, such order.</w:t>
      </w:r>
    </w:p>
    <w:p>
      <w:pPr>
        <w:spacing w:after="0" w:line="13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As of March 31, 2013, our portfolio consisted of 63 companies and was invested 87% in senior secured loans, 6% in second lien secured debt and 7% in subordinated debt and preferred and common 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March 31, 2013,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71"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March 31,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March 31, 2013 Consolidated Financial Statements included elsewhere in this prospectus.</w:t>
      </w:r>
    </w:p>
    <w:p>
      <w:pPr>
        <w:spacing w:after="0" w:line="5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less than 5%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ALG USA Holdings,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 Campus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Newtown Square, PA 19073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American Gilsonite Company</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Metals and Mining</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1717 St. James Place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Houston, TX 77056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ARC Auto Group, Inc. and Casco Auto Group,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855 Main Street, 10th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Bridgeport, CT 06604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Aspen Dental Management,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281 Sanders Creek Parkway</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East Syracuse, NY 13057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ATI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790 Remington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Bolingbrook, IL 60440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00" w:type="dxa"/>
            <w:vAlign w:val="bottom"/>
            <w:gridSpan w:val="3"/>
          </w:tcPr>
          <w:p>
            <w:pPr>
              <w:spacing w:after="0"/>
              <w:rPr>
                <w:sz w:val="20"/>
                <w:szCs w:val="20"/>
                <w:color w:val="auto"/>
              </w:rPr>
            </w:pPr>
            <w:r>
              <w:rPr>
                <w:rFonts w:ascii="Arial" w:cs="Arial" w:eastAsia="Arial" w:hAnsi="Arial"/>
                <w:sz w:val="14"/>
                <w:szCs w:val="14"/>
                <w:color w:val="auto"/>
              </w:rPr>
              <w:t>Attachmate Corporation</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1500 Dexter Avenue N.</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Seattle, WA 98109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BBB Industries,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5640 Commerce Blvd. East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Mobile, AL 36619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Berlin Packaging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525 West Monroe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Chicago, IL 60661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600 Travis Street, Suite 600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Houston, TX 77002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Cannery Casino Resorts,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2121 E Craig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North Las Vegas, NV 89030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DCS Business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Livermore, CA 94551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DS Waters Of America,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Atlanta, GA 30328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Edmenturn, Inc. (f/k/a Archipelago Learning,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5600 West 83rd Street,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8200 Tower, Bloomington, MN 55437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EIG Investors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 Corporate Drive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Burlington, MA 01803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Emerald Performance Materials,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2020 Front Street, Suite 100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Cuyahoga Falls, OH 44221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eResearchtechnology, Inc.</w:t>
            </w:r>
          </w:p>
        </w:tc>
        <w:tc>
          <w:tcPr>
            <w:tcW w:w="2160" w:type="dxa"/>
            <w:vAlign w:val="bottom"/>
            <w:tcBorders>
              <w:top w:val="single" w:sz="8" w:color="CCEEFF"/>
            </w:tcBorders>
            <w:shd w:val="clear" w:color="auto" w:fill="CCEEFF"/>
          </w:tcPr>
          <w:p>
            <w:pPr>
              <w:spacing w:after="0"/>
              <w:rPr>
                <w:sz w:val="9"/>
                <w:szCs w:val="9"/>
                <w:color w:val="auto"/>
              </w:rPr>
            </w:pPr>
          </w:p>
        </w:tc>
        <w:tc>
          <w:tcPr>
            <w:tcW w:w="242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Healthcare and Pharmaceuticals</w:t>
            </w:r>
          </w:p>
        </w:tc>
        <w:tc>
          <w:tcPr>
            <w:tcW w:w="10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ind w:left="540"/>
              <w:spacing w:after="0" w:line="111" w:lineRule="exact"/>
              <w:rPr>
                <w:sz w:val="20"/>
                <w:szCs w:val="20"/>
                <w:color w:val="auto"/>
              </w:rPr>
            </w:pPr>
            <w:r>
              <w:rPr>
                <w:rFonts w:ascii="Arial" w:cs="Arial" w:eastAsia="Arial" w:hAnsi="Arial"/>
                <w:sz w:val="12"/>
                <w:szCs w:val="12"/>
                <w:color w:val="auto"/>
              </w:rPr>
              <w:t>First Lien Secured Debt</w:t>
            </w:r>
          </w:p>
        </w:tc>
        <w:tc>
          <w:tcPr>
            <w:tcW w:w="100" w:type="dxa"/>
            <w:vAlign w:val="bottom"/>
            <w:tcBorders>
              <w:top w:val="single" w:sz="8" w:color="CCEEFF"/>
            </w:tcBorders>
            <w:shd w:val="clear" w:color="auto" w:fill="CCEEFF"/>
          </w:tcPr>
          <w:p>
            <w:pPr>
              <w:spacing w:after="0"/>
              <w:rPr>
                <w:sz w:val="9"/>
                <w:szCs w:val="9"/>
                <w:color w:val="auto"/>
              </w:rPr>
            </w:pPr>
          </w:p>
        </w:tc>
        <w:tc>
          <w:tcPr>
            <w:tcW w:w="170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1818 Market Street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Philandelphia, PA 19103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Fishnet Security,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6130 Sprint Parkway, Suite 400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Overland Park, KS 66211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GFA Brands,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 West Century Road, Suite 260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Paramus, NJ 07652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w w:val="98"/>
              </w:rPr>
              <w:t>Graton Economic Development Authority</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Federated Indians of Graton Rancheria</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6400 Redwood Drive, Suite 300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Rohnert Park, CA 94928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GSE Environmental,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1000 South Oyster Bay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Hicksville, NY 11801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Howard Berger Co.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Wholesale</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324A Half Acre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Cranbury, NJ 08512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IDQ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2901 West Kingsley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Garland, TX 75041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Ikaria,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Perryville III Corporate Park</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53 Frontage Road, 3rd FL.</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 BOX 9001</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Hampton, NJ 08827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InfuSystem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31700 Reseach Park Drive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Madison Heights, MI 48071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Jackson Hewitt Tax Service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 Sylvan Way</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Parsippany, NJ 07054</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Soho Centre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260 Queen St.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 Toronto, Canada</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KIK Custom Products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101 Macintosh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Concord, ON L4K 4L5</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Canada</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Milk Specialties Company</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7500 Flying Cloud Drive, Suite 500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MModal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9009 Carothers Parkway, Suite C-1</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Franklin, TN 37067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Mood Media Corporation</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Toronto, ON M2P 2C2</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Canada</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MOSAID Technologies Incorporated</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 Hines Road, Suite 203</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Ottawa, Ontario, Canada</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K2K 2X1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MX USA,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930 Ridgebrook Rd, 3rd FL</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Sparks, MD 21152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NAB Holdings,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Banking, Finance, Insurance and Real</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250 Stephenson Highway</w:t>
            </w:r>
          </w:p>
        </w:tc>
        <w:tc>
          <w:tcPr>
            <w:tcW w:w="216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Estate</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Troy, MI 48083</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Northfield Park Associates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10705 Northfield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Northfield, OH 44067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3"/>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Orbitz Worldwide,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Transportation: Consumer</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 W. Madison Street, Suite 1000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Chicago, IL 60661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Pelican Products,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23215 Early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Torrance, CA 90505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25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jc w:val="center"/>
              <w:ind w:right="120"/>
              <w:spacing w:after="0" w:line="122"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Premier Dental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530 S Main Street, 6th FL</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Orange CA 92868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RiverBoat Corporation of Mississippi</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1510 West Loop South</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77027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Sabre Industries,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Construction and Building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8653 East Highway 67</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Alvarado, TX 76009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Seven Seas Cruises R.L.</w:t>
            </w:r>
          </w:p>
        </w:tc>
        <w:tc>
          <w:tcPr>
            <w:tcW w:w="25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Miami, FL 33122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McLean, VA 22102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 George’s University Scholastic Services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Sunrise Highway, Bldg.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Great River, NY 11739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Sutherland Global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1160 Pittsford Victor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Pittsford, NY 14534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Tekelec Global,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5200 Paramount Parkway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Morrisville, NC 27560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Therakos,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1001 US Route 202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Raritan, NJ 08869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Preferred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Charlotte, NC 28217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Common Equity</w:t>
            </w: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UniTek Global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1777 Sentry Parkway West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Gwynedd Hall Suite 202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Blue Bell, PA 19422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Valitas Health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12647 Olive Boulevard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Louis, MO 63141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Varel International Energy Mezzanine Funding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1625W. Crossby Road, Suite 124</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Carrollton, Dallas County, TX 75006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Vestcom International,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7302 Kanis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Little Rock, AR 72204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Water Pik,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Consumer Goods: Durable</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ind w:left="540"/>
              <w:spacing w:after="0" w:line="131" w:lineRule="exact"/>
              <w:rPr>
                <w:sz w:val="20"/>
                <w:szCs w:val="20"/>
                <w:color w:val="auto"/>
              </w:rPr>
            </w:pPr>
            <w:r>
              <w:rPr>
                <w:rFonts w:ascii="Arial" w:cs="Arial" w:eastAsia="Arial" w:hAnsi="Arial"/>
                <w:sz w:val="14"/>
                <w:szCs w:val="14"/>
                <w:color w:val="auto"/>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1730 East Prospect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Fort Collins, CO 80553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Wilton Brands,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2240 W. 75th Street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Woodridge, IL 60517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Z Wireless</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3109 West 41st Street, # 113</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Sioux Falls, SD 57105</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(1) Voting ownership percentage refers only to common equity, preferred equity and warrants held, if any, were we have voting rights.</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March 31, 2013 and September 30, 2012.</w:t>
      </w:r>
    </w:p>
    <w:p>
      <w:pPr>
        <w:sectPr>
          <w:pgSz w:w="11900" w:h="16838" w:orient="portrait"/>
          <w:cols w:equalWidth="0" w:num="1">
            <w:col w:w="11420"/>
          </w:cols>
          <w:pgMar w:left="240" w:top="459"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Classification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Hotel, Gaming and Leisure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Healthcare and Pharmaceuticals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Consumer Goods: Non-Durable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Consumer Services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Beverage, Food and Tobacco</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Business Services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High Tech Industries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Media: Advertising, Printing and Publishing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Automotive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Chemicals, Plastics and Rubber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Media: Diversified and Production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Containers, Packaging and Glass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Telecommunications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Construction and Building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Consumer Goods: Durable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Energy: Oil and Gas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Metals and Mining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Transportation: Consumer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Aerospace and Defense</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Banking, Finance, Insurance &amp; Real Estate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Environmental Industries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Wholesale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All Other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16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March 31, 2013</w:t>
            </w:r>
          </w:p>
        </w:tc>
        <w:tc>
          <w:tcPr>
            <w:tcW w:w="114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September 30, 2012</w:t>
            </w:r>
          </w:p>
        </w:tc>
        <w:tc>
          <w:tcPr>
            <w:tcW w:w="100" w:type="dxa"/>
            <w:vAlign w:val="bottom"/>
          </w:tcPr>
          <w:p>
            <w:pPr>
              <w:spacing w:after="0"/>
              <w:rPr>
                <w:sz w:val="14"/>
                <w:szCs w:val="14"/>
                <w:color w:val="auto"/>
              </w:rPr>
            </w:pPr>
          </w:p>
        </w:tc>
      </w:tr>
      <w:tr>
        <w:trPr>
          <w:trHeight w:val="223"/>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9%</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4%</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2040" w:type="dxa"/>
            <w:vAlign w:val="bottom"/>
            <w:gridSpan w:val="2"/>
          </w:tcPr>
          <w:p>
            <w:pPr>
              <w:jc w:val="right"/>
              <w:ind w:right="1020"/>
              <w:spacing w:after="0"/>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159"/>
        </w:trPr>
        <w:tc>
          <w:tcPr>
            <w:tcW w:w="2040" w:type="dxa"/>
            <w:vAlign w:val="bottom"/>
            <w:gridSpan w:val="2"/>
          </w:tcPr>
          <w:p>
            <w:pPr>
              <w:jc w:val="right"/>
              <w:ind w:right="1020"/>
              <w:spacing w:after="0" w:line="159" w:lineRule="exact"/>
              <w:rPr>
                <w:sz w:val="20"/>
                <w:szCs w:val="20"/>
                <w:color w:val="auto"/>
              </w:rPr>
            </w:pPr>
            <w:r>
              <w:rPr>
                <w:rFonts w:ascii="Arial" w:cs="Arial" w:eastAsia="Arial" w:hAnsi="Arial"/>
                <w:sz w:val="14"/>
                <w:szCs w:val="14"/>
                <w:color w:val="auto"/>
              </w:rPr>
              <w:t>1%</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w:t>
            </w:r>
          </w:p>
        </w:tc>
      </w:tr>
      <w:tr>
        <w:trPr>
          <w:trHeight w:val="20"/>
        </w:trPr>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40" w:type="dxa"/>
            <w:vAlign w:val="bottom"/>
            <w:gridSpan w:val="2"/>
          </w:tcPr>
          <w:p>
            <w:pPr>
              <w:jc w:val="right"/>
              <w:ind w:right="1020"/>
              <w:spacing w:after="0" w:line="155" w:lineRule="exact"/>
              <w:rPr>
                <w:sz w:val="20"/>
                <w:szCs w:val="20"/>
                <w:color w:val="auto"/>
              </w:rPr>
            </w:pPr>
            <w:r>
              <w:rPr>
                <w:rFonts w:ascii="Arial" w:cs="Arial" w:eastAsia="Arial" w:hAnsi="Arial"/>
                <w:sz w:val="14"/>
                <w:szCs w:val="14"/>
                <w:color w:val="auto"/>
              </w:rPr>
              <w:t>100%</w:t>
            </w: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-3112135</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-2837815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-2563495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-2289175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-2014855</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-1740535</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-1465580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-1191260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-916940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-642620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-368300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-119380</wp:posOffset>
            </wp:positionV>
            <wp:extent cx="7246620" cy="94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-3395345</wp:posOffset>
            </wp:positionV>
            <wp:extent cx="72466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2">
            <w:col w:w="4920" w:space="720"/>
            <w:col w:w="578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executive offices are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positions of our Chief Executive Officer and Chairman of the board of directors results in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w:t>
      </w:r>
    </w:p>
    <w:p>
      <w:pPr>
        <w:spacing w:after="0" w:line="1" w:lineRule="exact"/>
        <w:rPr>
          <w:sz w:val="20"/>
          <w:szCs w:val="20"/>
          <w:color w:val="auto"/>
        </w:rPr>
      </w:pPr>
    </w:p>
    <w:p>
      <w:pPr>
        <w:jc w:val="both"/>
        <w:ind w:right="60" w:firstLine="8"/>
        <w:spacing w:after="0" w:line="227" w:lineRule="auto"/>
        <w:tabs>
          <w:tab w:leader="none" w:pos="191"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we are in compliance with our asset coverage ratio, as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5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Adam K. Bernstein (49),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58"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Marshall Brozost (45),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Jeffrey Flug (50), Director. Mr. Flug became a Director of PennantPark Floating Rate Capital Ltd. and PennantPark Investment Corporation in October 2010 and February 2007, respectively. Since October 2012, Mr. Flug has been a director of Sears Hometown and outlet store.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5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Samuel L. Katz (47), Director. Mr. Katz became a Director of PennantPark Floating Rate Capital Ltd. and PennantPark Investment Corporation in October 2010 and February 2007,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Arthur H. Penn (49),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Aviv Efrat (49),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right="140" w:firstLine="456"/>
        <w:spacing w:after="0" w:line="228" w:lineRule="auto"/>
        <w:rPr>
          <w:sz w:val="20"/>
          <w:szCs w:val="20"/>
          <w:color w:val="auto"/>
        </w:rPr>
      </w:pPr>
      <w:r>
        <w:rPr>
          <w:rFonts w:ascii="Arial" w:cs="Arial" w:eastAsia="Arial" w:hAnsi="Arial"/>
          <w:sz w:val="14"/>
          <w:szCs w:val="14"/>
          <w:color w:val="auto"/>
        </w:rPr>
        <w:t>Guy F. Talarico (57), Chief Compliance Officer. Mr. Talarico became the Chief Compliance Officer of PennantPark Floating Rate Capital Ltd. and PennantPark Investment Corporation in March 2011 and May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For the fiscal year ended September 30, 2012,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stockholders meetings.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us to our directors for the fiscal year ended September 30, 2012. No compensation is paid directly by us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8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3700" w:type="dxa"/>
            <w:vAlign w:val="bottom"/>
            <w:gridSpan w:val="7"/>
          </w:tcPr>
          <w:p>
            <w:pPr>
              <w:ind w:left="660"/>
              <w:spacing w:after="0"/>
              <w:rPr>
                <w:sz w:val="20"/>
                <w:szCs w:val="20"/>
                <w:color w:val="auto"/>
              </w:rPr>
            </w:pPr>
            <w:r>
              <w:rPr>
                <w:rFonts w:ascii="Arial" w:cs="Arial" w:eastAsia="Arial" w:hAnsi="Arial"/>
                <w:sz w:val="14"/>
                <w:szCs w:val="14"/>
                <w:b w:val="1"/>
                <w:bCs w:val="1"/>
                <w:color w:val="auto"/>
              </w:rPr>
              <w:t>PennantPark Investment Corporation</w:t>
            </w:r>
          </w:p>
        </w:tc>
      </w:tr>
      <w:tr>
        <w:trPr>
          <w:trHeight w:val="129"/>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Pension or</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Pension or</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retirement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benefits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benefits</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4"/>
              </w:rPr>
              <w:t>accrued as part</w:t>
            </w:r>
          </w:p>
        </w:tc>
        <w:tc>
          <w:tcPr>
            <w:tcW w:w="80" w:type="dxa"/>
            <w:vAlign w:val="bottom"/>
          </w:tcPr>
          <w:p>
            <w:pPr>
              <w:spacing w:after="0"/>
              <w:rPr>
                <w:sz w:val="11"/>
                <w:szCs w:val="11"/>
                <w:color w:val="auto"/>
              </w:rPr>
            </w:pPr>
          </w:p>
        </w:tc>
        <w:tc>
          <w:tcPr>
            <w:tcW w:w="134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86"/>
              </w:rPr>
              <w:t>Total paid to</w:t>
            </w:r>
          </w:p>
        </w:tc>
        <w:tc>
          <w:tcPr>
            <w:tcW w:w="100" w:type="dxa"/>
            <w:vAlign w:val="bottom"/>
          </w:tcPr>
          <w:p>
            <w:pPr>
              <w:spacing w:after="0"/>
              <w:rPr>
                <w:sz w:val="11"/>
                <w:szCs w:val="11"/>
                <w:color w:val="auto"/>
              </w:rPr>
            </w:pPr>
          </w:p>
        </w:tc>
        <w:tc>
          <w:tcPr>
            <w:tcW w:w="124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4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5"/>
                <w:szCs w:val="15"/>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1520" w:type="dxa"/>
            <w:vAlign w:val="bottom"/>
            <w:gridSpan w:val="2"/>
          </w:tcPr>
          <w:p>
            <w:pPr>
              <w:jc w:val="right"/>
              <w:ind w:right="56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3"/>
              </w:rPr>
              <w:t>director/officer</w:t>
            </w: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56,250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58,750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 (as defined in the 1940 Act).”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March 31, 2013 our portfolio managers also managed investments on behalf of the following entities: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Entity</w:t>
            </w: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ind w:left="40"/>
              <w:spacing w:after="0" w:line="131" w:lineRule="exact"/>
              <w:rPr>
                <w:sz w:val="20"/>
                <w:szCs w:val="20"/>
                <w:color w:val="auto"/>
              </w:rPr>
            </w:pPr>
            <w:r>
              <w:rPr>
                <w:rFonts w:ascii="Arial" w:cs="Arial" w:eastAsia="Arial" w:hAnsi="Arial"/>
                <w:sz w:val="10"/>
                <w:szCs w:val="10"/>
                <w:color w:val="auto"/>
              </w:rPr>
              <w:t>PennantPark Investment Corporation</w:t>
            </w:r>
            <w:r>
              <w:rPr>
                <w:rFonts w:ascii="Arial" w:cs="Arial" w:eastAsia="Arial" w:hAnsi="Arial"/>
                <w:sz w:val="15"/>
                <w:szCs w:val="15"/>
                <w:color w:val="auto"/>
                <w:vertAlign w:val="superscript"/>
              </w:rPr>
              <w:t>(1)</w:t>
            </w:r>
          </w:p>
        </w:tc>
        <w:tc>
          <w:tcPr>
            <w:tcW w:w="100" w:type="dxa"/>
            <w:vAlign w:val="bottom"/>
            <w:vMerge w:val="continue"/>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00" w:type="dxa"/>
            <w:vAlign w:val="bottom"/>
          </w:tcPr>
          <w:p>
            <w:pPr>
              <w:spacing w:after="0"/>
              <w:rPr>
                <w:sz w:val="11"/>
                <w:szCs w:val="11"/>
                <w:color w:val="auto"/>
              </w:rPr>
            </w:pPr>
          </w:p>
        </w:tc>
        <w:tc>
          <w:tcPr>
            <w:tcW w:w="5820" w:type="dxa"/>
            <w:vAlign w:val="bottom"/>
          </w:tcPr>
          <w:p>
            <w:pPr>
              <w:ind w:left="40"/>
              <w:spacing w:after="0" w:line="131" w:lineRule="exact"/>
              <w:rPr>
                <w:sz w:val="20"/>
                <w:szCs w:val="20"/>
                <w:color w:val="auto"/>
              </w:rPr>
            </w:pPr>
            <w:r>
              <w:rPr>
                <w:rFonts w:ascii="Arial" w:cs="Arial" w:eastAsia="Arial" w:hAnsi="Arial"/>
                <w:sz w:val="14"/>
                <w:szCs w:val="14"/>
                <w:color w:val="auto"/>
                <w:w w:val="93"/>
              </w:rPr>
              <w:t>Primarily in U.S. middle-market companies in the form of senior secured loans, mezzanine debt and</w:t>
            </w: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color w:val="auto"/>
              </w:rPr>
              <w:t>Other Managed Fund</w:t>
            </w:r>
            <w:r>
              <w:rPr>
                <w:rFonts w:ascii="Arial" w:cs="Arial" w:eastAsia="Arial" w:hAnsi="Arial"/>
                <w:sz w:val="22"/>
                <w:szCs w:val="22"/>
                <w:color w:val="auto"/>
                <w:vertAlign w:val="superscript"/>
              </w:rPr>
              <w:t>(1)</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company</w:t>
            </w: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0" w:type="dxa"/>
            <w:vAlign w:val="bottom"/>
          </w:tcPr>
          <w:p>
            <w:pPr>
              <w:spacing w:after="0"/>
              <w:rPr>
                <w:sz w:val="1"/>
                <w:szCs w:val="1"/>
                <w:color w:val="auto"/>
              </w:rPr>
            </w:pPr>
          </w:p>
        </w:tc>
      </w:tr>
      <w:tr>
        <w:trPr>
          <w:trHeight w:val="161"/>
        </w:trPr>
        <w:tc>
          <w:tcPr>
            <w:tcW w:w="3220" w:type="dxa"/>
            <w:vAlign w:val="bottom"/>
            <w:gridSpan w:val="2"/>
            <w:vMerge w:val="continue"/>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Private Investment</w:t>
            </w:r>
          </w:p>
        </w:tc>
        <w:tc>
          <w:tcPr>
            <w:tcW w:w="5820" w:type="dxa"/>
            <w:vAlign w:val="bottom"/>
          </w:tcPr>
          <w:p>
            <w:pPr>
              <w:ind w:left="40"/>
              <w:spacing w:after="0"/>
              <w:rPr>
                <w:sz w:val="20"/>
                <w:szCs w:val="20"/>
                <w:color w:val="auto"/>
              </w:rPr>
            </w:pPr>
            <w:r>
              <w:rPr>
                <w:rFonts w:ascii="Arial" w:cs="Arial" w:eastAsia="Arial" w:hAnsi="Arial"/>
                <w:sz w:val="14"/>
                <w:szCs w:val="14"/>
                <w:color w:val="auto"/>
              </w:rPr>
              <w:t>Other credit opportunities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ind w:left="3260"/>
        <w:spacing w:after="0"/>
        <w:rPr>
          <w:sz w:val="20"/>
          <w:szCs w:val="20"/>
          <w:color w:val="auto"/>
        </w:rPr>
      </w:pPr>
      <w:r>
        <w:rPr>
          <w:rFonts w:ascii="Arial" w:cs="Arial" w:eastAsia="Arial" w:hAnsi="Arial"/>
          <w:sz w:val="14"/>
          <w:szCs w:val="14"/>
          <w:color w:val="auto"/>
        </w:rPr>
        <w:t>Fund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 The management and incentive fees are based on gross assets and performance, respectively.</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jc w:val="right"/>
        <w:ind w:right="60"/>
        <w:spacing w:after="0"/>
        <w:rPr>
          <w:sz w:val="20"/>
          <w:szCs w:val="20"/>
          <w:color w:val="auto"/>
        </w:rPr>
      </w:pPr>
      <w:r>
        <w:rPr>
          <w:rFonts w:ascii="Arial" w:cs="Arial" w:eastAsia="Arial" w:hAnsi="Arial"/>
          <w:sz w:val="14"/>
          <w:szCs w:val="14"/>
          <w:color w:val="auto"/>
        </w:rPr>
        <w:t>$1,152</w:t>
      </w:r>
    </w:p>
    <w:p>
      <w:pPr>
        <w:spacing w:after="0" w:line="12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33</w:t>
      </w:r>
    </w:p>
    <w:p>
      <w:pPr>
        <w:sectPr>
          <w:pgSz w:w="11900" w:h="16838" w:orient="portrait"/>
          <w:cols w:equalWidth="0" w:num="2">
            <w:col w:w="10400" w:space="160"/>
            <w:col w:w="86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The following table sets forth, as of July 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owned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Morgan Stanley and Co. Inc.</w:t>
            </w:r>
          </w:p>
        </w:tc>
        <w:tc>
          <w:tcPr>
            <w:tcW w:w="12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1585 Broadway</w:t>
            </w:r>
          </w:p>
        </w:tc>
        <w:tc>
          <w:tcPr>
            <w:tcW w:w="20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598,858</w:t>
            </w: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10036-8293</w:t>
            </w:r>
          </w:p>
        </w:tc>
        <w:tc>
          <w:tcPr>
            <w:tcW w:w="1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Independent Directors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Jeffrey Flug</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59,500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tcPr>
          <w:p>
            <w:pPr>
              <w:ind w:left="420"/>
              <w:spacing w:after="0" w:line="189" w:lineRule="exact"/>
              <w:rPr>
                <w:sz w:val="20"/>
                <w:szCs w:val="20"/>
                <w:color w:val="auto"/>
              </w:rPr>
            </w:pPr>
            <w:r>
              <w:rPr>
                <w:rFonts w:ascii="Arial" w:cs="Arial" w:eastAsia="Arial" w:hAnsi="Arial"/>
                <w:sz w:val="13"/>
                <w:szCs w:val="13"/>
                <w:color w:val="auto"/>
              </w:rPr>
              <w:t>Arthur H. Penn</w:t>
            </w:r>
            <w:r>
              <w:rPr>
                <w:rFonts w:ascii="Arial" w:cs="Arial" w:eastAsia="Arial" w:hAnsi="Arial"/>
                <w:sz w:val="21"/>
                <w:szCs w:val="21"/>
                <w:color w:val="auto"/>
                <w:vertAlign w:val="superscript"/>
              </w:rPr>
              <w:t>(3)</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149,209</w:t>
            </w: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13,750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219,459</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500" w:firstLine="443"/>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July 1, 2013.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5780" w:type="dxa"/>
            <w:vAlign w:val="bottom"/>
            <w:gridSpan w:val="5"/>
          </w:tcPr>
          <w:p>
            <w:pPr>
              <w:ind w:left="1280"/>
              <w:spacing w:after="0"/>
              <w:rPr>
                <w:sz w:val="20"/>
                <w:szCs w:val="20"/>
                <w:color w:val="auto"/>
              </w:rPr>
            </w:pPr>
            <w:r>
              <w:rPr>
                <w:rFonts w:ascii="Arial" w:cs="Arial" w:eastAsia="Arial" w:hAnsi="Arial"/>
                <w:sz w:val="14"/>
                <w:szCs w:val="14"/>
                <w:b w:val="1"/>
                <w:bCs w:val="1"/>
                <w:color w:val="auto"/>
              </w:rPr>
              <w:t>Dollar Range of the Common Stock of each Company</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800" w:type="dxa"/>
            <w:vAlign w:val="bottom"/>
            <w:tcBorders>
              <w:top w:val="single" w:sz="8" w:color="auto"/>
            </w:tcBorders>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980" w:type="dxa"/>
            <w:vAlign w:val="bottom"/>
            <w:tcBorders>
              <w:top w:val="single" w:sz="8" w:color="auto"/>
            </w:tcBorders>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89"/>
              </w:rPr>
              <w:t>PennantPark Investment</w:t>
            </w:r>
          </w:p>
        </w:tc>
        <w:tc>
          <w:tcPr>
            <w:tcW w:w="2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Rate Capital Ltd.</w:t>
            </w: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Corporation</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top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Adam K. Bernstein</w:t>
            </w:r>
          </w:p>
        </w:tc>
        <w:tc>
          <w:tcPr>
            <w:tcW w:w="12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$ 50,001 - $100,000</w:t>
            </w:r>
          </w:p>
        </w:tc>
        <w:tc>
          <w:tcPr>
            <w:tcW w:w="5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1"/>
                <w:szCs w:val="11"/>
                <w:color w:val="auto"/>
              </w:rPr>
              <w:t>$500,001 - $ 1,000,000</w:t>
            </w:r>
            <w:r>
              <w:rPr>
                <w:rFonts w:ascii="Arial" w:cs="Arial" w:eastAsia="Arial" w:hAnsi="Arial"/>
                <w:sz w:val="16"/>
                <w:szCs w:val="16"/>
                <w:color w:val="auto"/>
                <w:vertAlign w:val="superscript"/>
              </w:rPr>
              <w:t>(2)</w:t>
            </w:r>
          </w:p>
        </w:tc>
        <w:tc>
          <w:tcPr>
            <w:tcW w:w="52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8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3"/>
              </w:rPr>
              <w:t>None</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800" w:type="dxa"/>
            <w:vAlign w:val="bottom"/>
            <w:gridSpan w:val="2"/>
            <w:shd w:val="clear" w:color="auto" w:fill="CCEEFF"/>
          </w:tcPr>
          <w:p>
            <w:pPr>
              <w:jc w:val="center"/>
              <w:ind w:right="520"/>
              <w:spacing w:after="0" w:line="149" w:lineRule="exact"/>
              <w:rPr>
                <w:sz w:val="20"/>
                <w:szCs w:val="20"/>
                <w:color w:val="auto"/>
              </w:rPr>
            </w:pPr>
            <w:r>
              <w:rPr>
                <w:rFonts w:ascii="Arial" w:cs="Arial" w:eastAsia="Arial" w:hAnsi="Arial"/>
                <w:sz w:val="14"/>
                <w:szCs w:val="14"/>
                <w:color w:val="auto"/>
                <w:w w:val="83"/>
              </w:rPr>
              <w:t>None</w:t>
            </w:r>
          </w:p>
        </w:tc>
        <w:tc>
          <w:tcPr>
            <w:tcW w:w="1980" w:type="dxa"/>
            <w:vAlign w:val="bottom"/>
            <w:gridSpan w:val="2"/>
            <w:shd w:val="clear" w:color="auto" w:fill="CCEEFF"/>
          </w:tcPr>
          <w:p>
            <w:pPr>
              <w:jc w:val="center"/>
              <w:ind w:right="520"/>
              <w:spacing w:after="0" w:line="149" w:lineRule="exact"/>
              <w:rPr>
                <w:sz w:val="20"/>
                <w:szCs w:val="20"/>
                <w:color w:val="auto"/>
              </w:rPr>
            </w:pPr>
            <w:r>
              <w:rPr>
                <w:rFonts w:ascii="Arial" w:cs="Arial" w:eastAsia="Arial" w:hAnsi="Arial"/>
                <w:sz w:val="14"/>
                <w:szCs w:val="14"/>
                <w:color w:val="auto"/>
                <w:w w:val="86"/>
              </w:rPr>
              <w:t>Over $1,000,000</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$ 500,001 - $1,000,000</w:t>
            </w:r>
          </w:p>
        </w:tc>
        <w:tc>
          <w:tcPr>
            <w:tcW w:w="520" w:type="dxa"/>
            <w:vAlign w:val="bottom"/>
          </w:tcPr>
          <w:p>
            <w:pPr>
              <w:spacing w:after="0"/>
              <w:rPr>
                <w:sz w:val="14"/>
                <w:szCs w:val="14"/>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Over $1,000,000</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w:t>
            </w: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color w:val="auto"/>
                <w:w w:val="88"/>
              </w:rPr>
              <w:t>Over $1,000,000</w:t>
            </w: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color w:val="auto"/>
                <w:w w:val="86"/>
              </w:rPr>
              <w:t>Over $1,000,000</w:t>
            </w: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$ 100,001 - $ 500,000</w:t>
            </w: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$100,001 - $ 500,000</w:t>
            </w:r>
          </w:p>
        </w:tc>
        <w:tc>
          <w:tcPr>
            <w:tcW w:w="5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1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Jose A. Briones</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52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$500,001 - $ 1,000,000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$500,001 - $ 1,000,000</w:t>
            </w:r>
          </w:p>
        </w:tc>
        <w:tc>
          <w:tcPr>
            <w:tcW w:w="5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152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jc w:val="both"/>
        <w:ind w:right="8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closes and monitors the investments we make.</w:t>
      </w:r>
    </w:p>
    <w:p>
      <w:pPr>
        <w:spacing w:after="0" w:line="150"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 a base management fee and an incentive fee,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40" w:firstLine="456"/>
        <w:spacing w:after="0" w:line="264"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 For the fiscal year ended September 30, 2012, and for the period March 4, 2011 (commencement of operations) to September 30, 2011, the Investment Adviser earned base management fees of $1.5 million and $0.4 million, respectively, from us.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December 31, 20XX = $160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December 31, 20XX = $10 million</w:t>
      </w:r>
    </w:p>
    <w:p>
      <w:pPr>
        <w:ind w:left="46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March 31, 20XX = $200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March 31, 20XX = $20 million</w:t>
      </w:r>
    </w:p>
    <w:p>
      <w:pPr>
        <w:ind w:left="46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8" w:lineRule="exact"/>
        <w:rPr>
          <w:sz w:val="20"/>
          <w:szCs w:val="20"/>
          <w:color w:val="auto"/>
        </w:rPr>
      </w:pPr>
    </w:p>
    <w:p>
      <w:pPr>
        <w:ind w:left="460" w:right="200"/>
        <w:spacing w:after="0" w:line="239" w:lineRule="auto"/>
        <w:rPr>
          <w:sz w:val="20"/>
          <w:szCs w:val="20"/>
          <w:color w:val="auto"/>
        </w:rPr>
      </w:pPr>
      <w:r>
        <w:rPr>
          <w:rFonts w:ascii="Arial" w:cs="Arial" w:eastAsia="Arial" w:hAnsi="Arial"/>
          <w:sz w:val="14"/>
          <w:szCs w:val="14"/>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456"/>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diligence and consulting fees or other fees that we receive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3860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3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commencing on December 31, 2011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For the three and six months ended March 31, 2013 and 2012, the Investment Adviser did not earn a performance based incentive fee on capital gains as calculated under the Investment Management Agreement.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22"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38"/>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38"/>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60"/>
          </w:cols>
          <w:pgMar w:left="240" w:top="459" w:right="29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( 1)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and Termination</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3"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the Investment Adviser incurred on behalf of the Administrator, for the services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Administration Agreement was re-approved by our board of directors, including a majority of our directors who are not interested persons of us,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 for more information.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Repayment</w:t>
      </w:r>
    </w:p>
    <w:p>
      <w:pPr>
        <w:spacing w:after="0" w:line="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amounts to purchase shares of our common stock in the secondary market.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net asset value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40" w:hanging="334"/>
        <w:spacing w:after="0" w:line="239" w:lineRule="auto"/>
        <w:tabs>
          <w:tab w:leader="none" w:pos="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the extent we invest in derivative instruments in the future, such instruments would be valued at fair value in accordance with our valuation policy.</w:t>
      </w:r>
    </w:p>
    <w:p>
      <w:pPr>
        <w:spacing w:after="0" w:line="15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is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60" w:firstLine="456"/>
        <w:spacing w:after="0" w:line="195"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New York 11219, or by the plan administrator’s Interactive Voice Response System at 1-800-278-4353.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As of July 1, 2013,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July 1, 2013 was $14.22 per share. As of July 1, 2013, we had three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July 1, 2013:</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10,304,692</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right="40" w:firstLine="456"/>
        <w:spacing w:after="0" w:line="230" w:lineRule="auto"/>
        <w:rPr>
          <w:sz w:val="20"/>
          <w:szCs w:val="20"/>
          <w:color w:val="auto"/>
        </w:rPr>
      </w:pPr>
      <w:r>
        <w:rPr>
          <w:rFonts w:ascii="Arial" w:cs="Arial" w:eastAsia="Arial" w:hAnsi="Arial"/>
          <w:sz w:val="14"/>
          <w:szCs w:val="14"/>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8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20" w:firstLine="8"/>
        <w:spacing w:after="0" w:line="268" w:lineRule="auto"/>
        <w:tabs>
          <w:tab w:leader="none" w:pos="184"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in 2015, 2016, and 2014, respectively, and in each case, those directors will serve until their successors are duly elected and qualify. Upon expiration of their current terms, directors of each class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and stockholder proposals</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4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will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will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on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where we merge out of existence or sell our assets, the resulting entity must agree to be legally responsible for our obligations under the debt securities;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adversely affect any right of repayment at the holder’s option;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24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hanging="346"/>
        <w:spacing w:after="0"/>
        <w:tabs>
          <w:tab w:leader="none" w:pos="13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5"/>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5"/>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55" w:lineRule="exact"/>
        <w:rPr>
          <w:rFonts w:ascii="Arial" w:cs="Arial" w:eastAsia="Arial" w:hAnsi="Arial"/>
          <w:sz w:val="14"/>
          <w:szCs w:val="14"/>
          <w:color w:val="auto"/>
        </w:rPr>
      </w:pPr>
    </w:p>
    <w:p>
      <w:pPr>
        <w:ind w:left="1940" w:right="340" w:hanging="338"/>
        <w:spacing w:after="0" w:line="317" w:lineRule="auto"/>
        <w:tabs>
          <w:tab w:leader="none" w:pos="1940" w:val="left"/>
        </w:tabs>
        <w:numPr>
          <w:ilvl w:val="2"/>
          <w:numId w:val="65"/>
        </w:numPr>
        <w:rPr>
          <w:rFonts w:ascii="Arial" w:cs="Arial" w:eastAsia="Arial" w:hAnsi="Arial"/>
          <w:sz w:val="12"/>
          <w:szCs w:val="12"/>
          <w:color w:val="auto"/>
        </w:rPr>
      </w:pPr>
      <w:r>
        <w:rPr>
          <w:rFonts w:ascii="Arial" w:cs="Arial" w:eastAsia="Arial" w:hAnsi="Arial"/>
          <w:sz w:val="12"/>
          <w:szCs w:val="12"/>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ind w:left="680" w:hanging="334"/>
        <w:spacing w:after="0"/>
        <w:tabs>
          <w:tab w:leader="none" w:pos="6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is compliant with the 1940 Act.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480" w:firstLine="456"/>
        <w:spacing w:after="0" w:line="248"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pursuant to Rule 13a-15 of the Exchange Act, our management must prepare an annual report regarding its assessment of our internal controls over financial reporting, firm; and</w:t>
      </w:r>
    </w:p>
    <w:p>
      <w:pPr>
        <w:spacing w:after="0" w:line="78" w:lineRule="exact"/>
        <w:rPr>
          <w:rFonts w:ascii="Arial" w:cs="Arial" w:eastAsia="Arial" w:hAnsi="Arial"/>
          <w:sz w:val="12"/>
          <w:szCs w:val="12"/>
          <w:color w:val="auto"/>
        </w:rPr>
      </w:pPr>
    </w:p>
    <w:p>
      <w:pPr>
        <w:ind w:left="540" w:hanging="316"/>
        <w:spacing w:after="0" w:line="233"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election we must, among other requirements, meet certain source-of-income and quarterly asset diversification requirements (as described below). We also must annually distribute dividends of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gains net income for the one-year period ending on October 31 of the calendar year and (3) the sum of any net ordinary income plus capital gains net income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100" w:hanging="316"/>
        <w:spacing w:after="0" w:line="317" w:lineRule="auto"/>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318" w:lineRule="auto"/>
        <w:tabs>
          <w:tab w:leader="none" w:pos="13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8"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7"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Recent legislation requires reporting of adjusted cost basis information for covered securities, which generally include shares of a RIC acquired after January 1, 2012, to the Internal Revenue Service and to taxpayers. Stockholders should contact their financial intermediaries with respect to reporting of cost basis and available elections for their accounts.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40" w:lineRule="exact"/>
        <w:rPr>
          <w:sz w:val="20"/>
          <w:szCs w:val="20"/>
          <w:color w:val="auto"/>
        </w:rPr>
      </w:pPr>
    </w:p>
    <w:p>
      <w:pPr>
        <w:jc w:val="both"/>
        <w:ind w:right="80" w:firstLine="456"/>
        <w:spacing w:after="0" w:line="230" w:lineRule="auto"/>
        <w:rPr>
          <w:sz w:val="20"/>
          <w:szCs w:val="20"/>
          <w:color w:val="auto"/>
        </w:rPr>
      </w:pPr>
      <w:r>
        <w:rPr>
          <w:rFonts w:ascii="Arial" w:cs="Arial" w:eastAsia="Arial" w:hAnsi="Arial"/>
          <w:sz w:val="14"/>
          <w:szCs w:val="14"/>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39"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Effective January 1, 2014, withholding agents will be required to withhold U.S. tax (at a 30% rate) on payments of taxable dividends and (effective January 1, 2017) redemption proceeds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1"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40"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2"/>
          <w:szCs w:val="12"/>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Non-U.S. stockholders may also be subject to U.S. estate tax with respect to their investment in our common shares.</w:t>
      </w:r>
    </w:p>
    <w:p>
      <w:pPr>
        <w:spacing w:after="0" w:line="150"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05"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NY 11219, telephone number: (800) 937-5449. American Stock Transfer &amp; Trust Company, LLC may also serve as trustee for offerings of our debt securities.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KPMG LLP, our independent registered public accounting firm, is located at 345 Park Avenue, New York, New York 10154.</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720" w:type="dxa"/>
            <w:vAlign w:val="bottom"/>
            <w:gridSpan w:val="12"/>
          </w:tcPr>
          <w:p>
            <w:pPr>
              <w:jc w:val="center"/>
              <w:ind w:right="264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0400" w:type="dxa"/>
            <w:vAlign w:val="bottom"/>
            <w:gridSpan w:val="17"/>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0" w:type="dxa"/>
            <w:vAlign w:val="bottom"/>
            <w:gridSpan w:val="17"/>
          </w:tcPr>
          <w:p>
            <w:pPr>
              <w:spacing w:after="0"/>
              <w:rPr>
                <w:sz w:val="20"/>
                <w:szCs w:val="20"/>
                <w:color w:val="auto"/>
              </w:rPr>
            </w:pPr>
            <w:r>
              <w:rPr>
                <w:rFonts w:ascii="Arial" w:cs="Arial" w:eastAsia="Arial" w:hAnsi="Arial"/>
                <w:sz w:val="14"/>
                <w:szCs w:val="14"/>
                <w:b w:val="1"/>
                <w:bCs w:val="1"/>
                <w:color w:val="auto"/>
              </w:rPr>
              <w:t>Annual Financial Statements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0" w:type="dxa"/>
            <w:vAlign w:val="bottom"/>
            <w:gridSpan w:val="17"/>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Management’s Report on Internal Control Over Financial Reporting</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F-2</w:t>
            </w:r>
          </w:p>
        </w:tc>
        <w:tc>
          <w:tcPr>
            <w:tcW w:w="0" w:type="dxa"/>
            <w:vAlign w:val="bottom"/>
          </w:tcPr>
          <w:p>
            <w:pPr>
              <w:spacing w:after="0"/>
              <w:rPr>
                <w:sz w:val="1"/>
                <w:szCs w:val="1"/>
                <w:color w:val="auto"/>
              </w:rPr>
            </w:pPr>
          </w:p>
        </w:tc>
      </w:tr>
      <w:tr>
        <w:trPr>
          <w:trHeight w:val="345"/>
        </w:trPr>
        <w:tc>
          <w:tcPr>
            <w:tcW w:w="3180" w:type="dxa"/>
            <w:vAlign w:val="bottom"/>
            <w:tcBorders>
              <w:top w:val="single" w:sz="8" w:color="0000EE"/>
              <w:bottom w:val="single" w:sz="8" w:color="0000EE"/>
            </w:tcBorders>
            <w:gridSpan w:val="4"/>
          </w:tcPr>
          <w:p>
            <w:pPr>
              <w:spacing w:after="0"/>
              <w:rPr>
                <w:rFonts w:ascii="Arial" w:cs="Arial" w:eastAsia="Arial" w:hAnsi="Arial"/>
                <w:sz w:val="14"/>
                <w:szCs w:val="14"/>
                <w:color w:val="0000EE"/>
                <w:w w:val="88"/>
              </w:rPr>
            </w:pPr>
            <w:hyperlink w:anchor="page107">
              <w:r>
                <w:rPr>
                  <w:rFonts w:ascii="Arial" w:cs="Arial" w:eastAsia="Arial" w:hAnsi="Arial"/>
                  <w:sz w:val="14"/>
                  <w:szCs w:val="14"/>
                  <w:color w:val="0000EE"/>
                  <w:w w:val="88"/>
                </w:rPr>
                <w:t>Report of Independent Registered Public Accounting Firm</w:t>
              </w:r>
            </w:hyperlink>
          </w:p>
        </w:tc>
        <w:tc>
          <w:tcPr>
            <w:tcW w:w="500" w:type="dxa"/>
            <w:vAlign w:val="bottom"/>
            <w:tcBorders>
              <w:top w:val="single" w:sz="8" w:color="0000EE"/>
            </w:tcBorders>
          </w:tcPr>
          <w:p>
            <w:pPr>
              <w:spacing w:after="0"/>
              <w:rPr>
                <w:sz w:val="24"/>
                <w:szCs w:val="24"/>
                <w:color w:val="auto"/>
              </w:rPr>
            </w:pPr>
          </w:p>
        </w:tc>
        <w:tc>
          <w:tcPr>
            <w:tcW w:w="672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Report of Independent Registered Public Accounting Firm On Internal Control Over Financial Reporting</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345"/>
        </w:trPr>
        <w:tc>
          <w:tcPr>
            <w:tcW w:w="5680" w:type="dxa"/>
            <w:vAlign w:val="bottom"/>
            <w:tcBorders>
              <w:top w:val="single" w:sz="8" w:color="0000EE"/>
            </w:tcBorders>
            <w:gridSpan w:val="10"/>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Consolidated Statements of Assets and Liabilities as of September 30, 2012 and 2011</w:t>
              </w:r>
            </w:hyperlink>
          </w:p>
        </w:tc>
        <w:tc>
          <w:tcPr>
            <w:tcW w:w="472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F-5</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0">
              <w:r>
                <w:rPr>
                  <w:rFonts w:ascii="Arial" w:cs="Arial" w:eastAsia="Arial" w:hAnsi="Arial"/>
                  <w:sz w:val="14"/>
                  <w:szCs w:val="14"/>
                  <w:color w:val="0000EE"/>
                </w:rPr>
                <w:t>Consolidated Statements of Operations for the year ended September 30, 2012 and for the period March 4, 2011 (commencement of operations) to</w:t>
              </w:r>
            </w:hyperlink>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F-6</w:t>
            </w:r>
          </w:p>
        </w:tc>
        <w:tc>
          <w:tcPr>
            <w:tcW w:w="0" w:type="dxa"/>
            <w:vAlign w:val="bottom"/>
          </w:tcPr>
          <w:p>
            <w:pPr>
              <w:spacing w:after="0"/>
              <w:rPr>
                <w:sz w:val="1"/>
                <w:szCs w:val="1"/>
                <w:color w:val="auto"/>
              </w:rPr>
            </w:pPr>
          </w:p>
        </w:tc>
      </w:tr>
      <w:tr>
        <w:trPr>
          <w:trHeight w:val="129"/>
        </w:trPr>
        <w:tc>
          <w:tcPr>
            <w:tcW w:w="796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110">
              <w:r>
                <w:rPr>
                  <w:rFonts w:ascii="Arial" w:cs="Arial" w:eastAsia="Arial" w:hAnsi="Arial"/>
                  <w:sz w:val="14"/>
                  <w:szCs w:val="14"/>
                  <w:color w:val="0000EE"/>
                </w:rPr>
                <w:t>September 30, 2011</w:t>
              </w:r>
            </w:hyperlink>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w w:val="92"/>
              </w:rPr>
            </w:pPr>
            <w:hyperlink w:anchor="page111">
              <w:r>
                <w:rPr>
                  <w:rFonts w:ascii="Arial" w:cs="Arial" w:eastAsia="Arial" w:hAnsi="Arial"/>
                  <w:sz w:val="14"/>
                  <w:szCs w:val="14"/>
                  <w:color w:val="0000EE"/>
                  <w:w w:val="92"/>
                </w:rPr>
                <w:t>Consolidated Statements of Changes in Net Assets for the year ended September 30, 2012 and for the period March 4, 2011 (commencement of operations) to September 30, 2011</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F-7</w:t>
            </w:r>
          </w:p>
        </w:tc>
        <w:tc>
          <w:tcPr>
            <w:tcW w:w="0" w:type="dxa"/>
            <w:vAlign w:val="bottom"/>
          </w:tcPr>
          <w:p>
            <w:pPr>
              <w:spacing w:after="0"/>
              <w:rPr>
                <w:sz w:val="1"/>
                <w:szCs w:val="1"/>
                <w:color w:val="auto"/>
              </w:rPr>
            </w:pPr>
          </w:p>
        </w:tc>
      </w:tr>
      <w:tr>
        <w:trPr>
          <w:trHeight w:val="345"/>
        </w:trPr>
        <w:tc>
          <w:tcPr>
            <w:tcW w:w="9700" w:type="dxa"/>
            <w:vAlign w:val="bottom"/>
            <w:tcBorders>
              <w:top w:val="single" w:sz="8" w:color="0000EE"/>
            </w:tcBorders>
            <w:gridSpan w:val="16"/>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Consolidated Statements of Cash Flows for the year ended September 30, 2012 and for the period March 4, 2011 (commencement of operations) to</w:t>
              </w:r>
            </w:hyperlink>
          </w:p>
        </w:tc>
        <w:tc>
          <w:tcPr>
            <w:tcW w:w="7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F-8</w:t>
            </w:r>
          </w:p>
        </w:tc>
        <w:tc>
          <w:tcPr>
            <w:tcW w:w="0" w:type="dxa"/>
            <w:vAlign w:val="bottom"/>
          </w:tcPr>
          <w:p>
            <w:pPr>
              <w:spacing w:after="0"/>
              <w:rPr>
                <w:sz w:val="1"/>
                <w:szCs w:val="1"/>
                <w:color w:val="auto"/>
              </w:rPr>
            </w:pPr>
          </w:p>
        </w:tc>
      </w:tr>
      <w:tr>
        <w:trPr>
          <w:trHeight w:val="129"/>
        </w:trPr>
        <w:tc>
          <w:tcPr>
            <w:tcW w:w="800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112">
              <w:r>
                <w:rPr>
                  <w:rFonts w:ascii="Arial" w:cs="Arial" w:eastAsia="Arial" w:hAnsi="Arial"/>
                  <w:sz w:val="14"/>
                  <w:szCs w:val="14"/>
                  <w:color w:val="0000EE"/>
                </w:rPr>
                <w:t>September 30, 2011</w:t>
              </w:r>
            </w:hyperlink>
          </w:p>
        </w:tc>
        <w:tc>
          <w:tcPr>
            <w:tcW w:w="2400" w:type="dxa"/>
            <w:vAlign w:val="bottom"/>
            <w:gridSpan w:val="2"/>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Consolidated Schedules of Investments as of September 30, 2012 and September 30, 2011</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F-9</w:t>
            </w:r>
          </w:p>
        </w:tc>
        <w:tc>
          <w:tcPr>
            <w:tcW w:w="0" w:type="dxa"/>
            <w:vAlign w:val="bottom"/>
          </w:tcPr>
          <w:p>
            <w:pPr>
              <w:spacing w:after="0"/>
              <w:rPr>
                <w:sz w:val="1"/>
                <w:szCs w:val="1"/>
                <w:color w:val="auto"/>
              </w:rPr>
            </w:pPr>
          </w:p>
        </w:tc>
      </w:tr>
      <w:tr>
        <w:trPr>
          <w:trHeight w:val="345"/>
        </w:trPr>
        <w:tc>
          <w:tcPr>
            <w:tcW w:w="4880" w:type="dxa"/>
            <w:vAlign w:val="bottom"/>
            <w:tcBorders>
              <w:top w:val="single" w:sz="8" w:color="0000EE"/>
            </w:tcBorders>
            <w:gridSpan w:val="7"/>
          </w:tcPr>
          <w:p>
            <w:pPr>
              <w:spacing w:after="0"/>
              <w:rPr>
                <w:rFonts w:ascii="Arial" w:cs="Arial" w:eastAsia="Arial" w:hAnsi="Arial"/>
                <w:sz w:val="14"/>
                <w:szCs w:val="14"/>
                <w:color w:val="0000EE"/>
              </w:rPr>
            </w:pPr>
            <w:hyperlink w:anchor="page117">
              <w:r>
                <w:rPr>
                  <w:rFonts w:ascii="Arial" w:cs="Arial" w:eastAsia="Arial" w:hAnsi="Arial"/>
                  <w:sz w:val="14"/>
                  <w:szCs w:val="14"/>
                  <w:color w:val="0000EE"/>
                </w:rPr>
                <w:t>Notes to the Consolidated Financial Statements</w:t>
              </w:r>
            </w:hyperlink>
          </w:p>
        </w:tc>
        <w:tc>
          <w:tcPr>
            <w:tcW w:w="552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F-13</w:t>
            </w:r>
          </w:p>
        </w:tc>
        <w:tc>
          <w:tcPr>
            <w:tcW w:w="0" w:type="dxa"/>
            <w:vAlign w:val="bottom"/>
          </w:tcPr>
          <w:p>
            <w:pPr>
              <w:spacing w:after="0"/>
              <w:rPr>
                <w:sz w:val="1"/>
                <w:szCs w:val="1"/>
                <w:color w:val="auto"/>
              </w:rPr>
            </w:pPr>
          </w:p>
        </w:tc>
      </w:tr>
      <w:tr>
        <w:trPr>
          <w:trHeight w:val="371"/>
        </w:trPr>
        <w:tc>
          <w:tcPr>
            <w:tcW w:w="256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Interim Financial Statements</w:t>
            </w:r>
          </w:p>
        </w:tc>
        <w:tc>
          <w:tcPr>
            <w:tcW w:w="7840" w:type="dxa"/>
            <w:vAlign w:val="bottom"/>
            <w:gridSpan w:val="1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80" w:type="dxa"/>
            <w:vAlign w:val="bottom"/>
            <w:tcBorders>
              <w:bottom w:val="single" w:sz="8" w:color="0000EE"/>
            </w:tcBorders>
            <w:gridSpan w:val="4"/>
          </w:tcPr>
          <w:p>
            <w:pPr>
              <w:spacing w:after="0"/>
              <w:rPr>
                <w:rFonts w:ascii="Arial" w:cs="Arial" w:eastAsia="Arial" w:hAnsi="Arial"/>
                <w:sz w:val="14"/>
                <w:szCs w:val="14"/>
                <w:color w:val="0000EE"/>
                <w:w w:val="88"/>
              </w:rPr>
            </w:pPr>
            <w:hyperlink w:anchor="page130">
              <w:r>
                <w:rPr>
                  <w:rFonts w:ascii="Arial" w:cs="Arial" w:eastAsia="Arial" w:hAnsi="Arial"/>
                  <w:sz w:val="14"/>
                  <w:szCs w:val="14"/>
                  <w:color w:val="0000EE"/>
                  <w:w w:val="88"/>
                </w:rPr>
                <w:t>Report of Independent Registered Public Accounting Firm</w:t>
              </w:r>
            </w:hyperlink>
          </w:p>
        </w:tc>
        <w:tc>
          <w:tcPr>
            <w:tcW w:w="722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F-26</w:t>
            </w:r>
          </w:p>
        </w:tc>
        <w:tc>
          <w:tcPr>
            <w:tcW w:w="0" w:type="dxa"/>
            <w:vAlign w:val="bottom"/>
          </w:tcPr>
          <w:p>
            <w:pPr>
              <w:spacing w:after="0"/>
              <w:rPr>
                <w:sz w:val="1"/>
                <w:szCs w:val="1"/>
                <w:color w:val="auto"/>
              </w:rPr>
            </w:pPr>
          </w:p>
        </w:tc>
      </w:tr>
      <w:tr>
        <w:trPr>
          <w:trHeight w:val="345"/>
        </w:trPr>
        <w:tc>
          <w:tcPr>
            <w:tcW w:w="5880" w:type="dxa"/>
            <w:vAlign w:val="bottom"/>
            <w:tcBorders>
              <w:bottom w:val="single" w:sz="8" w:color="0000EE"/>
            </w:tcBorders>
            <w:gridSpan w:val="11"/>
          </w:tcPr>
          <w:p>
            <w:pPr>
              <w:spacing w:after="0"/>
              <w:rPr>
                <w:rFonts w:ascii="Arial" w:cs="Arial" w:eastAsia="Arial" w:hAnsi="Arial"/>
                <w:sz w:val="14"/>
                <w:szCs w:val="14"/>
                <w:color w:val="0000EE"/>
                <w:w w:val="86"/>
              </w:rPr>
            </w:pPr>
            <w:hyperlink w:anchor="page131">
              <w:r>
                <w:rPr>
                  <w:rFonts w:ascii="Arial" w:cs="Arial" w:eastAsia="Arial" w:hAnsi="Arial"/>
                  <w:sz w:val="14"/>
                  <w:szCs w:val="14"/>
                  <w:color w:val="0000EE"/>
                  <w:w w:val="86"/>
                </w:rPr>
                <w:t>Consolidated Statements of Assets and Liabilities as of March 31, 2013 (unaudited) and September 30, 2012</w:t>
              </w:r>
            </w:hyperlink>
          </w:p>
        </w:tc>
        <w:tc>
          <w:tcPr>
            <w:tcW w:w="45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F-27</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32">
              <w:r>
                <w:rPr>
                  <w:rFonts w:ascii="Arial" w:cs="Arial" w:eastAsia="Arial" w:hAnsi="Arial"/>
                  <w:sz w:val="14"/>
                  <w:szCs w:val="14"/>
                  <w:color w:val="0000EE"/>
                </w:rPr>
                <w:t>Consolidated Statements of Operations for the three and six months ended March 31, 2013 and 2012 (unaudited)</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F-28</w:t>
            </w:r>
          </w:p>
        </w:tc>
        <w:tc>
          <w:tcPr>
            <w:tcW w:w="0" w:type="dxa"/>
            <w:vAlign w:val="bottom"/>
          </w:tcPr>
          <w:p>
            <w:pPr>
              <w:spacing w:after="0"/>
              <w:rPr>
                <w:sz w:val="1"/>
                <w:szCs w:val="1"/>
                <w:color w:val="auto"/>
              </w:rPr>
            </w:pPr>
          </w:p>
        </w:tc>
      </w:tr>
      <w:tr>
        <w:trPr>
          <w:trHeight w:val="20"/>
        </w:trPr>
        <w:tc>
          <w:tcPr>
            <w:tcW w:w="3020" w:type="dxa"/>
            <w:vAlign w:val="bottom"/>
            <w:gridSpan w:val="3"/>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0" w:type="dxa"/>
            <w:vAlign w:val="bottom"/>
            <w:tcBorders>
              <w:bottom w:val="single" w:sz="8" w:color="0000EE"/>
            </w:tcBorders>
            <w:gridSpan w:val="13"/>
          </w:tcPr>
          <w:p>
            <w:pPr>
              <w:spacing w:after="0"/>
              <w:rPr>
                <w:rFonts w:ascii="Arial" w:cs="Arial" w:eastAsia="Arial" w:hAnsi="Arial"/>
                <w:sz w:val="14"/>
                <w:szCs w:val="14"/>
                <w:color w:val="0000EE"/>
                <w:w w:val="86"/>
              </w:rPr>
            </w:pPr>
            <w:hyperlink w:anchor="page133">
              <w:r>
                <w:rPr>
                  <w:rFonts w:ascii="Arial" w:cs="Arial" w:eastAsia="Arial" w:hAnsi="Arial"/>
                  <w:sz w:val="14"/>
                  <w:szCs w:val="14"/>
                  <w:color w:val="0000EE"/>
                  <w:w w:val="86"/>
                </w:rPr>
                <w:t>Consolidated Statements of Changes in Net Assets for the six months ended March 31, 2013 and 2012 (unaudited)</w:t>
              </w:r>
            </w:hyperlink>
          </w:p>
        </w:tc>
        <w:tc>
          <w:tcPr>
            <w:tcW w:w="420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F-29</w:t>
            </w:r>
          </w:p>
        </w:tc>
        <w:tc>
          <w:tcPr>
            <w:tcW w:w="0" w:type="dxa"/>
            <w:vAlign w:val="bottom"/>
          </w:tcPr>
          <w:p>
            <w:pPr>
              <w:spacing w:after="0"/>
              <w:rPr>
                <w:sz w:val="1"/>
                <w:szCs w:val="1"/>
                <w:color w:val="auto"/>
              </w:rPr>
            </w:pPr>
          </w:p>
        </w:tc>
      </w:tr>
      <w:tr>
        <w:trPr>
          <w:trHeight w:val="345"/>
        </w:trPr>
        <w:tc>
          <w:tcPr>
            <w:tcW w:w="5620" w:type="dxa"/>
            <w:vAlign w:val="bottom"/>
            <w:tcBorders>
              <w:bottom w:val="single" w:sz="8" w:color="0000EE"/>
            </w:tcBorders>
            <w:gridSpan w:val="9"/>
          </w:tcPr>
          <w:p>
            <w:pPr>
              <w:spacing w:after="0"/>
              <w:rPr>
                <w:rFonts w:ascii="Arial" w:cs="Arial" w:eastAsia="Arial" w:hAnsi="Arial"/>
                <w:sz w:val="14"/>
                <w:szCs w:val="14"/>
                <w:color w:val="0000EE"/>
                <w:w w:val="86"/>
              </w:rPr>
            </w:pPr>
            <w:hyperlink w:anchor="page134">
              <w:r>
                <w:rPr>
                  <w:rFonts w:ascii="Arial" w:cs="Arial" w:eastAsia="Arial" w:hAnsi="Arial"/>
                  <w:sz w:val="14"/>
                  <w:szCs w:val="14"/>
                  <w:color w:val="0000EE"/>
                  <w:w w:val="86"/>
                </w:rPr>
                <w:t>Consolidated Statements of Cash Flows for the six months ended March 31, 2013 and 2012 (unaudited)</w:t>
              </w:r>
            </w:hyperlink>
          </w:p>
        </w:tc>
        <w:tc>
          <w:tcPr>
            <w:tcW w:w="478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F-30</w:t>
            </w:r>
          </w:p>
        </w:tc>
        <w:tc>
          <w:tcPr>
            <w:tcW w:w="0" w:type="dxa"/>
            <w:vAlign w:val="bottom"/>
          </w:tcPr>
          <w:p>
            <w:pPr>
              <w:spacing w:after="0"/>
              <w:rPr>
                <w:sz w:val="1"/>
                <w:szCs w:val="1"/>
                <w:color w:val="auto"/>
              </w:rPr>
            </w:pPr>
          </w:p>
        </w:tc>
      </w:tr>
      <w:tr>
        <w:trPr>
          <w:trHeight w:val="345"/>
        </w:trPr>
        <w:tc>
          <w:tcPr>
            <w:tcW w:w="10400" w:type="dxa"/>
            <w:vAlign w:val="bottom"/>
            <w:gridSpan w:val="17"/>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Consolidated Schedules of Investments as of March 31, 2013 (unaudited) and September 30, 2012</w:t>
              </w:r>
            </w:hyperlink>
          </w:p>
        </w:tc>
        <w:tc>
          <w:tcPr>
            <w:tcW w:w="960" w:type="dxa"/>
            <w:vAlign w:val="bottom"/>
          </w:tcPr>
          <w:p>
            <w:pPr>
              <w:jc w:val="right"/>
              <w:spacing w:after="0"/>
              <w:rPr>
                <w:sz w:val="20"/>
                <w:szCs w:val="20"/>
                <w:color w:val="auto"/>
              </w:rPr>
            </w:pPr>
            <w:r>
              <w:rPr>
                <w:rFonts w:ascii="Arial" w:cs="Arial" w:eastAsia="Arial" w:hAnsi="Arial"/>
                <w:sz w:val="14"/>
                <w:szCs w:val="14"/>
                <w:color w:val="auto"/>
              </w:rPr>
              <w:t>F-31</w:t>
            </w:r>
          </w:p>
        </w:tc>
        <w:tc>
          <w:tcPr>
            <w:tcW w:w="0" w:type="dxa"/>
            <w:vAlign w:val="bottom"/>
          </w:tcPr>
          <w:p>
            <w:pPr>
              <w:spacing w:after="0"/>
              <w:rPr>
                <w:sz w:val="1"/>
                <w:szCs w:val="1"/>
                <w:color w:val="auto"/>
              </w:rPr>
            </w:pPr>
          </w:p>
        </w:tc>
      </w:tr>
      <w:tr>
        <w:trPr>
          <w:trHeight w:val="345"/>
        </w:trPr>
        <w:tc>
          <w:tcPr>
            <w:tcW w:w="5320" w:type="dxa"/>
            <w:vAlign w:val="bottom"/>
            <w:tcBorders>
              <w:top w:val="single" w:sz="8" w:color="0000EE"/>
            </w:tcBorders>
            <w:gridSpan w:val="8"/>
          </w:tcPr>
          <w:p>
            <w:pPr>
              <w:spacing w:after="0"/>
              <w:rPr>
                <w:rFonts w:ascii="Arial" w:cs="Arial" w:eastAsia="Arial" w:hAnsi="Arial"/>
                <w:sz w:val="14"/>
                <w:szCs w:val="14"/>
                <w:color w:val="0000EE"/>
              </w:rPr>
            </w:pPr>
            <w:hyperlink w:anchor="page139">
              <w:r>
                <w:rPr>
                  <w:rFonts w:ascii="Arial" w:cs="Arial" w:eastAsia="Arial" w:hAnsi="Arial"/>
                  <w:sz w:val="14"/>
                  <w:szCs w:val="14"/>
                  <w:color w:val="0000EE"/>
                </w:rPr>
                <w:t>Notes to Consolidated Financial Statements (unaudited)</w:t>
              </w:r>
            </w:hyperlink>
          </w:p>
        </w:tc>
        <w:tc>
          <w:tcPr>
            <w:tcW w:w="508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F-35</w:t>
            </w:r>
          </w:p>
        </w:tc>
        <w:tc>
          <w:tcPr>
            <w:tcW w:w="0" w:type="dxa"/>
            <w:vAlign w:val="bottom"/>
          </w:tcPr>
          <w:p>
            <w:pPr>
              <w:spacing w:after="0"/>
              <w:rPr>
                <w:sz w:val="1"/>
                <w:szCs w:val="1"/>
                <w:color w:val="auto"/>
              </w:rPr>
            </w:pPr>
          </w:p>
        </w:tc>
      </w:tr>
      <w:tr>
        <w:trPr>
          <w:trHeight w:val="304"/>
        </w:trPr>
        <w:tc>
          <w:tcPr>
            <w:tcW w:w="10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8"/>
          </w:tcPr>
          <w:p>
            <w:pPr>
              <w:jc w:val="center"/>
              <w:ind w:right="4600"/>
              <w:spacing w:after="0"/>
              <w:rPr>
                <w:sz w:val="20"/>
                <w:szCs w:val="20"/>
                <w:color w:val="auto"/>
              </w:rPr>
            </w:pPr>
            <w:r>
              <w:rPr>
                <w:rFonts w:ascii="Arial" w:cs="Arial" w:eastAsia="Arial" w:hAnsi="Arial"/>
                <w:sz w:val="14"/>
                <w:szCs w:val="14"/>
                <w:color w:val="auto"/>
                <w:w w:val="85"/>
              </w:rPr>
              <w:t>F-1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25"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The management of PennantPark Floating Rate Capital, Ltd., or “we,” “us,” “our” and “Company,”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66"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90" w:lineRule="exact"/>
        <w:rPr>
          <w:sz w:val="20"/>
          <w:szCs w:val="20"/>
          <w:color w:val="auto"/>
        </w:rPr>
      </w:pPr>
    </w:p>
    <w:p>
      <w:pPr>
        <w:ind w:right="320" w:firstLine="456"/>
        <w:spacing w:after="0" w:line="233"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2012, our internal control over financial reporting is effective based on those criteria.</w:t>
      </w:r>
    </w:p>
    <w:p>
      <w:pPr>
        <w:spacing w:after="0" w:line="112"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The Company’s independent registered public accounting firm that audited the financial statements has issued an audit report on the effectiveness of our internal control over financial reporting as of September 30, 2012. This report appears on page F-4.</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12" w:lineRule="exact"/>
        <w:rPr>
          <w:sz w:val="20"/>
          <w:szCs w:val="20"/>
          <w:color w:val="auto"/>
        </w:rPr>
      </w:pPr>
    </w:p>
    <w:p>
      <w:pPr>
        <w:ind w:right="160" w:firstLine="456"/>
        <w:spacing w:after="0" w:line="228"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13"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(COSO), and our report dated November 14, 2012 expressed an unqualified opinion on the effectiveness of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2012</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2"/>
          <w:szCs w:val="12"/>
          <w:i w:val="1"/>
          <w:iCs w:val="1"/>
          <w:color w:val="auto"/>
        </w:rPr>
        <w:t>Internal</w:t>
      </w:r>
      <w:r>
        <w:rPr>
          <w:rFonts w:ascii="Arial" w:cs="Arial" w:eastAsia="Arial" w:hAnsi="Arial"/>
          <w:sz w:val="12"/>
          <w:szCs w:val="12"/>
          <w:color w:val="auto"/>
        </w:rPr>
        <w:t xml:space="preserve"> </w:t>
      </w:r>
      <w:r>
        <w:rPr>
          <w:rFonts w:ascii="Arial" w:cs="Arial" w:eastAsia="Arial" w:hAnsi="Arial"/>
          <w:sz w:val="12"/>
          <w:szCs w:val="12"/>
          <w:i w:val="1"/>
          <w:iCs w:val="1"/>
          <w:color w:val="auto"/>
        </w:rPr>
        <w:t>Control—Integrated Framework</w:t>
      </w:r>
      <w:r>
        <w:rPr>
          <w:rFonts w:ascii="Arial" w:cs="Arial" w:eastAsia="Arial" w:hAnsi="Arial"/>
          <w:sz w:val="12"/>
          <w:szCs w:val="12"/>
          <w:color w:val="auto"/>
        </w:rPr>
        <w:t>, issued by the Committee of Sponsoring Organizations of the Treadway Commission (COSO). Management of the Company is responsible for maintaining effective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control over financial reporting and for its assessment of the effectiveness of internal control over financial reporting, included on page 53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90"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0"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September 30, 2012</w:t>
            </w:r>
          </w:p>
        </w:tc>
        <w:tc>
          <w:tcPr>
            <w:tcW w:w="16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8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(cost—$171,578,009 and $114,829,621, respectively)</w:t>
            </w:r>
          </w:p>
        </w:tc>
        <w:tc>
          <w:tcPr>
            <w:tcW w:w="1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171,834,400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110,724,241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Cash equivalents (See Note 7)</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3,845,803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1,388,867</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986,278</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2,467,500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311,313</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assets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178,366,661</w:t>
            </w:r>
          </w:p>
        </w:tc>
        <w:tc>
          <w:tcPr>
            <w:tcW w:w="160" w:type="dxa"/>
            <w:vAlign w:val="bottom"/>
          </w:tcPr>
          <w:p>
            <w:pPr>
              <w:spacing w:after="0"/>
              <w:rPr>
                <w:sz w:val="14"/>
                <w:szCs w:val="14"/>
                <w:color w:val="auto"/>
              </w:rPr>
            </w:pP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121,075,260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8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548,053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479,547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3,357,500</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2,323,250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Credit Facility payable</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(cost—$75,500,000 and $24,650,000, respectively) (See Notes 5 and 10)</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75,122,500</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24,650,000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161,550</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150,246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424,747</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fees payable (See Note 3)</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506,314</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447,120</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2,055,000</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82,622,784</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29,003,155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Common stock, 6,850,667 shares are issued and outstanding.</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Par value $0.001 per share and 100,000,000 shares authorized.</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6,851</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95,192,222</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97,251,174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(1,313,000)</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1,223,913</w:t>
            </w: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256,391</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377,500</w:t>
            </w:r>
          </w:p>
        </w:tc>
        <w:tc>
          <w:tcPr>
            <w:tcW w:w="160" w:type="dxa"/>
            <w:vAlign w:val="bottom"/>
          </w:tcPr>
          <w:p>
            <w:pPr>
              <w:spacing w:after="0"/>
              <w:rPr>
                <w:sz w:val="12"/>
                <w:szCs w:val="12"/>
                <w:color w:val="auto"/>
              </w:rPr>
            </w:pPr>
          </w:p>
        </w:tc>
        <w:tc>
          <w:tcPr>
            <w:tcW w:w="1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net assets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95,743,877</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liabilities and net assets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6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178,366,661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121,075,260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 September 30,</w:t>
            </w:r>
          </w:p>
        </w:tc>
        <w:tc>
          <w:tcPr>
            <w:tcW w:w="2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3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11,856,483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380" w:type="dxa"/>
            <w:vAlign w:val="bottom"/>
          </w:tcPr>
          <w:p>
            <w:pPr>
              <w:spacing w:after="0"/>
              <w:rPr>
                <w:sz w:val="13"/>
                <w:szCs w:val="13"/>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242,065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income</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12,098,548</w:t>
            </w: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Base management fee (See Note 3)</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1,494,616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Performance-based incentive fees (Note 3)</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564,540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1,482,339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583,613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Arial" w:cs="Arial" w:eastAsia="Arial" w:hAnsi="Arial"/>
                <w:sz w:val="14"/>
                <w:szCs w:val="14"/>
                <w:color w:val="auto"/>
              </w:rPr>
              <w:t>182,995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3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1,310,084</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556,076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Expenses before Credit Facility costs and excise tax expense</w:t>
            </w:r>
          </w:p>
        </w:tc>
        <w:tc>
          <w:tcPr>
            <w:tcW w:w="3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5,435,192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right"/>
              <w:spacing w:after="0" w:line="155" w:lineRule="exact"/>
              <w:rPr>
                <w:sz w:val="20"/>
                <w:szCs w:val="20"/>
                <w:color w:val="auto"/>
              </w:rPr>
            </w:pPr>
            <w:r>
              <w:rPr>
                <w:rFonts w:ascii="Arial" w:cs="Arial" w:eastAsia="Arial" w:hAnsi="Arial"/>
                <w:sz w:val="14"/>
                <w:szCs w:val="14"/>
                <w:color w:val="auto"/>
              </w:rPr>
              <w:t>1,260,417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issuance costs (See Note 10)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311,648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1,366,043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Excise tax</w:t>
            </w:r>
          </w:p>
        </w:tc>
        <w:tc>
          <w:tcPr>
            <w:tcW w:w="380" w:type="dxa"/>
            <w:vAlign w:val="bottom"/>
          </w:tcPr>
          <w:p>
            <w:pPr>
              <w:spacing w:after="0"/>
              <w:rPr>
                <w:sz w:val="13"/>
                <w:szCs w:val="13"/>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42,027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expenses</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5,788,867</w:t>
            </w: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2,626,460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6,309,681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320,139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911,925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Non-controlled, non-affiliated investments</w:t>
            </w: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appreciation (See Note 5)</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4,739,272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5,651,197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(3,793,392)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2"/>
            <w:vMerge w:val="continue"/>
          </w:tcPr>
          <w:p>
            <w:pPr>
              <w:spacing w:after="0"/>
              <w:rPr>
                <w:sz w:val="13"/>
                <w:szCs w:val="13"/>
                <w:color w:val="auto"/>
              </w:rPr>
            </w:pPr>
          </w:p>
        </w:tc>
        <w:tc>
          <w:tcPr>
            <w:tcW w:w="380" w:type="dxa"/>
            <w:vAlign w:val="bottom"/>
          </w:tcPr>
          <w:p>
            <w:pPr>
              <w:jc w:val="right"/>
              <w:ind w:right="232"/>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11,960,878</w:t>
            </w:r>
          </w:p>
        </w:tc>
        <w:tc>
          <w:tcPr>
            <w:tcW w:w="28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2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 per common share (See Note 6)</w:t>
            </w:r>
          </w:p>
        </w:tc>
        <w:tc>
          <w:tcPr>
            <w:tcW w:w="3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Arial" w:cs="Arial" w:eastAsia="Arial" w:hAnsi="Arial"/>
                <w:sz w:val="14"/>
                <w:szCs w:val="14"/>
                <w:color w:val="auto"/>
              </w:rPr>
              <w:t>Net investment income per common share</w:t>
            </w:r>
          </w:p>
        </w:tc>
        <w:tc>
          <w:tcPr>
            <w:tcW w:w="3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0.92</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For the period 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September 30, 2012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to 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investment income</w:t>
            </w:r>
          </w:p>
        </w:tc>
        <w:tc>
          <w:tcPr>
            <w:tcW w:w="1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6,309,681</w:t>
            </w:r>
          </w:p>
        </w:tc>
        <w:tc>
          <w:tcPr>
            <w:tcW w:w="22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realized gain on investments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911,925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2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11,960,878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Distributions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(6,234,106)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(1,712,667)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sales load charges (See Notes 1 and 3)</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(5,501,975)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(2,055,000)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97,258,025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3,671,772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Net assets:</w:t>
            </w: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Beginning of period</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20"/>
              <w:spacing w:after="0"/>
              <w:rPr>
                <w:sz w:val="20"/>
                <w:szCs w:val="20"/>
                <w:color w:val="auto"/>
              </w:rPr>
            </w:pPr>
            <w:r>
              <w:rPr>
                <w:rFonts w:ascii="Arial" w:cs="Arial" w:eastAsia="Arial" w:hAnsi="Arial"/>
                <w:sz w:val="14"/>
                <w:szCs w:val="14"/>
                <w:color w:val="auto"/>
              </w:rPr>
              <w:t>End of period</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95,743,877</w:t>
            </w:r>
          </w:p>
        </w:tc>
        <w:tc>
          <w:tcPr>
            <w:tcW w:w="220" w:type="dxa"/>
            <w:vAlign w:val="bottom"/>
          </w:tcPr>
          <w:p>
            <w:pPr>
              <w:spacing w:after="0"/>
              <w:rPr>
                <w:sz w:val="13"/>
                <w:szCs w:val="13"/>
                <w:color w:val="auto"/>
              </w:rPr>
            </w:pPr>
          </w:p>
        </w:tc>
        <w:tc>
          <w:tcPr>
            <w:tcW w:w="3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Distributions in excess of net investment income, end of period</w:t>
            </w:r>
          </w:p>
        </w:tc>
        <w:tc>
          <w:tcPr>
            <w:tcW w:w="14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(1,313,000)</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26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Capital Share Activity:</w:t>
            </w:r>
          </w:p>
        </w:tc>
        <w:tc>
          <w:tcPr>
            <w:tcW w:w="1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shares from offerings</w:t>
            </w:r>
          </w:p>
        </w:tc>
        <w:tc>
          <w:tcPr>
            <w:tcW w:w="1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6,850,667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 the period March 04, 2011</w:t>
            </w: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2"/>
                <w:szCs w:val="12"/>
                <w:color w:val="auto"/>
              </w:rPr>
            </w:pPr>
          </w:p>
        </w:tc>
        <w:tc>
          <w:tcPr>
            <w:tcW w:w="2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September 30, 2012</w:t>
            </w: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to September 30, 2011</w:t>
            </w:r>
          </w:p>
        </w:tc>
      </w:tr>
      <w:tr>
        <w:trPr>
          <w:trHeight w:val="129"/>
        </w:trPr>
        <w:tc>
          <w:tcPr>
            <w:tcW w:w="20" w:type="dxa"/>
            <w:vAlign w:val="bottom"/>
          </w:tcPr>
          <w:p>
            <w:pPr>
              <w:spacing w:after="0"/>
              <w:rPr>
                <w:sz w:val="11"/>
                <w:szCs w:val="11"/>
                <w:color w:val="auto"/>
              </w:rPr>
            </w:pPr>
          </w:p>
        </w:tc>
        <w:tc>
          <w:tcPr>
            <w:tcW w:w="6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11,960,878</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(3,473,253)</w:t>
            </w:r>
          </w:p>
        </w:tc>
      </w:tr>
      <w:tr>
        <w:trPr>
          <w:trHeight w:val="138"/>
        </w:trPr>
        <w:tc>
          <w:tcPr>
            <w:tcW w:w="20" w:type="dxa"/>
            <w:vAlign w:val="bottom"/>
          </w:tcPr>
          <w:p>
            <w:pPr>
              <w:spacing w:after="0"/>
              <w:rPr>
                <w:sz w:val="11"/>
                <w:szCs w:val="11"/>
                <w:color w:val="auto"/>
              </w:rPr>
            </w:pPr>
          </w:p>
        </w:tc>
        <w:tc>
          <w:tcPr>
            <w:tcW w:w="694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w w:val="87"/>
              </w:rPr>
              <w:t>Adjustments to reconcile net increase (decrease) in net assets resulting from operations to net cash used by operating</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940" w:type="dxa"/>
            <w:vAlign w:val="bottom"/>
            <w:shd w:val="clear" w:color="auto" w:fill="CCEEFF"/>
          </w:tcPr>
          <w:p>
            <w:pPr>
              <w:ind w:left="80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(4,361,772)</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4,105,380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(377,500)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Net realized gain on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(911,925)</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(311,988)</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(704,452)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(136,975)</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Purchase of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(128,673,695)</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(147,545,077)</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interest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(119,552)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(42,074)</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71,499,356</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33,206,493</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receivable for investments sold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1,481,222</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(2,467,500)</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receivable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(656,172)</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(732,695)</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prepaid expenses and other 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(147,939)</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(163,374)</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2,367,500</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unfunded investments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(161,370)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2,323,250</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payable on Credit Facility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11,304</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150,246</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management fee payable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158,315</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266,432</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Increase in performance-based incentive fees payable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506,314</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accrued expenses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303,440</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143,680</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9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by operating activities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(47,826,048)</w:t>
            </w:r>
          </w:p>
        </w:tc>
        <w:tc>
          <w:tcPr>
            <w:tcW w:w="180" w:type="dxa"/>
            <w:vAlign w:val="bottom"/>
          </w:tcPr>
          <w:p>
            <w:pPr>
              <w:spacing w:after="0"/>
              <w:rPr>
                <w:sz w:val="14"/>
                <w:szCs w:val="14"/>
                <w:color w:val="auto"/>
              </w:rPr>
            </w:pPr>
          </w:p>
        </w:tc>
        <w:tc>
          <w:tcPr>
            <w:tcW w:w="2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(113,687,455)</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offerings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102,760,000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Offering costs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(5,501,975)</w:t>
            </w: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(6,165,599)</w:t>
            </w:r>
          </w:p>
        </w:tc>
        <w:tc>
          <w:tcPr>
            <w:tcW w:w="1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(1,233,120)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97,650,000</w:t>
            </w: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29,000,000</w:t>
            </w:r>
          </w:p>
        </w:tc>
      </w:tr>
      <w:tr>
        <w:trPr>
          <w:trHeight w:val="156"/>
        </w:trPr>
        <w:tc>
          <w:tcPr>
            <w:tcW w:w="20" w:type="dxa"/>
            <w:vAlign w:val="bottom"/>
          </w:tcPr>
          <w:p>
            <w:pPr>
              <w:spacing w:after="0"/>
              <w:rPr>
                <w:sz w:val="13"/>
                <w:szCs w:val="13"/>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(46,800,000)</w:t>
            </w:r>
          </w:p>
        </w:tc>
        <w:tc>
          <w:tcPr>
            <w:tcW w:w="180" w:type="dxa"/>
            <w:vAlign w:val="bottom"/>
          </w:tcPr>
          <w:p>
            <w:pPr>
              <w:spacing w:after="0"/>
              <w:rPr>
                <w:sz w:val="13"/>
                <w:szCs w:val="13"/>
                <w:color w:val="auto"/>
              </w:rPr>
            </w:pPr>
          </w:p>
        </w:tc>
        <w:tc>
          <w:tcPr>
            <w:tcW w:w="2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(4,350,000)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44,684,401</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120,674,905</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b w:val="1"/>
                <w:bCs w:val="1"/>
                <w:color w:val="auto"/>
              </w:rPr>
              <w:t>Net (decrease) increase in cash equivalents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(3,141,647)</w:t>
            </w:r>
          </w:p>
        </w:tc>
        <w:tc>
          <w:tcPr>
            <w:tcW w:w="180" w:type="dxa"/>
            <w:vAlign w:val="bottom"/>
          </w:tcPr>
          <w:p>
            <w:pPr>
              <w:spacing w:after="0"/>
              <w:rPr>
                <w:sz w:val="13"/>
                <w:szCs w:val="13"/>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6,987,450</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end of period</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3,845,803</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6,987,450</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1,471,035</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5,556</w:t>
            </w: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Taxes paid</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3,952</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700" w:type="dxa"/>
            <w:vAlign w:val="bottom"/>
            <w:vMerge w:val="restart"/>
          </w:tcPr>
          <w:p>
            <w:pPr>
              <w:jc w:val="center"/>
              <w:ind w:left="872"/>
              <w:spacing w:after="0"/>
              <w:rPr>
                <w:sz w:val="20"/>
                <w:szCs w:val="20"/>
                <w:color w:val="auto"/>
              </w:rPr>
            </w:pPr>
            <w:r>
              <w:rPr>
                <w:rFonts w:ascii="Arial" w:cs="Arial" w:eastAsia="Arial" w:hAnsi="Arial"/>
                <w:sz w:val="14"/>
                <w:szCs w:val="14"/>
                <w:b w:val="1"/>
                <w:bCs w:val="1"/>
                <w:color w:val="auto"/>
                <w:w w:val="95"/>
              </w:rPr>
              <w:t>Maturity</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Current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Par/</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5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9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Coupon</w:t>
            </w: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vMerge w:val="continue"/>
          </w:tcPr>
          <w:p>
            <w:pPr>
              <w:spacing w:after="0"/>
              <w:rPr>
                <w:sz w:val="12"/>
                <w:szCs w:val="12"/>
                <w:color w:val="auto"/>
              </w:rPr>
            </w:pPr>
          </w:p>
        </w:tc>
        <w:tc>
          <w:tcPr>
            <w:tcW w:w="720" w:type="dxa"/>
            <w:vAlign w:val="bottom"/>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4"/>
                <w:szCs w:val="14"/>
                <w:b w:val="1"/>
                <w:bCs w:val="1"/>
                <w:color w:val="auto"/>
                <w:vertAlign w:val="superscript"/>
              </w:rPr>
              <w:t>(3),(4)</w:t>
            </w:r>
          </w:p>
        </w:tc>
        <w:tc>
          <w:tcPr>
            <w:tcW w:w="20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Debt—156.9%</w:t>
            </w:r>
          </w:p>
        </w:tc>
        <w:tc>
          <w:tcPr>
            <w:tcW w:w="1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Airvana Network Solutions Inc.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03/25/2015</w:t>
            </w:r>
          </w:p>
        </w:tc>
        <w:tc>
          <w:tcPr>
            <w:tcW w:w="206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L+800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214,286</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  214,838</w:t>
            </w:r>
          </w:p>
        </w:tc>
        <w:tc>
          <w:tcPr>
            <w:tcW w:w="720" w:type="dxa"/>
            <w:vAlign w:val="bottom"/>
          </w:tcPr>
          <w:p>
            <w:pPr>
              <w:jc w:val="right"/>
              <w:spacing w:after="0"/>
              <w:rPr>
                <w:sz w:val="20"/>
                <w:szCs w:val="20"/>
                <w:color w:val="auto"/>
              </w:rPr>
            </w:pPr>
            <w:r>
              <w:rPr>
                <w:rFonts w:ascii="Arial" w:cs="Arial" w:eastAsia="Arial" w:hAnsi="Arial"/>
                <w:sz w:val="14"/>
                <w:szCs w:val="14"/>
                <w:color w:val="auto"/>
              </w:rPr>
              <w:t>$  214,018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Archipelago Learning,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05/17/2018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987,500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959,574</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987,500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Aspen Dental Management, Inc.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10/06/2016</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Consumer Services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2,977,500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2,937,079</w:t>
            </w:r>
          </w:p>
        </w:tc>
        <w:tc>
          <w:tcPr>
            <w:tcW w:w="720" w:type="dxa"/>
            <w:vAlign w:val="bottom"/>
          </w:tcPr>
          <w:p>
            <w:pPr>
              <w:jc w:val="right"/>
              <w:spacing w:after="0"/>
              <w:rPr>
                <w:sz w:val="20"/>
                <w:szCs w:val="20"/>
                <w:color w:val="auto"/>
              </w:rPr>
            </w:pPr>
            <w:r>
              <w:rPr>
                <w:rFonts w:ascii="Arial" w:cs="Arial" w:eastAsia="Arial" w:hAnsi="Arial"/>
                <w:sz w:val="14"/>
                <w:szCs w:val="14"/>
                <w:color w:val="auto"/>
              </w:rPr>
              <w:t>2,962,613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Attachmate Corporation</w:t>
            </w:r>
          </w:p>
        </w:tc>
        <w:tc>
          <w:tcPr>
            <w:tcW w:w="1700" w:type="dxa"/>
            <w:vAlign w:val="bottom"/>
            <w:shd w:val="clear" w:color="auto" w:fill="CCEEFF"/>
          </w:tcPr>
          <w:p>
            <w:pPr>
              <w:jc w:val="center"/>
              <w:ind w:left="872"/>
              <w:spacing w:after="0" w:line="149" w:lineRule="exact"/>
              <w:rPr>
                <w:sz w:val="20"/>
                <w:szCs w:val="20"/>
                <w:color w:val="auto"/>
              </w:rPr>
            </w:pPr>
            <w:r>
              <w:rPr>
                <w:rFonts w:ascii="Arial" w:cs="Arial" w:eastAsia="Arial" w:hAnsi="Arial"/>
                <w:sz w:val="14"/>
                <w:szCs w:val="14"/>
                <w:color w:val="auto"/>
                <w:w w:val="85"/>
              </w:rPr>
              <w:t>11/22/2017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2,943,750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2,888,381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2,960,309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985,747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Blue Coat Systems,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02/15/2018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3,902,979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C.H.I. Overhead Doors,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08/17/2017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3,866,119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3,801,408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3,859,675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03/19/2018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3,733,125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3,673,063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3,677,128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12/01/2016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981,827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08/29/2017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10.50%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L+900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3,980,000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3,904,846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4,109,350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P+350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950,104</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946,081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945,353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04/20/2018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L+625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3,990,000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3,952,867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4,009,950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05/18/2018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1,975,762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2,004,975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05/02/2018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2,884,003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11/30/2017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2,977,500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2,898,672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2,977,500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07/02/2018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1,956,496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2,012,456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(8)</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09/02/2019</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9.63%</w:t>
            </w:r>
          </w:p>
        </w:tc>
        <w:tc>
          <w:tcPr>
            <w:tcW w:w="8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3,120,000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05/27/2016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2,956,829</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2,933,351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2,934,653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11/30/2017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8.25%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4,962,500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4,742,008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4,925,281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04/01/2019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2,929,228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2,992,463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color w:val="auto"/>
              </w:rPr>
              <w:t>Howard Berger Co. LLC</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08/03/2017</w:t>
            </w:r>
          </w:p>
        </w:tc>
        <w:tc>
          <w:tcPr>
            <w:tcW w:w="2060" w:type="dxa"/>
            <w:vAlign w:val="bottom"/>
          </w:tcPr>
          <w:p>
            <w:pPr>
              <w:jc w:val="center"/>
              <w:spacing w:after="0"/>
              <w:rPr>
                <w:sz w:val="20"/>
                <w:szCs w:val="20"/>
                <w:color w:val="auto"/>
              </w:rPr>
            </w:pPr>
            <w:r>
              <w:rPr>
                <w:rFonts w:ascii="Arial" w:cs="Arial" w:eastAsia="Arial" w:hAnsi="Arial"/>
                <w:sz w:val="14"/>
                <w:szCs w:val="14"/>
                <w:color w:val="auto"/>
                <w:w w:val="88"/>
              </w:rPr>
              <w:t>Wholesale</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2,743,125</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2,702,953</w:t>
            </w:r>
          </w:p>
        </w:tc>
        <w:tc>
          <w:tcPr>
            <w:tcW w:w="720" w:type="dxa"/>
            <w:vAlign w:val="bottom"/>
          </w:tcPr>
          <w:p>
            <w:pPr>
              <w:jc w:val="right"/>
              <w:spacing w:after="0"/>
              <w:rPr>
                <w:sz w:val="20"/>
                <w:szCs w:val="20"/>
                <w:color w:val="auto"/>
              </w:rPr>
            </w:pPr>
            <w:r>
              <w:rPr>
                <w:rFonts w:ascii="Arial" w:cs="Arial" w:eastAsia="Arial" w:hAnsi="Arial"/>
                <w:sz w:val="14"/>
                <w:szCs w:val="14"/>
                <w:color w:val="auto"/>
              </w:rPr>
              <w:t>2,715,694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03/30/2017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11.50%</w:t>
            </w:r>
          </w:p>
        </w:tc>
        <w:tc>
          <w:tcPr>
            <w:tcW w:w="8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1,963,159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Ikaria,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06/22/2016</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1,700,000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1,691,500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1,649,000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08/07/2014</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L+338</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6,836,508</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6,534,349</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5,247,020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K2 Pure Solutions NoCal, L.P.</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09/10/2015</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L+775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5,476,250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5,512,699</w:t>
            </w:r>
          </w:p>
        </w:tc>
        <w:tc>
          <w:tcPr>
            <w:tcW w:w="720" w:type="dxa"/>
            <w:vAlign w:val="bottom"/>
          </w:tcPr>
          <w:p>
            <w:pPr>
              <w:jc w:val="right"/>
              <w:spacing w:after="0"/>
              <w:rPr>
                <w:sz w:val="20"/>
                <w:szCs w:val="20"/>
                <w:color w:val="auto"/>
              </w:rPr>
            </w:pPr>
            <w:r>
              <w:rPr>
                <w:rFonts w:ascii="Arial" w:cs="Arial" w:eastAsia="Arial" w:hAnsi="Arial"/>
                <w:sz w:val="14"/>
                <w:szCs w:val="14"/>
                <w:color w:val="auto"/>
              </w:rPr>
              <w:t>5,558,394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06/02/2014</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4,937,500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4,845,282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4,863,438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1,844,649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1,821,373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1,766,252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MModal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08/16/2019</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3,400,000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3,349,374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3,351,125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line="21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22"/>
                <w:szCs w:val="22"/>
                <w:color w:val="auto"/>
                <w:vertAlign w:val="superscript"/>
              </w:rPr>
              <w:t>(6)</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05/07/2018</w:t>
            </w:r>
          </w:p>
        </w:tc>
        <w:tc>
          <w:tcPr>
            <w:tcW w:w="2060" w:type="dxa"/>
            <w:vAlign w:val="bottom"/>
          </w:tcPr>
          <w:p>
            <w:pPr>
              <w:jc w:val="center"/>
              <w:spacing w:after="0"/>
              <w:rPr>
                <w:sz w:val="20"/>
                <w:szCs w:val="20"/>
                <w:color w:val="auto"/>
              </w:rPr>
            </w:pPr>
            <w:r>
              <w:rPr>
                <w:rFonts w:ascii="Arial" w:cs="Arial" w:eastAsia="Arial" w:hAnsi="Arial"/>
                <w:sz w:val="14"/>
                <w:szCs w:val="14"/>
                <w:color w:val="auto"/>
                <w:w w:val="89"/>
              </w:rPr>
              <w:t>Media: Diversified and Production</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3,950,000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3,916,596</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12/23/2016</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2,887,500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2,826,368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MX USA, INC and KAN-DI-KI, LLC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05/01/2017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2,943,607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2,955,150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04/24/2018</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Banking, Finance, Insurance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987,500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973,817</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997,375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Real Estate</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Pelican Products, Inc.</w:t>
            </w:r>
          </w:p>
        </w:tc>
        <w:tc>
          <w:tcPr>
            <w:tcW w:w="17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85"/>
              </w:rPr>
              <w:t>07/11/2018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1,496,250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1,467,389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1,492,509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08/01/2014</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L+400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5,497,407</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4,931,995</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4,439,156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1.00%)</w:t>
            </w: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Potter’s Holdings II, L.P.</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05/08/2017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1,975,000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1,958,715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1,967,594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07/06/2017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978,077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970,036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967,889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700" w:type="dxa"/>
            <w:vAlign w:val="bottom"/>
          </w:tcPr>
          <w:p>
            <w:pPr>
              <w:jc w:val="center"/>
              <w:ind w:left="852"/>
              <w:spacing w:after="0" w:line="138" w:lineRule="exact"/>
              <w:rPr>
                <w:sz w:val="20"/>
                <w:szCs w:val="20"/>
                <w:color w:val="auto"/>
              </w:rPr>
            </w:pPr>
            <w:r>
              <w:rPr>
                <w:rFonts w:ascii="Arial" w:cs="Arial" w:eastAsia="Arial" w:hAnsi="Arial"/>
                <w:sz w:val="14"/>
                <w:szCs w:val="14"/>
                <w:color w:val="auto"/>
                <w:w w:val="88"/>
              </w:rPr>
              <w:t>10/19/2017</w:t>
            </w:r>
          </w:p>
        </w:tc>
        <w:tc>
          <w:tcPr>
            <w:tcW w:w="206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20" w:type="dxa"/>
            <w:vAlign w:val="bottom"/>
          </w:tcPr>
          <w:p>
            <w:pPr>
              <w:jc w:val="right"/>
              <w:ind w:right="113"/>
              <w:spacing w:after="0" w:line="138"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L+625</w:t>
            </w:r>
          </w:p>
        </w:tc>
        <w:tc>
          <w:tcPr>
            <w:tcW w:w="72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9"/>
              </w:rPr>
              <w:t>1,980,000</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1,909,788</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1,994,850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88"/>
              </w:rPr>
              <w:t>Subscription</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02/08/2018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3,970,000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3,898,141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Sabre Industries,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08/24/2018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2,955,509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2,973,126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05/31/2017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2,962,500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2,938,182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2,960,648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Seven Seas Cruises S. DE R.L.</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12/21/2018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1,485,300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1,505,625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04/21/2017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2,962,512</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2,939,052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2,932,887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01/29/2018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9.00%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147,935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01/29/2018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13.50%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L+1,200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1,875,000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1,823,914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1,914,375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10/27/2017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8.00%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958,036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04/16/2018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9.00%</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1,935,550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1,950,113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2,938,318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2,844,000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700" w:type="dxa"/>
            <w:vAlign w:val="bottom"/>
            <w:shd w:val="clear" w:color="auto" w:fill="CCEEFF"/>
          </w:tcPr>
          <w:p>
            <w:pPr>
              <w:jc w:val="center"/>
              <w:ind w:left="852"/>
              <w:spacing w:after="0" w:line="149" w:lineRule="exact"/>
              <w:rPr>
                <w:sz w:val="20"/>
                <w:szCs w:val="20"/>
                <w:color w:val="auto"/>
              </w:rPr>
            </w:pPr>
            <w:r>
              <w:rPr>
                <w:rFonts w:ascii="Arial" w:cs="Arial" w:eastAsia="Arial" w:hAnsi="Arial"/>
                <w:sz w:val="14"/>
                <w:szCs w:val="14"/>
                <w:color w:val="auto"/>
                <w:w w:val="88"/>
              </w:rPr>
              <w:t>06/02/2017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1,481,250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1,474,945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1,466,438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Vantage Specialties, Inc.</w:t>
            </w:r>
          </w:p>
        </w:tc>
        <w:tc>
          <w:tcPr>
            <w:tcW w:w="1700" w:type="dxa"/>
            <w:vAlign w:val="bottom"/>
          </w:tcPr>
          <w:p>
            <w:pPr>
              <w:jc w:val="center"/>
              <w:ind w:left="852"/>
              <w:spacing w:after="0" w:line="149" w:lineRule="exact"/>
              <w:rPr>
                <w:sz w:val="20"/>
                <w:szCs w:val="20"/>
                <w:color w:val="auto"/>
              </w:rPr>
            </w:pPr>
            <w:r>
              <w:rPr>
                <w:rFonts w:ascii="Arial" w:cs="Arial" w:eastAsia="Arial" w:hAnsi="Arial"/>
                <w:sz w:val="14"/>
                <w:szCs w:val="14"/>
                <w:color w:val="auto"/>
                <w:w w:val="88"/>
              </w:rPr>
              <w:t>02/09/2018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2,985,000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2,930,559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2,999,925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700" w:type="dxa"/>
            <w:vAlign w:val="bottom"/>
            <w:shd w:val="clear" w:color="auto" w:fill="CCEEFF"/>
          </w:tcPr>
          <w:p>
            <w:pPr>
              <w:jc w:val="center"/>
              <w:ind w:left="852"/>
              <w:spacing w:after="0" w:line="138" w:lineRule="exact"/>
              <w:rPr>
                <w:sz w:val="20"/>
                <w:szCs w:val="20"/>
                <w:color w:val="auto"/>
              </w:rPr>
            </w:pPr>
            <w:r>
              <w:rPr>
                <w:rFonts w:ascii="Arial" w:cs="Arial" w:eastAsia="Arial" w:hAnsi="Arial"/>
                <w:sz w:val="14"/>
                <w:szCs w:val="14"/>
                <w:color w:val="auto"/>
                <w:w w:val="88"/>
              </w:rPr>
              <w:t>04/19/2016</w:t>
            </w:r>
          </w:p>
        </w:tc>
        <w:tc>
          <w:tcPr>
            <w:tcW w:w="2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4,187,556</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4,147,483</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4,187,556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4"/>
                <w:szCs w:val="14"/>
                <w:color w:val="auto"/>
              </w:rPr>
              <w:t>Virtual Radiologic Corporation</w:t>
            </w:r>
          </w:p>
        </w:tc>
        <w:tc>
          <w:tcPr>
            <w:tcW w:w="1700" w:type="dxa"/>
            <w:vAlign w:val="bottom"/>
          </w:tcPr>
          <w:p>
            <w:pPr>
              <w:jc w:val="center"/>
              <w:ind w:left="852"/>
              <w:spacing w:after="0"/>
              <w:rPr>
                <w:sz w:val="20"/>
                <w:szCs w:val="20"/>
                <w:color w:val="auto"/>
              </w:rPr>
            </w:pPr>
            <w:r>
              <w:rPr>
                <w:rFonts w:ascii="Arial" w:cs="Arial" w:eastAsia="Arial" w:hAnsi="Arial"/>
                <w:sz w:val="14"/>
                <w:szCs w:val="14"/>
                <w:color w:val="auto"/>
                <w:w w:val="88"/>
              </w:rPr>
              <w:t>12/22/2016</w:t>
            </w:r>
          </w:p>
        </w:tc>
        <w:tc>
          <w:tcPr>
            <w:tcW w:w="206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920" w:type="dxa"/>
            <w:vAlign w:val="bottom"/>
          </w:tcPr>
          <w:p>
            <w:pPr>
              <w:jc w:val="right"/>
              <w:ind w:right="113"/>
              <w:spacing w:after="0"/>
              <w:rPr>
                <w:sz w:val="20"/>
                <w:szCs w:val="20"/>
                <w:color w:val="auto"/>
              </w:rPr>
            </w:pPr>
            <w:r>
              <w:rPr>
                <w:rFonts w:ascii="Arial" w:cs="Arial" w:eastAsia="Arial" w:hAnsi="Arial"/>
                <w:sz w:val="14"/>
                <w:szCs w:val="14"/>
                <w:color w:val="auto"/>
              </w:rPr>
              <w:t>7.75%</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P+450</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2,970,000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2,940,842</w:t>
            </w:r>
          </w:p>
        </w:tc>
        <w:tc>
          <w:tcPr>
            <w:tcW w:w="720" w:type="dxa"/>
            <w:vAlign w:val="bottom"/>
          </w:tcPr>
          <w:p>
            <w:pPr>
              <w:jc w:val="right"/>
              <w:spacing w:after="0"/>
              <w:rPr>
                <w:sz w:val="20"/>
                <w:szCs w:val="20"/>
                <w:color w:val="auto"/>
              </w:rPr>
            </w:pPr>
            <w:r>
              <w:rPr>
                <w:rFonts w:ascii="Arial" w:cs="Arial" w:eastAsia="Arial" w:hAnsi="Arial"/>
                <w:sz w:val="14"/>
                <w:szCs w:val="14"/>
                <w:color w:val="auto"/>
              </w:rPr>
              <w:t>2,643,300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Par/</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1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840" w:type="dxa"/>
            <w:vAlign w:val="bottom"/>
            <w:gridSpan w:val="2"/>
          </w:tcPr>
          <w:p>
            <w:pPr>
              <w:jc w:val="right"/>
              <w:ind w:right="252"/>
              <w:spacing w:after="0" w:line="149" w:lineRule="exact"/>
              <w:rPr>
                <w:sz w:val="20"/>
                <w:szCs w:val="20"/>
                <w:color w:val="auto"/>
              </w:rPr>
            </w:pPr>
            <w:r>
              <w:rPr>
                <w:rFonts w:ascii="Arial" w:cs="Arial" w:eastAsia="Arial" w:hAnsi="Arial"/>
                <w:sz w:val="14"/>
                <w:szCs w:val="14"/>
                <w:b w:val="1"/>
                <w:bCs w:val="1"/>
                <w:color w:val="auto"/>
                <w:w w:val="94"/>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W3 CO.</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10/31/2017</w:t>
            </w:r>
          </w:p>
        </w:tc>
        <w:tc>
          <w:tcPr>
            <w:tcW w:w="1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w:t>
            </w:r>
          </w:p>
        </w:tc>
        <w:tc>
          <w:tcPr>
            <w:tcW w:w="260" w:type="dxa"/>
            <w:vAlign w:val="bottom"/>
            <w:tcBorders>
              <w:top w:val="single" w:sz="8" w:color="CCEEF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L+625</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1,985,000</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1,916,035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1,982,519</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Consumer Goods: Durable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6.75%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3,465,000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3,434,281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03/23/2018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Environmental Industries</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3,417,000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11.38%</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Metals and Mining</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Automotive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09/01/2018</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12.13%</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Utilities: Water</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tcPr>
          <w:p>
            <w:pPr>
              <w:spacing w:after="0"/>
              <w:rPr>
                <w:sz w:val="13"/>
                <w:szCs w:val="13"/>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9.13%</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11,608,643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Subordinated Debt/Corporate Notes—8.7% </w:t>
            </w:r>
            <w:r>
              <w:rPr>
                <w:rFonts w:ascii="Arial" w:cs="Arial" w:eastAsia="Arial" w:hAnsi="Arial"/>
                <w:sz w:val="22"/>
                <w:szCs w:val="22"/>
                <w:b w:val="1"/>
                <w:bCs w:val="1"/>
                <w:color w:val="auto"/>
                <w:vertAlign w:val="superscript"/>
              </w:rPr>
              <w:t>(8)</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11.63%</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12/01/2017</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13.00%</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14.25%</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4,508,719</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4,508,719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w w:val="95"/>
              </w:rPr>
              <w:t>(PIK 2.25%)</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9,194,181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8,296,719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tcPr>
          <w:p>
            <w:pPr>
              <w:jc w:val="right"/>
              <w:ind w:right="72"/>
              <w:spacing w:after="0" w:line="138" w:lineRule="exact"/>
              <w:rPr>
                <w:sz w:val="20"/>
                <w:szCs w:val="20"/>
                <w:color w:val="auto"/>
              </w:rPr>
            </w:pPr>
            <w:r>
              <w:rPr>
                <w:rFonts w:ascii="Arial" w:cs="Arial" w:eastAsia="Arial" w:hAnsi="Arial"/>
                <w:sz w:val="14"/>
                <w:szCs w:val="14"/>
                <w:color w:val="auto"/>
              </w:rPr>
              <w:t>12.50%</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176</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110,697</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200,571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gridSpan w:val="2"/>
          </w:tcPr>
          <w:p>
            <w:pPr>
              <w:ind w:left="200"/>
              <w:spacing w:after="0"/>
              <w:rPr>
                <w:sz w:val="20"/>
                <w:szCs w:val="20"/>
                <w:color w:val="auto"/>
              </w:rPr>
            </w:pPr>
            <w:r>
              <w:rPr>
                <w:rFonts w:ascii="Arial" w:cs="Arial" w:eastAsia="Arial" w:hAnsi="Arial"/>
                <w:sz w:val="14"/>
                <w:szCs w:val="14"/>
                <w:color w:val="auto"/>
              </w:rPr>
              <w:t>(TrustHouse Services Group, Inc.)</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Telecommunications</w:t>
            </w:r>
          </w:p>
        </w:tc>
        <w:tc>
          <w:tcPr>
            <w:tcW w:w="8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401,797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401,450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1,091,018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2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40" w:type="dxa"/>
            <w:vAlign w:val="bottom"/>
            <w:gridSpan w:val="2"/>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10,845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406,450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1,101,863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Total Investments in Non-Controlled, Non-Affiliated Portfolio Companies</w:t>
            </w: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171,578,009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175,423,812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175,680,203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3926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80" w:lineRule="exact"/>
        <w:rPr>
          <w:sz w:val="20"/>
          <w:szCs w:val="20"/>
          <w:color w:val="auto"/>
        </w:rPr>
      </w:pPr>
    </w:p>
    <w:p>
      <w:pPr>
        <w:ind w:left="340" w:right="60" w:hanging="332"/>
        <w:spacing w:after="0" w:line="230"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Basis Point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8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w w:val="84"/>
              </w:rPr>
              <w:t>Above</w:t>
            </w:r>
          </w:p>
        </w:tc>
        <w:tc>
          <w:tcPr>
            <w:tcW w:w="840" w:type="dxa"/>
            <w:vAlign w:val="bottom"/>
          </w:tcPr>
          <w:p>
            <w:pPr>
              <w:jc w:val="right"/>
              <w:ind w:right="292"/>
              <w:spacing w:after="0" w:line="135" w:lineRule="exact"/>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220" w:type="dxa"/>
            <w:vAlign w:val="bottom"/>
          </w:tcPr>
          <w:p>
            <w:pPr>
              <w:ind w:left="44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Coupon</w:t>
            </w:r>
          </w:p>
        </w:tc>
        <w:tc>
          <w:tcPr>
            <w:tcW w:w="960" w:type="dxa"/>
            <w:vAlign w:val="bottom"/>
          </w:tcPr>
          <w:p>
            <w:pPr>
              <w:jc w:val="center"/>
              <w:ind w:right="13"/>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Debt—99.2%</w:t>
            </w:r>
          </w:p>
        </w:tc>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03/25/2015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1,209,524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1,213,365</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Artel, LLC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06/01/2016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978,043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07/29/2017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Chester Downs and Marina, LLC </w:t>
            </w:r>
            <w:r>
              <w:rPr>
                <w:rFonts w:ascii="Arial" w:cs="Arial" w:eastAsia="Arial" w:hAnsi="Arial"/>
                <w:sz w:val="22"/>
                <w:szCs w:val="22"/>
                <w:color w:val="auto"/>
                <w:vertAlign w:val="superscript"/>
              </w:rPr>
              <w:t>(5)</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07/31/2016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Hotel, Gaming and Leisure</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12.38%</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L+988</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478,873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488,220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476,878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08/17/2017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07/28/2017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P+350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982,590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05/13/2016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2,966,250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Frac Tech International, LLC </w:t>
            </w:r>
            <w:r>
              <w:rPr>
                <w:rFonts w:ascii="Arial" w:cs="Arial" w:eastAsia="Arial" w:hAnsi="Arial"/>
                <w:sz w:val="22"/>
                <w:szCs w:val="22"/>
                <w:color w:val="auto"/>
                <w:vertAlign w:val="superscript"/>
              </w:rPr>
              <w:t>(5)</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05/06/2016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Energy: Oil and Gas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2,073,930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2,054,330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05/27/2016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7.01%</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Harmony Foods Corporation </w:t>
            </w:r>
            <w:r>
              <w:rPr>
                <w:rFonts w:ascii="Arial" w:cs="Arial" w:eastAsia="Arial" w:hAnsi="Arial"/>
                <w:sz w:val="22"/>
                <w:szCs w:val="22"/>
                <w:color w:val="auto"/>
                <w:vertAlign w:val="superscript"/>
              </w:rPr>
              <w:t>(5), (6), (11)</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05/01/2016</w:t>
            </w:r>
          </w:p>
        </w:tc>
        <w:tc>
          <w:tcPr>
            <w:tcW w:w="2020" w:type="dxa"/>
            <w:vAlign w:val="bottom"/>
          </w:tcPr>
          <w:p>
            <w:pPr>
              <w:jc w:val="center"/>
              <w:spacing w:after="0"/>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10.00%</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08/16/2017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2,493,750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(5), (7)</w:t>
            </w:r>
          </w:p>
        </w:tc>
        <w:tc>
          <w:tcPr>
            <w:tcW w:w="1220" w:type="dxa"/>
            <w:vAlign w:val="bottom"/>
          </w:tcPr>
          <w:p>
            <w:pPr>
              <w:ind w:left="500"/>
              <w:spacing w:after="0" w:line="138" w:lineRule="exact"/>
              <w:rPr>
                <w:sz w:val="20"/>
                <w:szCs w:val="20"/>
                <w:color w:val="auto"/>
              </w:rPr>
            </w:pPr>
            <w:r>
              <w:rPr>
                <w:rFonts w:ascii="Arial" w:cs="Arial" w:eastAsia="Arial" w:hAnsi="Arial"/>
                <w:sz w:val="14"/>
                <w:szCs w:val="14"/>
                <w:color w:val="auto"/>
                <w:w w:val="99"/>
              </w:rPr>
              <w:t>08/07/2014</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3.61%</w:t>
            </w:r>
          </w:p>
        </w:tc>
        <w:tc>
          <w:tcPr>
            <w:tcW w:w="96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L+338</w:t>
            </w:r>
          </w:p>
        </w:tc>
        <w:tc>
          <w:tcPr>
            <w:tcW w:w="84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6,981,823</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6,523,240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09/10/2015</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P+675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5,476,250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KAR Auction Services, Inc. </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05/19/2017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2,978,487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(5), (7)</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05/31/2014</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L+700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4"/>
                <w:szCs w:val="14"/>
                <w:color w:val="auto"/>
              </w:rPr>
              <w:t>Medpace Holdings, Inc.</w:t>
            </w:r>
          </w:p>
        </w:tc>
        <w:tc>
          <w:tcPr>
            <w:tcW w:w="1220" w:type="dxa"/>
            <w:vAlign w:val="bottom"/>
          </w:tcPr>
          <w:p>
            <w:pPr>
              <w:ind w:left="500"/>
              <w:spacing w:after="0"/>
              <w:rPr>
                <w:sz w:val="20"/>
                <w:szCs w:val="20"/>
                <w:color w:val="auto"/>
              </w:rPr>
            </w:pPr>
            <w:r>
              <w:rPr>
                <w:rFonts w:ascii="Arial" w:cs="Arial" w:eastAsia="Arial" w:hAnsi="Arial"/>
                <w:sz w:val="14"/>
                <w:szCs w:val="14"/>
                <w:color w:val="auto"/>
                <w:w w:val="99"/>
              </w:rPr>
              <w:t>06/17/2017</w:t>
            </w:r>
          </w:p>
        </w:tc>
        <w:tc>
          <w:tcPr>
            <w:tcW w:w="20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6.50%</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L+500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1,995,000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1,966,025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32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4"/>
              </w:rPr>
              <w:t>05/06/2018  Media: Diversified and Production</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3,990,000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3,951,886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060" w:type="dxa"/>
            <w:vAlign w:val="bottom"/>
            <w:gridSpan w:val="2"/>
          </w:tcPr>
          <w:p>
            <w:pPr>
              <w:spacing w:after="0"/>
              <w:rPr>
                <w:sz w:val="20"/>
                <w:szCs w:val="20"/>
                <w:color w:val="auto"/>
              </w:rPr>
            </w:pPr>
            <w:r>
              <w:rPr>
                <w:rFonts w:ascii="Arial" w:cs="Arial" w:eastAsia="Arial" w:hAnsi="Arial"/>
                <w:sz w:val="14"/>
                <w:szCs w:val="14"/>
                <w:color w:val="auto"/>
              </w:rPr>
              <w:t xml:space="preserve">Penton Media, Inc. </w:t>
            </w:r>
            <w:r>
              <w:rPr>
                <w:rFonts w:ascii="Arial" w:cs="Arial" w:eastAsia="Arial" w:hAnsi="Arial"/>
                <w:sz w:val="22"/>
                <w:szCs w:val="22"/>
                <w:color w:val="auto"/>
                <w:vertAlign w:val="superscript"/>
              </w:rPr>
              <w:t>(5)</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4"/>
              </w:rPr>
              <w:t>08/01/2014  Media: Diversified and Production</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5.00%</w:t>
            </w:r>
            <w:r>
              <w:rPr>
                <w:rFonts w:ascii="Arial" w:cs="Arial" w:eastAsia="Arial" w:hAnsi="Arial"/>
                <w:sz w:val="22"/>
                <w:szCs w:val="22"/>
                <w:color w:val="auto"/>
                <w:vertAlign w:val="superscript"/>
              </w:rPr>
              <w:t>(8)</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L+400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5,498,048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4,675,936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3,802,818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32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3"/>
              </w:rPr>
              <w:t>05/08/2017   Containers, Packaging and Glass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1,995,000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Pro Mach,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07/06/2017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987,986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05/31/2017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Select Medical Corporation </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06/01/2018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2,963,943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04/22/2017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2,964,848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Tank Intermediate Holding Corp.</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3"/>
              </w:rPr>
              <w:t>04/15/2016   Containers, Packaging and Glass</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5.00%</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L+375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1,835,472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1,831,420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1,807,940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04/28/2017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1,980,598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04/14/2016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4,968,750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4,923,769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06/19/2017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2,964,110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U.S. Healthworks Holding Company,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06/15/2016</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2,964,480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06/02/2017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1,496,250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1,489,223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0"/>
                <w:szCs w:val="10"/>
                <w:color w:val="auto"/>
              </w:rPr>
              <w:t xml:space="preserve">Viamedia Services Corp. </w:t>
            </w:r>
            <w:r>
              <w:rPr>
                <w:rFonts w:ascii="Arial" w:cs="Arial" w:eastAsia="Arial" w:hAnsi="Arial"/>
                <w:sz w:val="15"/>
                <w:szCs w:val="15"/>
                <w:color w:val="auto"/>
                <w:vertAlign w:val="superscript"/>
              </w:rPr>
              <w:t>(5)</w:t>
            </w:r>
          </w:p>
        </w:tc>
        <w:tc>
          <w:tcPr>
            <w:tcW w:w="3240" w:type="dxa"/>
            <w:vAlign w:val="bottom"/>
            <w:gridSpan w:val="2"/>
          </w:tcPr>
          <w:p>
            <w:pPr>
              <w:ind w:left="500"/>
              <w:spacing w:after="0" w:line="138" w:lineRule="exact"/>
              <w:rPr>
                <w:sz w:val="20"/>
                <w:szCs w:val="20"/>
                <w:color w:val="auto"/>
              </w:rPr>
            </w:pPr>
            <w:r>
              <w:rPr>
                <w:rFonts w:ascii="Arial" w:cs="Arial" w:eastAsia="Arial" w:hAnsi="Arial"/>
                <w:sz w:val="14"/>
                <w:szCs w:val="14"/>
                <w:color w:val="auto"/>
                <w:w w:val="97"/>
              </w:rPr>
              <w:t>04/19/2016   Media: Advertising, Printing and</w:t>
            </w:r>
          </w:p>
        </w:tc>
        <w:tc>
          <w:tcPr>
            <w:tcW w:w="98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6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4,750,000</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4,694,273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12/22/2016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P+450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2,992,500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2,963,172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Water Pik, Inc.</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08/10/2017</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3,465,501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 (5)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07/15/2016</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11.38%</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4,355,966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First Lien Secured Debt</w:t>
            </w:r>
          </w:p>
        </w:tc>
        <w:tc>
          <w:tcPr>
            <w:tcW w:w="1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6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94,975,314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Debt—13.3%</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01/29/2018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L+900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05/13/2017</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10.25%</w:t>
            </w:r>
          </w:p>
        </w:tc>
        <w:tc>
          <w:tcPr>
            <w:tcW w:w="9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L+850</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line="217" w:lineRule="exact"/>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22"/>
                <w:szCs w:val="22"/>
                <w:color w:val="auto"/>
                <w:vertAlign w:val="superscript"/>
              </w:rPr>
              <w:t>(5),(7)</w:t>
            </w: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w w:val="94"/>
              </w:rPr>
              <w:t>11/06/2018  Media: Diversified and Production</w:t>
            </w:r>
          </w:p>
        </w:tc>
        <w:tc>
          <w:tcPr>
            <w:tcW w:w="980" w:type="dxa"/>
            <w:vAlign w:val="bottom"/>
          </w:tcPr>
          <w:p>
            <w:pPr>
              <w:jc w:val="right"/>
              <w:ind w:right="173"/>
              <w:spacing w:after="0"/>
              <w:rPr>
                <w:sz w:val="20"/>
                <w:szCs w:val="20"/>
                <w:color w:val="auto"/>
              </w:rPr>
            </w:pPr>
            <w:r>
              <w:rPr>
                <w:rFonts w:ascii="Arial" w:cs="Arial" w:eastAsia="Arial" w:hAnsi="Arial"/>
                <w:sz w:val="14"/>
                <w:szCs w:val="14"/>
                <w:color w:val="auto"/>
              </w:rPr>
              <w:t>10.25%</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L+875</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1,500,000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1,485,581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09/01/2018</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12.13%</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05/09/2018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L+725</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990,624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 (5)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05/15/2019</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9.13%</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Second Lien Secured Debt</w:t>
            </w:r>
          </w:p>
        </w:tc>
        <w:tc>
          <w:tcPr>
            <w:tcW w:w="1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6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12,379,445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12,255,000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Notes—7.6%</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(5),(11)</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11/15/2015</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11.63%</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1,500,000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1,524,891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(11),(7),(5)</w:t>
            </w:r>
          </w:p>
        </w:tc>
        <w:tc>
          <w:tcPr>
            <w:tcW w:w="12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07/31/2018</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96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3,762,500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3,688,091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(11),(9),(5)</w:t>
            </w:r>
          </w:p>
        </w:tc>
        <w:tc>
          <w:tcPr>
            <w:tcW w:w="1220" w:type="dxa"/>
            <w:vAlign w:val="bottom"/>
          </w:tcPr>
          <w:p>
            <w:pPr>
              <w:ind w:left="500"/>
              <w:spacing w:after="0" w:line="149" w:lineRule="exact"/>
              <w:rPr>
                <w:sz w:val="20"/>
                <w:szCs w:val="20"/>
                <w:color w:val="auto"/>
              </w:rPr>
            </w:pPr>
            <w:r>
              <w:rPr>
                <w:rFonts w:ascii="Arial" w:cs="Arial" w:eastAsia="Arial" w:hAnsi="Arial"/>
                <w:sz w:val="14"/>
                <w:szCs w:val="14"/>
                <w:color w:val="auto"/>
                <w:w w:val="99"/>
              </w:rPr>
              <w:t>07/31/2018</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2,206,000</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2,161,880</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2,161,880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10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Par/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 xml:space="preserve">Fair Value </w:t>
            </w:r>
            <w:r>
              <w:rPr>
                <w:rFonts w:ascii="Arial" w:cs="Arial" w:eastAsia="Arial" w:hAnsi="Arial"/>
                <w:sz w:val="22"/>
                <w:szCs w:val="22"/>
                <w:b w:val="1"/>
                <w:bCs w:val="1"/>
                <w:color w:val="auto"/>
                <w:w w:val="92"/>
                <w:vertAlign w:val="superscript"/>
              </w:rPr>
              <w:t>(2)</w:t>
            </w:r>
          </w:p>
        </w:tc>
        <w:tc>
          <w:tcPr>
            <w:tcW w:w="0" w:type="dxa"/>
            <w:vAlign w:val="bottom"/>
          </w:tcPr>
          <w:p>
            <w:pPr>
              <w:spacing w:after="0"/>
              <w:rPr>
                <w:sz w:val="1"/>
                <w:szCs w:val="1"/>
                <w:color w:val="auto"/>
              </w:rPr>
            </w:pP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9"/>
              </w:rPr>
              <w:t>Maturity</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Preferred Equity/Partnership Interests—0.1% </w:t>
            </w:r>
            <w:r>
              <w:rPr>
                <w:rFonts w:ascii="Arial" w:cs="Arial" w:eastAsia="Arial" w:hAnsi="Arial"/>
                <w:sz w:val="16"/>
                <w:szCs w:val="16"/>
                <w:b w:val="1"/>
                <w:bCs w:val="1"/>
                <w:color w:val="auto"/>
                <w:vertAlign w:val="superscript"/>
              </w:rPr>
              <w:t>(5),(10)</w:t>
            </w: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10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3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95,000</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(TrustHouse Services Group, Inc.)</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(5),(10)</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(TrustHouse Services Group, Inc.)</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Total Investments in Non-Controlled, Non-Affiliated Portfolio Companies</w:t>
            </w: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114,829,621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Equivalents—7.6%</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6,987,450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121,817,071</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117,711,691</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(25,639,586)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926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right="6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5" w:lineRule="exact"/>
        <w:rPr>
          <w:sz w:val="20"/>
          <w:szCs w:val="20"/>
          <w:color w:val="auto"/>
        </w:rPr>
      </w:pPr>
    </w:p>
    <w:p>
      <w:pPr>
        <w:ind w:right="80" w:firstLine="799"/>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11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95" w:lineRule="exact"/>
        <w:rPr>
          <w:sz w:val="20"/>
          <w:szCs w:val="20"/>
          <w:color w:val="auto"/>
        </w:rPr>
      </w:pPr>
    </w:p>
    <w:p>
      <w:pPr>
        <w:jc w:val="both"/>
        <w:ind w:right="160" w:firstLine="456"/>
        <w:spacing w:after="0" w:line="278" w:lineRule="auto"/>
        <w:rPr>
          <w:sz w:val="20"/>
          <w:szCs w:val="20"/>
          <w:color w:val="auto"/>
        </w:rPr>
      </w:pPr>
      <w:r>
        <w:rPr>
          <w:rFonts w:ascii="Arial" w:cs="Arial" w:eastAsia="Arial" w:hAnsi="Arial"/>
          <w:sz w:val="12"/>
          <w:szCs w:val="12"/>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9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66" w:lineRule="exact"/>
        <w:rPr>
          <w:sz w:val="20"/>
          <w:szCs w:val="20"/>
          <w:color w:val="auto"/>
        </w:rPr>
      </w:pPr>
    </w:p>
    <w:p>
      <w:pPr>
        <w:jc w:val="both"/>
        <w:ind w:right="380" w:firstLine="456"/>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5" w:lineRule="exact"/>
        <w:rPr>
          <w:sz w:val="20"/>
          <w:szCs w:val="20"/>
          <w:color w:val="auto"/>
        </w:rPr>
      </w:pPr>
    </w:p>
    <w:p>
      <w:pPr>
        <w:ind w:right="60" w:firstLine="799"/>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5" w:lineRule="exact"/>
        <w:rPr>
          <w:sz w:val="20"/>
          <w:szCs w:val="20"/>
          <w:color w:val="auto"/>
        </w:rPr>
      </w:pPr>
    </w:p>
    <w:p>
      <w:pPr>
        <w:ind w:left="800" w:right="220" w:hanging="454"/>
        <w:spacing w:after="0" w:line="239" w:lineRule="auto"/>
        <w:tabs>
          <w:tab w:leader="none" w:pos="8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5" w:lineRule="exact"/>
        <w:rPr>
          <w:rFonts w:ascii="Arial" w:cs="Arial" w:eastAsia="Arial" w:hAnsi="Arial"/>
          <w:sz w:val="14"/>
          <w:szCs w:val="14"/>
          <w:color w:val="auto"/>
        </w:rPr>
      </w:pPr>
    </w:p>
    <w:p>
      <w:pPr>
        <w:ind w:left="800" w:hanging="454"/>
        <w:spacing w:after="0"/>
        <w:tabs>
          <w:tab w:leader="none" w:pos="8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20" w:hanging="454"/>
        <w:spacing w:after="0" w:line="233" w:lineRule="auto"/>
        <w:tabs>
          <w:tab w:leader="none" w:pos="8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5" w:lineRule="exact"/>
        <w:rPr>
          <w:rFonts w:ascii="Arial" w:cs="Arial" w:eastAsia="Arial" w:hAnsi="Arial"/>
          <w:sz w:val="14"/>
          <w:szCs w:val="14"/>
          <w:color w:val="auto"/>
        </w:rPr>
      </w:pPr>
    </w:p>
    <w:p>
      <w:pPr>
        <w:ind w:left="800" w:right="460" w:hanging="454"/>
        <w:spacing w:after="0" w:line="239" w:lineRule="auto"/>
        <w:tabs>
          <w:tab w:leader="none" w:pos="8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25" w:lineRule="exact"/>
        <w:rPr>
          <w:rFonts w:ascii="Arial" w:cs="Arial" w:eastAsia="Arial" w:hAnsi="Arial"/>
          <w:sz w:val="14"/>
          <w:szCs w:val="14"/>
          <w:color w:val="auto"/>
        </w:rPr>
      </w:pPr>
    </w:p>
    <w:p>
      <w:pPr>
        <w:ind w:left="800" w:right="460" w:hanging="454"/>
        <w:spacing w:after="0" w:line="239" w:lineRule="auto"/>
        <w:tabs>
          <w:tab w:leader="none" w:pos="8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1" w:lineRule="exact"/>
        <w:rPr>
          <w:rFonts w:ascii="Arial" w:cs="Arial" w:eastAsia="Arial" w:hAnsi="Arial"/>
          <w:sz w:val="14"/>
          <w:szCs w:val="14"/>
          <w:color w:val="auto"/>
        </w:rPr>
      </w:pPr>
    </w:p>
    <w:p>
      <w:pPr>
        <w:ind w:left="540" w:hanging="190"/>
        <w:spacing w:after="0"/>
        <w:tabs>
          <w:tab w:leader="none" w:pos="540" w:val="left"/>
        </w:tabs>
        <w:numPr>
          <w:ilvl w:val="1"/>
          <w:numId w:val="7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23"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1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9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23"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12"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23"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12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any its assets and are not intended to be available to the creditors of PennantPark Floating Rate Capital Ltd. (or any affiliate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25"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01"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13"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10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25" w:lineRule="exact"/>
        <w:rPr>
          <w:sz w:val="20"/>
          <w:szCs w:val="20"/>
          <w:color w:val="auto"/>
        </w:rPr>
      </w:pPr>
    </w:p>
    <w:p>
      <w:pPr>
        <w:ind w:right="120" w:firstLine="1141"/>
        <w:spacing w:after="0" w:line="233" w:lineRule="auto"/>
        <w:rPr>
          <w:sz w:val="20"/>
          <w:szCs w:val="20"/>
          <w:color w:val="auto"/>
        </w:rPr>
      </w:pPr>
      <w:r>
        <w:rPr>
          <w:rFonts w:ascii="Arial" w:cs="Arial" w:eastAsia="Arial" w:hAnsi="Arial"/>
          <w:sz w:val="14"/>
          <w:szCs w:val="14"/>
          <w:color w:val="auto"/>
        </w:rPr>
        <w:t>Purchases of long-term investments, including PIK, for the year ended September 30, 2012 totaled $128.8 million. Sales and repayments of long-term investments for the year ended September 30, 2012 totaled $71.5 million. Purchases of long-term investments, including PIK, for the period March 4, 2011 (commencement of operations) to September 30, 2011, totaled $147.5 million. Sales and repayments for the same period totaled $33.2 million.</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80" w:type="dxa"/>
            <w:vAlign w:val="bottom"/>
          </w:tcPr>
          <w:p>
            <w:pPr>
              <w:ind w:left="660"/>
              <w:spacing w:after="0"/>
              <w:rPr>
                <w:sz w:val="20"/>
                <w:szCs w:val="20"/>
                <w:color w:val="auto"/>
              </w:rPr>
            </w:pPr>
            <w:r>
              <w:rPr>
                <w:rFonts w:ascii="Arial" w:cs="Arial" w:eastAsia="Arial" w:hAnsi="Arial"/>
                <w:sz w:val="14"/>
                <w:szCs w:val="14"/>
                <w:color w:val="auto"/>
                <w:w w:val="87"/>
              </w:rPr>
              <w:t>Investments and cash equivalents consisted of the following:</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732"/>
              <w:spacing w:after="0"/>
              <w:rPr>
                <w:sz w:val="20"/>
                <w:szCs w:val="20"/>
                <w:color w:val="auto"/>
              </w:rPr>
            </w:pPr>
            <w:r>
              <w:rPr>
                <w:rFonts w:ascii="Arial" w:cs="Arial" w:eastAsia="Arial" w:hAnsi="Arial"/>
                <w:sz w:val="14"/>
                <w:szCs w:val="14"/>
                <w:b w:val="1"/>
                <w:bCs w:val="1"/>
                <w:color w:val="auto"/>
              </w:rPr>
              <w:t>September 30, 2012</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82"/>
              </w:rPr>
              <w:t>150,258,038</w:t>
            </w: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6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94,975,314</w:t>
            </w: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91,363,126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11,608,643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12,379,445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9,194,181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Preferred and common equity</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517,147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171,578,009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114,829,621</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3,845,803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3,845,803</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175,423,812</w:t>
            </w:r>
          </w:p>
        </w:tc>
        <w:tc>
          <w:tcPr>
            <w:tcW w:w="4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8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121,817,071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F-17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67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7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 as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September 30:</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360" w:type="dxa"/>
            <w:vAlign w:val="bottom"/>
            <w:tcBorders>
              <w:bottom w:val="single" w:sz="8" w:color="auto"/>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r>
      <w:tr>
        <w:trPr>
          <w:trHeight w:val="142"/>
        </w:trPr>
        <w:tc>
          <w:tcPr>
            <w:tcW w:w="3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2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960"/>
              <w:spacing w:after="0" w:line="142"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Hotel, Gaming and Leisure</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Telecommunications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Metals and Mining</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4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Wholesale</w:t>
            </w:r>
          </w:p>
        </w:tc>
        <w:tc>
          <w:tcPr>
            <w:tcW w:w="4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Energy: Oil and Gas</w:t>
            </w:r>
          </w:p>
        </w:tc>
        <w:tc>
          <w:tcPr>
            <w:tcW w:w="2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3200" w:type="dxa"/>
            <w:vAlign w:val="bottom"/>
            <w:gridSpan w:val="2"/>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r>
      <w:tr>
        <w:trPr>
          <w:trHeight w:val="156"/>
        </w:trPr>
        <w:tc>
          <w:tcPr>
            <w:tcW w:w="3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3200" w:type="dxa"/>
            <w:vAlign w:val="bottom"/>
            <w:gridSpan w:val="2"/>
          </w:tcPr>
          <w:p>
            <w:pPr>
              <w:spacing w:after="0"/>
              <w:rPr>
                <w:sz w:val="13"/>
                <w:szCs w:val="13"/>
                <w:color w:val="auto"/>
              </w:rPr>
            </w:pPr>
          </w:p>
        </w:tc>
        <w:tc>
          <w:tcPr>
            <w:tcW w:w="1880" w:type="dxa"/>
            <w:vAlign w:val="bottom"/>
            <w:gridSpan w:val="2"/>
          </w:tcPr>
          <w:p>
            <w:pPr>
              <w:jc w:val="right"/>
              <w:ind w:right="960"/>
              <w:spacing w:after="0" w:line="155" w:lineRule="exact"/>
              <w:rPr>
                <w:sz w:val="20"/>
                <w:szCs w:val="20"/>
                <w:color w:val="auto"/>
              </w:rPr>
            </w:pPr>
            <w:r>
              <w:rPr>
                <w:rFonts w:ascii="Arial" w:cs="Arial" w:eastAsia="Arial" w:hAnsi="Arial"/>
                <w:sz w:val="14"/>
                <w:szCs w:val="14"/>
                <w:color w:val="auto"/>
              </w:rPr>
              <w:t>100%</w:t>
            </w: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3540" w:type="dxa"/>
            <w:vAlign w:val="bottom"/>
          </w:tcPr>
          <w:p>
            <w:pPr>
              <w:spacing w:after="0"/>
              <w:rPr>
                <w:sz w:val="24"/>
                <w:szCs w:val="24"/>
                <w:color w:val="auto"/>
              </w:rPr>
            </w:pPr>
          </w:p>
        </w:tc>
        <w:tc>
          <w:tcPr>
            <w:tcW w:w="5080" w:type="dxa"/>
            <w:vAlign w:val="bottom"/>
            <w:gridSpan w:val="4"/>
          </w:tcPr>
          <w:p>
            <w:pPr>
              <w:jc w:val="right"/>
              <w:ind w:right="3700"/>
              <w:spacing w:after="0"/>
              <w:rPr>
                <w:sz w:val="20"/>
                <w:szCs w:val="20"/>
                <w:color w:val="auto"/>
              </w:rPr>
            </w:pPr>
            <w:r>
              <w:rPr>
                <w:rFonts w:ascii="Arial" w:cs="Arial" w:eastAsia="Arial" w:hAnsi="Arial"/>
                <w:sz w:val="14"/>
                <w:szCs w:val="14"/>
                <w:color w:val="auto"/>
              </w:rPr>
              <w:t>F-18</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740"/>
          </w:cols>
          <w:pgMar w:left="240" w:top="459" w:right="9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25"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420" w:right="620" w:hanging="944"/>
        <w:spacing w:after="0" w:line="318" w:lineRule="auto"/>
        <w:tabs>
          <w:tab w:leader="none" w:pos="14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9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3"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12"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6"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Fair Value as of</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1"/>
        </w:trPr>
        <w:tc>
          <w:tcPr>
            <w:tcW w:w="4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 2012</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Valuation Technique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Unobservable Input</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 second lien, subordinated debt/corporate notes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155,983,312</w:t>
            </w:r>
          </w:p>
        </w:tc>
        <w:tc>
          <w:tcPr>
            <w:tcW w:w="1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Market Comparable</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Broker/Dealer bid quotes</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1 - 6</w:t>
            </w: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4100" w:type="dxa"/>
            <w:vAlign w:val="bottom"/>
            <w:gridSpan w:val="3"/>
          </w:tcPr>
          <w:p>
            <w:pPr>
              <w:spacing w:after="0"/>
              <w:rPr>
                <w:sz w:val="20"/>
                <w:szCs w:val="20"/>
                <w:color w:val="auto"/>
              </w:rPr>
            </w:pPr>
            <w:r>
              <w:rPr>
                <w:rFonts w:ascii="Arial" w:cs="Arial" w:eastAsia="Arial" w:hAnsi="Arial"/>
                <w:sz w:val="14"/>
                <w:szCs w:val="14"/>
                <w:color w:val="auto"/>
              </w:rPr>
              <w:t>First lien, second lien, subordinated debt/corporate notes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11,760,650</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Market Comparable</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Market Yield</w:t>
            </w:r>
          </w:p>
        </w:tc>
        <w:tc>
          <w:tcPr>
            <w:tcW w:w="960" w:type="dxa"/>
            <w:vAlign w:val="bottom"/>
          </w:tcPr>
          <w:p>
            <w:pPr>
              <w:jc w:val="right"/>
              <w:spacing w:after="0"/>
              <w:rPr>
                <w:sz w:val="20"/>
                <w:szCs w:val="20"/>
                <w:color w:val="auto"/>
              </w:rPr>
            </w:pPr>
            <w:r>
              <w:rPr>
                <w:rFonts w:ascii="Arial" w:cs="Arial" w:eastAsia="Arial" w:hAnsi="Arial"/>
                <w:sz w:val="14"/>
                <w:szCs w:val="14"/>
                <w:color w:val="auto"/>
              </w:rPr>
              <w:t>7.3% -15.3%</w:t>
            </w:r>
          </w:p>
        </w:tc>
        <w:tc>
          <w:tcPr>
            <w:tcW w:w="680" w:type="dxa"/>
            <w:vAlign w:val="bottom"/>
          </w:tcPr>
          <w:p>
            <w:pPr>
              <w:ind w:left="2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1,302,438</w:t>
            </w: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Enterprise Market Value</w:t>
            </w:r>
          </w:p>
        </w:tc>
        <w:tc>
          <w:tcPr>
            <w:tcW w:w="20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EBITDA multiple</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6.5x – 8.5x</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(6.8x)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Pr>
          <w:p>
            <w:pPr>
              <w:spacing w:after="0"/>
              <w:rPr>
                <w:sz w:val="13"/>
                <w:szCs w:val="13"/>
                <w:color w:val="auto"/>
              </w:rPr>
            </w:pPr>
          </w:p>
        </w:tc>
        <w:tc>
          <w:tcPr>
            <w:tcW w:w="1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169,046,400</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75,122,500</w:t>
            </w:r>
          </w:p>
        </w:tc>
        <w:tc>
          <w:tcPr>
            <w:tcW w:w="194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7"/>
              </w:rPr>
              <w:t>Market Comparable</w:t>
            </w:r>
          </w:p>
        </w:tc>
        <w:tc>
          <w:tcPr>
            <w:tcW w:w="202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7"/>
              </w:rPr>
              <w:t>Discount rate</w:t>
            </w:r>
          </w:p>
        </w:tc>
        <w:tc>
          <w:tcPr>
            <w:tcW w:w="960" w:type="dxa"/>
            <w:vAlign w:val="bottom"/>
            <w:shd w:val="clear" w:color="auto" w:fill="CCEEFF"/>
          </w:tcPr>
          <w:p>
            <w:pPr>
              <w:jc w:val="center"/>
              <w:ind w:left="612"/>
              <w:spacing w:after="0" w:line="143" w:lineRule="exact"/>
              <w:rPr>
                <w:sz w:val="20"/>
                <w:szCs w:val="20"/>
                <w:color w:val="auto"/>
              </w:rPr>
            </w:pPr>
            <w:r>
              <w:rPr>
                <w:rFonts w:ascii="Arial" w:cs="Arial" w:eastAsia="Arial" w:hAnsi="Arial"/>
                <w:sz w:val="14"/>
                <w:szCs w:val="14"/>
                <w:color w:val="auto"/>
                <w:w w:val="87"/>
              </w:rPr>
              <w:t>3.1%</w:t>
            </w: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3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9"/>
          </w:tcPr>
          <w:p>
            <w:pPr>
              <w:jc w:val="right"/>
              <w:ind w:right="109"/>
              <w:spacing w:after="0"/>
              <w:rPr>
                <w:sz w:val="20"/>
                <w:szCs w:val="20"/>
                <w:color w:val="auto"/>
              </w:rPr>
            </w:pPr>
            <w:r>
              <w:rPr>
                <w:rFonts w:ascii="Arial" w:cs="Arial" w:eastAsia="Arial" w:hAnsi="Arial"/>
                <w:sz w:val="14"/>
                <w:szCs w:val="14"/>
                <w:b w:val="1"/>
                <w:bCs w:val="1"/>
                <w:color w:val="auto"/>
              </w:rPr>
              <w:t>Fair Value Measurements at September 30, 2012</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5,508,719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3"/>
              </w:rPr>
              <w:t>3,845,803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 and cash equivalents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3,845,803</w:t>
            </w:r>
          </w:p>
        </w:tc>
        <w:tc>
          <w:tcPr>
            <w:tcW w:w="4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2,788,000</w:t>
            </w:r>
          </w:p>
        </w:tc>
        <w:tc>
          <w:tcPr>
            <w:tcW w:w="4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gridSpan w:val="2"/>
            <w:vMerge w:val="continue"/>
          </w:tcPr>
          <w:p>
            <w:pPr>
              <w:spacing w:after="0"/>
              <w:rPr>
                <w:sz w:val="12"/>
                <w:szCs w:val="12"/>
                <w:color w:val="auto"/>
              </w:rPr>
            </w:pP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right"/>
              <w:ind w:right="129"/>
              <w:spacing w:after="0"/>
              <w:rPr>
                <w:sz w:val="20"/>
                <w:szCs w:val="20"/>
                <w:color w:val="auto"/>
              </w:rPr>
            </w:pPr>
            <w:r>
              <w:rPr>
                <w:rFonts w:ascii="Arial" w:cs="Arial" w:eastAsia="Arial" w:hAnsi="Arial"/>
                <w:sz w:val="14"/>
                <w:szCs w:val="14"/>
                <w:b w:val="1"/>
                <w:bCs w:val="1"/>
                <w:color w:val="auto"/>
                <w:w w:val="86"/>
              </w:rPr>
              <w:t>Fair Value Measurements at September 30, 2011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8"/>
              </w:rPr>
              <w:t>Fair Value</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Level 1</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91,363,126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2,033,747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12,255,000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5,849,130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110,724,241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3,188,747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6,987,450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6"/>
              </w:rPr>
              <w:t>6,987,450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investments and cash equivalents</w:t>
            </w:r>
          </w:p>
        </w:tc>
        <w:tc>
          <w:tcPr>
            <w:tcW w:w="1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117,711,691</w:t>
            </w: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6,987,450</w:t>
            </w:r>
          </w:p>
        </w:tc>
        <w:tc>
          <w:tcPr>
            <w:tcW w:w="3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3,188,747</w:t>
            </w: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107,535,494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2020" w:type="dxa"/>
            <w:vAlign w:val="bottom"/>
            <w:gridSpan w:val="3"/>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24,650,000</w:t>
            </w:r>
          </w:p>
        </w:tc>
        <w:tc>
          <w:tcPr>
            <w:tcW w:w="4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24,650,000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80" w:type="dxa"/>
            <w:vAlign w:val="bottom"/>
          </w:tcPr>
          <w:p>
            <w:pPr>
              <w:spacing w:after="0"/>
              <w:rPr>
                <w:sz w:val="24"/>
                <w:szCs w:val="24"/>
                <w:color w:val="auto"/>
              </w:rPr>
            </w:pPr>
          </w:p>
        </w:tc>
        <w:tc>
          <w:tcPr>
            <w:tcW w:w="2020" w:type="dxa"/>
            <w:vAlign w:val="bottom"/>
            <w:gridSpan w:val="3"/>
          </w:tcPr>
          <w:p>
            <w:pPr>
              <w:jc w:val="right"/>
              <w:ind w:right="369"/>
              <w:spacing w:after="0"/>
              <w:rPr>
                <w:sz w:val="20"/>
                <w:szCs w:val="20"/>
                <w:color w:val="auto"/>
              </w:rPr>
            </w:pPr>
            <w:r>
              <w:rPr>
                <w:rFonts w:ascii="Arial" w:cs="Arial" w:eastAsia="Arial" w:hAnsi="Arial"/>
                <w:sz w:val="14"/>
                <w:szCs w:val="14"/>
                <w:color w:val="auto"/>
              </w:rPr>
              <w:t>F-20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5"/>
              </w:rPr>
              <w:t>Year Ended September 30, 2012</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5"/>
              </w:rPr>
              <w:t>subordinated debt</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5"/>
                <w:szCs w:val="15"/>
                <w:color w:val="auto"/>
              </w:rPr>
            </w:pPr>
          </w:p>
        </w:tc>
        <w:tc>
          <w:tcPr>
            <w:tcW w:w="10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First Lien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4"/>
          </w:tcPr>
          <w:p>
            <w:pPr>
              <w:jc w:val="center"/>
              <w:ind w:right="420"/>
              <w:spacing w:after="0" w:line="176" w:lineRule="exact"/>
              <w:rPr>
                <w:sz w:val="20"/>
                <w:szCs w:val="20"/>
                <w:color w:val="auto"/>
              </w:rPr>
            </w:pPr>
            <w:r>
              <w:rPr>
                <w:rFonts w:ascii="Arial" w:cs="Arial" w:eastAsia="Arial" w:hAnsi="Arial"/>
                <w:sz w:val="13"/>
                <w:szCs w:val="13"/>
                <w:b w:val="1"/>
                <w:bCs w:val="1"/>
                <w:color w:val="auto"/>
                <w:w w:val="90"/>
              </w:rPr>
              <w:t xml:space="preserve">and equity investments </w:t>
            </w:r>
            <w:r>
              <w:rPr>
                <w:rFonts w:ascii="Arial" w:cs="Arial" w:eastAsia="Arial" w:hAnsi="Arial"/>
                <w:sz w:val="20"/>
                <w:szCs w:val="20"/>
                <w:b w:val="1"/>
                <w:bCs w:val="1"/>
                <w:color w:val="auto"/>
                <w:w w:val="90"/>
                <w:vertAlign w:val="superscript"/>
              </w:rPr>
              <w:t>(1)</w:t>
            </w:r>
          </w:p>
        </w:tc>
        <w:tc>
          <w:tcPr>
            <w:tcW w:w="2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September 30, 2011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18,206,115</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107,535,494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630,647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278,832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3,543,311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1,422,002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4,965,313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114,967,516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7,945,929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122,913,445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140" w:type="dxa"/>
            <w:vAlign w:val="bottom"/>
            <w:shd w:val="clear" w:color="auto" w:fill="CCEEFF"/>
          </w:tcPr>
          <w:p>
            <w:pPr>
              <w:spacing w:after="0"/>
              <w:rPr>
                <w:sz w:val="12"/>
                <w:szCs w:val="12"/>
                <w:color w:val="auto"/>
              </w:rPr>
            </w:pPr>
          </w:p>
        </w:tc>
        <w:tc>
          <w:tcPr>
            <w:tcW w:w="10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(58,261,106)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(9,016,225)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(67,277,331)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2012</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150,209,747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18,836,653</w:t>
            </w:r>
          </w:p>
        </w:tc>
        <w:tc>
          <w:tcPr>
            <w:tcW w:w="3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appreciation for the year ended September 30, 2012 reported within the net change in</w:t>
            </w: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unrealized appreciation on investments in our Consolidated Statement of Operations attributable to our Level 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assets still held at the reporting date.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4,140,166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1,424,404</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5,564,570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gridSpan w:val="12"/>
          </w:tcPr>
          <w:p>
            <w:pPr>
              <w:jc w:val="right"/>
              <w:ind w:right="400"/>
              <w:spacing w:after="0"/>
              <w:rPr>
                <w:sz w:val="20"/>
                <w:szCs w:val="20"/>
                <w:color w:val="auto"/>
              </w:rPr>
            </w:pPr>
            <w:r>
              <w:rPr>
                <w:rFonts w:ascii="Arial" w:cs="Arial" w:eastAsia="Arial" w:hAnsi="Arial"/>
                <w:sz w:val="14"/>
                <w:szCs w:val="14"/>
                <w:b w:val="1"/>
                <w:bCs w:val="1"/>
                <w:color w:val="auto"/>
                <w:w w:val="91"/>
              </w:rPr>
              <w:t>For the period March 4, 2011 (commencement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September 30, 2011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4"/>
              </w:rPr>
              <w:t>Second lien, subordinated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and equity investments</w:t>
            </w:r>
          </w:p>
        </w:tc>
        <w:tc>
          <w:tcPr>
            <w:tcW w:w="2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 March 4, 2011</w:t>
            </w:r>
          </w:p>
        </w:tc>
        <w:tc>
          <w:tcPr>
            <w:tcW w:w="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218,684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93,319</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(3,591,606)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(123,301)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121,246,206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22,766,732</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144,012,938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(28,543,905)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(4,530,635)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2011</w:t>
            </w:r>
          </w:p>
        </w:tc>
        <w:tc>
          <w:tcPr>
            <w:tcW w:w="1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89,329,379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18,206,115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4"/>
                <w:szCs w:val="14"/>
                <w:color w:val="auto"/>
                <w:w w:val="89"/>
              </w:rPr>
              <w:t>Net change in unrealized appreciation (depreciation) for the period reported within the net change in unrealized depreciation</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8"/>
              </w:rPr>
              <w:t>on investments in our Consolidated Statement of Operations attributable to our Level 3 assets still held at the reporting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date.</w:t>
            </w:r>
          </w:p>
        </w:tc>
        <w:tc>
          <w:tcPr>
            <w:tcW w:w="1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5"/>
          </w:tcPr>
          <w:p>
            <w:pPr>
              <w:jc w:val="right"/>
              <w:spacing w:after="0" w:line="159" w:lineRule="exact"/>
              <w:rPr>
                <w:sz w:val="20"/>
                <w:szCs w:val="20"/>
                <w:color w:val="auto"/>
              </w:rPr>
            </w:pPr>
            <w:r>
              <w:rPr>
                <w:rFonts w:ascii="Arial" w:cs="Arial" w:eastAsia="Arial" w:hAnsi="Arial"/>
                <w:sz w:val="14"/>
                <w:szCs w:val="14"/>
                <w:color w:val="auto"/>
              </w:rPr>
              <w:t>(3,591,606)</w:t>
            </w:r>
          </w:p>
        </w:tc>
        <w:tc>
          <w:tcPr>
            <w:tcW w:w="3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(123,301)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4"/>
          </w:tcPr>
          <w:p>
            <w:pPr>
              <w:jc w:val="right"/>
              <w:ind w:right="1540"/>
              <w:spacing w:after="0"/>
              <w:rPr>
                <w:sz w:val="20"/>
                <w:szCs w:val="20"/>
                <w:color w:val="auto"/>
              </w:rPr>
            </w:pPr>
            <w:r>
              <w:rPr>
                <w:rFonts w:ascii="Arial" w:cs="Arial" w:eastAsia="Arial" w:hAnsi="Arial"/>
                <w:sz w:val="14"/>
                <w:szCs w:val="14"/>
                <w:b w:val="1"/>
                <w:bCs w:val="1"/>
                <w:color w:val="auto"/>
                <w:w w:val="91"/>
              </w:rPr>
              <w:t>Carrying / 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tcPr>
          <w:p>
            <w:pPr>
              <w:jc w:val="center"/>
              <w:ind w:right="72"/>
              <w:spacing w:after="0" w:line="129" w:lineRule="exact"/>
              <w:rPr>
                <w:sz w:val="20"/>
                <w:szCs w:val="20"/>
                <w:color w:val="auto"/>
              </w:rPr>
            </w:pPr>
            <w:r>
              <w:rPr>
                <w:rFonts w:ascii="Arial" w:cs="Arial" w:eastAsia="Arial" w:hAnsi="Arial"/>
                <w:sz w:val="14"/>
                <w:szCs w:val="14"/>
                <w:b w:val="1"/>
                <w:bCs w:val="1"/>
                <w:color w:val="auto"/>
                <w:w w:val="89"/>
              </w:rPr>
              <w:t>For the period March 4, 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September 30, 2012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Long-Term Credit Facility</w:t>
            </w:r>
          </w:p>
        </w:tc>
        <w:tc>
          <w:tcPr>
            <w:tcW w:w="1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spacing w:after="0" w:line="149" w:lineRule="exact"/>
              <w:rPr>
                <w:sz w:val="20"/>
                <w:szCs w:val="20"/>
                <w:color w:val="auto"/>
              </w:rPr>
            </w:pPr>
            <w:r>
              <w:rPr>
                <w:rFonts w:ascii="Arial" w:cs="Arial" w:eastAsia="Arial" w:hAnsi="Arial"/>
                <w:sz w:val="14"/>
                <w:szCs w:val="14"/>
                <w:color w:val="auto"/>
              </w:rPr>
              <w:t>Beginning Balance, September 30, 2011 (cost – $24,650,000)</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24,650,000</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(377,500)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Borrowings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97,650,000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(46,800,000)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2012 (cost – $75,500,000 and $24,650,000, respectively)</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75,122,500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 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5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September 30, 2012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September 30, 2011 *</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3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76"/>
              </w:rPr>
              <w:t>$</w:t>
            </w:r>
          </w:p>
        </w:tc>
        <w:tc>
          <w:tcPr>
            <w:tcW w:w="2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6,850,667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jc w:val="right"/>
              <w:spacing w:after="0" w:line="149" w:lineRule="exact"/>
              <w:rPr>
                <w:sz w:val="20"/>
                <w:szCs w:val="20"/>
                <w:color w:val="auto"/>
              </w:rPr>
            </w:pPr>
            <w:r>
              <w:rPr>
                <w:rFonts w:ascii="Arial" w:cs="Arial" w:eastAsia="Arial" w:hAnsi="Arial"/>
                <w:sz w:val="14"/>
                <w:szCs w:val="14"/>
                <w:color w:val="auto"/>
              </w:rPr>
              <w:t>6,826,105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per share resulting from operations</w:t>
            </w:r>
          </w:p>
        </w:tc>
        <w:tc>
          <w:tcPr>
            <w:tcW w:w="5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w:t>
            </w:r>
          </w:p>
        </w:tc>
        <w:tc>
          <w:tcPr>
            <w:tcW w:w="4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Weighted average shares is based on the initial public offering issuance date of April 13, 2011.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71" w:lineRule="exact"/>
        <w:rPr>
          <w:sz w:val="20"/>
          <w:szCs w:val="20"/>
          <w:color w:val="auto"/>
        </w:rPr>
      </w:pPr>
    </w:p>
    <w:p>
      <w:pPr>
        <w:ind w:right="460" w:firstLine="456"/>
        <w:spacing w:after="0" w:line="288" w:lineRule="auto"/>
        <w:rPr>
          <w:sz w:val="20"/>
          <w:szCs w:val="20"/>
          <w:color w:val="auto"/>
        </w:rPr>
      </w:pPr>
      <w:r>
        <w:rPr>
          <w:rFonts w:ascii="Arial" w:cs="Arial" w:eastAsia="Arial" w:hAnsi="Arial"/>
          <w:sz w:val="12"/>
          <w:szCs w:val="12"/>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84"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112" w:lineRule="exact"/>
        <w:rPr>
          <w:sz w:val="20"/>
          <w:szCs w:val="20"/>
          <w:color w:val="auto"/>
        </w:rPr>
      </w:pPr>
    </w:p>
    <w:p>
      <w:pPr>
        <w:ind w:right="400" w:firstLine="456"/>
        <w:spacing w:after="0" w:line="239" w:lineRule="auto"/>
        <w:rPr>
          <w:sz w:val="20"/>
          <w:szCs w:val="20"/>
          <w:color w:val="auto"/>
        </w:rPr>
      </w:pPr>
      <w:r>
        <w:rPr>
          <w:rFonts w:ascii="Arial" w:cs="Arial" w:eastAsia="Arial" w:hAnsi="Arial"/>
          <w:sz w:val="14"/>
          <w:szCs w:val="14"/>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September 30, 2012</w:t>
            </w:r>
          </w:p>
        </w:tc>
      </w:tr>
      <w:tr>
        <w:trPr>
          <w:trHeight w:val="142"/>
        </w:trPr>
        <w:tc>
          <w:tcPr>
            <w:tcW w:w="5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Decrease in paid-in capital</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(3,952)</w:t>
            </w:r>
          </w:p>
        </w:tc>
        <w:tc>
          <w:tcPr>
            <w:tcW w:w="100" w:type="dxa"/>
            <w:vAlign w:val="bottom"/>
            <w:tcBorders>
              <w:top w:val="single" w:sz="8" w:color="CCEEFF"/>
            </w:tcBorders>
            <w:shd w:val="clear" w:color="auto" w:fill="CCEEFF"/>
          </w:tcPr>
          <w:p>
            <w:pPr>
              <w:spacing w:after="0"/>
              <w:rPr>
                <w:sz w:val="12"/>
                <w:szCs w:val="12"/>
                <w:color w:val="auto"/>
              </w:rPr>
            </w:pPr>
          </w:p>
        </w:tc>
      </w:tr>
      <w:tr>
        <w:trPr>
          <w:trHeight w:val="172"/>
        </w:trPr>
        <w:tc>
          <w:tcPr>
            <w:tcW w:w="5080" w:type="dxa"/>
            <w:vAlign w:val="bottom"/>
          </w:tcPr>
          <w:p>
            <w:pPr>
              <w:spacing w:after="0"/>
              <w:rPr>
                <w:sz w:val="20"/>
                <w:szCs w:val="20"/>
                <w:color w:val="auto"/>
              </w:rPr>
            </w:pPr>
            <w:r>
              <w:rPr>
                <w:rFonts w:ascii="Arial" w:cs="Arial" w:eastAsia="Arial" w:hAnsi="Arial"/>
                <w:sz w:val="14"/>
                <w:szCs w:val="14"/>
                <w:color w:val="auto"/>
              </w:rPr>
              <w:t>Increase in undistributed net investment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3,952</w:t>
            </w:r>
          </w:p>
        </w:tc>
      </w:tr>
    </w:tbl>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March 4, 2011</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September 30, 2012</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September 30, 2011</w:t>
            </w:r>
          </w:p>
        </w:tc>
      </w:tr>
      <w:tr>
        <w:trPr>
          <w:trHeight w:val="142"/>
        </w:trPr>
        <w:tc>
          <w:tcPr>
            <w:tcW w:w="20" w:type="dxa"/>
            <w:vAlign w:val="bottom"/>
          </w:tcPr>
          <w:p>
            <w:pPr>
              <w:spacing w:after="0"/>
              <w:rPr>
                <w:sz w:val="12"/>
                <w:szCs w:val="12"/>
                <w:color w:val="auto"/>
              </w:rPr>
            </w:pPr>
          </w:p>
        </w:tc>
        <w:tc>
          <w:tcPr>
            <w:tcW w:w="4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w w:val="76"/>
              </w:rPr>
              <w:t>$</w:t>
            </w:r>
          </w:p>
        </w:tc>
        <w:tc>
          <w:tcPr>
            <w:tcW w:w="2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w w:val="76"/>
              </w:rPr>
              <w:t>$</w:t>
            </w:r>
          </w:p>
        </w:tc>
        <w:tc>
          <w:tcPr>
            <w:tcW w:w="3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4520" w:type="dxa"/>
            <w:vAlign w:val="bottom"/>
          </w:tcPr>
          <w:p>
            <w:pPr>
              <w:spacing w:after="0" w:line="138" w:lineRule="exact"/>
              <w:rPr>
                <w:sz w:val="20"/>
                <w:szCs w:val="20"/>
                <w:color w:val="auto"/>
              </w:rPr>
            </w:pPr>
            <w:r>
              <w:rPr>
                <w:rFonts w:ascii="Arial" w:cs="Arial" w:eastAsia="Arial" w:hAnsi="Arial"/>
                <w:sz w:val="14"/>
                <w:szCs w:val="14"/>
                <w:color w:val="auto"/>
                <w:w w:val="91"/>
              </w:rPr>
              <w:t>Net change in unrealized (depreciation) appreciation on investments and Credit</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520" w:type="dxa"/>
            <w:vAlign w:val="bottom"/>
          </w:tcPr>
          <w:p>
            <w:pPr>
              <w:ind w:left="200"/>
              <w:spacing w:after="0" w:line="159" w:lineRule="exact"/>
              <w:rPr>
                <w:sz w:val="20"/>
                <w:szCs w:val="20"/>
                <w:color w:val="auto"/>
              </w:rPr>
            </w:pPr>
            <w:r>
              <w:rPr>
                <w:rFonts w:ascii="Arial" w:cs="Arial" w:eastAsia="Arial" w:hAnsi="Arial"/>
                <w:sz w:val="14"/>
                <w:szCs w:val="14"/>
                <w:color w:val="auto"/>
              </w:rPr>
              <w:t>Facility transactions not taxable</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(4,739,272)</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360" w:type="dxa"/>
            <w:vAlign w:val="bottom"/>
          </w:tcPr>
          <w:p>
            <w:pPr>
              <w:jc w:val="right"/>
              <w:spacing w:after="0" w:line="159" w:lineRule="exact"/>
              <w:rPr>
                <w:sz w:val="20"/>
                <w:szCs w:val="20"/>
                <w:color w:val="auto"/>
              </w:rPr>
            </w:pPr>
            <w:r>
              <w:rPr>
                <w:rFonts w:ascii="Arial" w:cs="Arial" w:eastAsia="Arial" w:hAnsi="Arial"/>
                <w:sz w:val="14"/>
                <w:szCs w:val="14"/>
                <w:color w:val="auto"/>
              </w:rPr>
              <w:t>4,105,380</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307,975</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1,297,741</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Other non deductible expenses</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net income before deductions for distribution</w:t>
            </w:r>
          </w:p>
        </w:tc>
        <w:tc>
          <w:tcPr>
            <w:tcW w:w="62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7,571,608</w:t>
            </w:r>
          </w:p>
        </w:tc>
        <w:tc>
          <w:tcPr>
            <w:tcW w:w="58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1,929,868</w:t>
            </w:r>
          </w:p>
        </w:tc>
        <w:tc>
          <w:tcPr>
            <w:tcW w:w="12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components of accumulated surplus (deficit) on book basis and a reconciliation to accumulated surplus (deficit) on a tax basis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5"/>
              </w:rPr>
              <w:t>As of September 30, 2012</w:t>
            </w:r>
          </w:p>
        </w:tc>
        <w:tc>
          <w:tcPr>
            <w:tcW w:w="580" w:type="dxa"/>
            <w:vAlign w:val="bottom"/>
          </w:tcPr>
          <w:p>
            <w:pPr>
              <w:spacing w:after="0"/>
              <w:rPr>
                <w:sz w:val="14"/>
                <w:szCs w:val="14"/>
                <w:color w:val="auto"/>
              </w:rPr>
            </w:pPr>
          </w:p>
        </w:tc>
        <w:tc>
          <w:tcPr>
            <w:tcW w:w="318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As of September 30, 2011</w:t>
            </w:r>
          </w:p>
        </w:tc>
        <w:tc>
          <w:tcPr>
            <w:tcW w:w="0" w:type="dxa"/>
            <w:vAlign w:val="bottom"/>
          </w:tcPr>
          <w:p>
            <w:pPr>
              <w:spacing w:after="0"/>
              <w:rPr>
                <w:sz w:val="1"/>
                <w:szCs w:val="1"/>
                <w:color w:val="auto"/>
              </w:rPr>
            </w:pPr>
          </w:p>
        </w:tc>
      </w:tr>
      <w:tr>
        <w:trPr>
          <w:trHeight w:val="142"/>
        </w:trPr>
        <w:tc>
          <w:tcPr>
            <w:tcW w:w="4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2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2,139,738</w:t>
            </w:r>
          </w:p>
        </w:tc>
        <w:tc>
          <w:tcPr>
            <w:tcW w:w="4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w w:val="76"/>
              </w:rPr>
              <w:t>$</w:t>
            </w:r>
          </w:p>
        </w:tc>
        <w:tc>
          <w:tcPr>
            <w:tcW w:w="3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696,748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Dividends payable and other temporary differences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(2,228,826)</w:t>
            </w:r>
          </w:p>
        </w:tc>
        <w:tc>
          <w:tcPr>
            <w:tcW w:w="580" w:type="dxa"/>
            <w:vAlign w:val="bottom"/>
          </w:tcPr>
          <w:p>
            <w:pPr>
              <w:spacing w:after="0"/>
              <w:rPr>
                <w:sz w:val="12"/>
                <w:szCs w:val="12"/>
                <w:color w:val="auto"/>
              </w:rPr>
            </w:pPr>
          </w:p>
        </w:tc>
        <w:tc>
          <w:tcPr>
            <w:tcW w:w="3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(1,777,288)</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633,891</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Total accumulated surplus (deficit)</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240" w:type="dxa"/>
            <w:vAlign w:val="bottom"/>
            <w:gridSpan w:val="2"/>
          </w:tcPr>
          <w:p>
            <w:pPr>
              <w:jc w:val="right"/>
              <w:ind w:right="157"/>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line="155" w:lineRule="exact"/>
              <w:rPr>
                <w:sz w:val="20"/>
                <w:szCs w:val="20"/>
                <w:color w:val="auto"/>
              </w:rPr>
            </w:pPr>
            <w:r>
              <w:rPr>
                <w:rFonts w:ascii="Arial" w:cs="Arial" w:eastAsia="Arial" w:hAnsi="Arial"/>
                <w:sz w:val="14"/>
                <w:szCs w:val="14"/>
                <w:color w:val="auto"/>
              </w:rPr>
              <w:t>544,803</w:t>
            </w:r>
          </w:p>
        </w:tc>
        <w:tc>
          <w:tcPr>
            <w:tcW w:w="440" w:type="dxa"/>
            <w:vAlign w:val="bottom"/>
          </w:tcPr>
          <w:p>
            <w:pPr>
              <w:spacing w:after="0"/>
              <w:rPr>
                <w:sz w:val="13"/>
                <w:szCs w:val="13"/>
                <w:color w:val="auto"/>
              </w:rPr>
            </w:pPr>
          </w:p>
        </w:tc>
        <w:tc>
          <w:tcPr>
            <w:tcW w:w="580" w:type="dxa"/>
            <w:vAlign w:val="bottom"/>
          </w:tcPr>
          <w:p>
            <w:pPr>
              <w:jc w:val="right"/>
              <w:ind w:right="432"/>
              <w:spacing w:after="0" w:line="155" w:lineRule="exact"/>
              <w:rPr>
                <w:sz w:val="20"/>
                <w:szCs w:val="20"/>
                <w:color w:val="auto"/>
              </w:rPr>
            </w:pPr>
            <w:r>
              <w:rPr>
                <w:rFonts w:ascii="Arial" w:cs="Arial" w:eastAsia="Arial" w:hAnsi="Arial"/>
                <w:sz w:val="14"/>
                <w:szCs w:val="14"/>
                <w:color w:val="auto"/>
                <w:w w:val="76"/>
              </w:rPr>
              <w:t>$</w:t>
            </w:r>
          </w:p>
        </w:tc>
        <w:tc>
          <w:tcPr>
            <w:tcW w:w="3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(5,185,920)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In accordance with Section 19(a) under the 1940 Act, $103,884 of the Company’s distributions paid to stockholders during the fiscal year ended September 30, 2012 represent a distribution of long-term realized capital gains. The tax characteristics of dividends accrued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jc w:val="right"/>
              <w:ind w:right="752"/>
              <w:spacing w:after="0" w:line="149" w:lineRule="exact"/>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ind w:right="532"/>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1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2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6,130,222</w:t>
            </w:r>
          </w:p>
        </w:tc>
        <w:tc>
          <w:tcPr>
            <w:tcW w:w="4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w w:val="76"/>
              </w:rPr>
              <w:t>$</w:t>
            </w:r>
          </w:p>
        </w:tc>
        <w:tc>
          <w:tcPr>
            <w:tcW w:w="3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1,712,667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103,884</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020" w:type="dxa"/>
            <w:vAlign w:val="bottom"/>
            <w:gridSpan w:val="2"/>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6,234,106</w:t>
            </w:r>
          </w:p>
        </w:tc>
        <w:tc>
          <w:tcPr>
            <w:tcW w:w="90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3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Total distributions per share</w:t>
            </w:r>
          </w:p>
        </w:tc>
        <w:tc>
          <w:tcPr>
            <w:tcW w:w="1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vMerge w:val="continue"/>
          </w:tcPr>
          <w:p>
            <w:pPr>
              <w:spacing w:after="0"/>
              <w:rPr>
                <w:sz w:val="13"/>
                <w:szCs w:val="13"/>
                <w:color w:val="auto"/>
              </w:rPr>
            </w:pPr>
          </w:p>
        </w:tc>
        <w:tc>
          <w:tcPr>
            <w:tcW w:w="2020" w:type="dxa"/>
            <w:vAlign w:val="bottom"/>
            <w:gridSpan w:val="2"/>
          </w:tcPr>
          <w:p>
            <w:pPr>
              <w:jc w:val="right"/>
              <w:ind w:right="209"/>
              <w:spacing w:after="0" w:line="155" w:lineRule="exact"/>
              <w:rPr>
                <w:sz w:val="20"/>
                <w:szCs w:val="20"/>
                <w:color w:val="auto"/>
              </w:rPr>
            </w:pPr>
            <w:r>
              <w:rPr>
                <w:rFonts w:ascii="Arial" w:cs="Arial" w:eastAsia="Arial" w:hAnsi="Arial"/>
                <w:sz w:val="14"/>
                <w:szCs w:val="14"/>
                <w:color w:val="auto"/>
              </w:rPr>
              <w:t>$</w:t>
            </w:r>
          </w:p>
        </w:tc>
        <w:tc>
          <w:tcPr>
            <w:tcW w:w="2000" w:type="dxa"/>
            <w:vAlign w:val="bottom"/>
          </w:tcPr>
          <w:p>
            <w:pPr>
              <w:jc w:val="right"/>
              <w:spacing w:after="0" w:line="155" w:lineRule="exact"/>
              <w:rPr>
                <w:sz w:val="20"/>
                <w:szCs w:val="20"/>
                <w:color w:val="auto"/>
              </w:rPr>
            </w:pPr>
            <w:r>
              <w:rPr>
                <w:rFonts w:ascii="Arial" w:cs="Arial" w:eastAsia="Arial" w:hAnsi="Arial"/>
                <w:sz w:val="14"/>
                <w:szCs w:val="14"/>
                <w:color w:val="auto"/>
              </w:rPr>
              <w:t>0.91</w:t>
            </w:r>
          </w:p>
        </w:tc>
        <w:tc>
          <w:tcPr>
            <w:tcW w:w="900" w:type="dxa"/>
            <w:vAlign w:val="bottom"/>
            <w:gridSpan w:val="2"/>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3180" w:type="dxa"/>
            <w:vAlign w:val="bottom"/>
          </w:tcPr>
          <w:p>
            <w:pPr>
              <w:jc w:val="right"/>
              <w:spacing w:after="0" w:line="155" w:lineRule="exact"/>
              <w:rPr>
                <w:sz w:val="20"/>
                <w:szCs w:val="20"/>
                <w:color w:val="auto"/>
              </w:rPr>
            </w:pPr>
            <w:r>
              <w:rPr>
                <w:rFonts w:ascii="Arial" w:cs="Arial" w:eastAsia="Arial" w:hAnsi="Arial"/>
                <w:sz w:val="14"/>
                <w:szCs w:val="14"/>
                <w:color w:val="auto"/>
              </w:rPr>
              <w:t>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jc w:val="right"/>
              <w:ind w:right="1332"/>
              <w:spacing w:after="0"/>
              <w:rPr>
                <w:sz w:val="20"/>
                <w:szCs w:val="20"/>
                <w:color w:val="auto"/>
              </w:rPr>
            </w:pPr>
            <w:r>
              <w:rPr>
                <w:rFonts w:ascii="Arial" w:cs="Arial" w:eastAsia="Arial" w:hAnsi="Arial"/>
                <w:sz w:val="14"/>
                <w:szCs w:val="14"/>
                <w:color w:val="auto"/>
              </w:rPr>
              <w:t>F-23</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b w:val="1"/>
          <w:bCs w:val="1"/>
          <w:color w:val="auto"/>
        </w:rPr>
        <w:t>SEPTEMBER 30,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25"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Our net assets and net asset value per share on September 30, 2012 and 2011 were $95.7 million and $13.98 per share and $92.1 million and $13.44 per share, respectively. Below are the financial highlights: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March 04, 2011</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(commencement of operations)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5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Per Share Data</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360" w:type="dxa"/>
            <w:vAlign w:val="bottom"/>
          </w:tcPr>
          <w:p>
            <w:pPr>
              <w:spacing w:after="0"/>
              <w:rPr>
                <w:sz w:val="13"/>
                <w:szCs w:val="13"/>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 (loss)</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1"/>
                <w:szCs w:val="11"/>
                <w:color w:val="auto"/>
              </w:rPr>
              <w:t>Dividends to stockholders</w:t>
            </w:r>
            <w:r>
              <w:rPr>
                <w:rFonts w:ascii="Arial" w:cs="Arial" w:eastAsia="Arial" w:hAnsi="Arial"/>
                <w:sz w:val="17"/>
                <w:szCs w:val="17"/>
                <w:color w:val="auto"/>
                <w:vertAlign w:val="superscript"/>
              </w:rPr>
              <w:t>(2)</w:t>
            </w:r>
          </w:p>
        </w:tc>
        <w:tc>
          <w:tcPr>
            <w:tcW w:w="14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(0.91)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issuance of common stock</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Offering costs</w:t>
            </w:r>
          </w:p>
        </w:tc>
        <w:tc>
          <w:tcPr>
            <w:tcW w:w="14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(0.30)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8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12.67</w:t>
            </w:r>
          </w:p>
        </w:tc>
        <w:tc>
          <w:tcPr>
            <w:tcW w:w="360" w:type="dxa"/>
            <w:vAlign w:val="bottom"/>
          </w:tcPr>
          <w:p>
            <w:pPr>
              <w:spacing w:after="0"/>
              <w:rPr>
                <w:sz w:val="13"/>
                <w:szCs w:val="13"/>
                <w:color w:val="auto"/>
              </w:rPr>
            </w:pPr>
          </w:p>
        </w:tc>
        <w:tc>
          <w:tcPr>
            <w:tcW w:w="4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6,850,667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6,850,667</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(4)</w:t>
            </w:r>
          </w:p>
        </w:tc>
        <w:tc>
          <w:tcPr>
            <w:tcW w:w="14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interest and expenses to average net assets</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4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95,743,877</w:t>
            </w:r>
          </w:p>
        </w:tc>
        <w:tc>
          <w:tcPr>
            <w:tcW w:w="3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46,133,607</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7,550,877</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Average debt per share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3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50.80%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6073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Not annualized for period less than a year.</w:t>
      </w:r>
    </w:p>
    <w:p>
      <w:pPr>
        <w:ind w:left="220" w:hanging="212"/>
        <w:spacing w:after="0" w:line="185" w:lineRule="auto"/>
        <w:tabs>
          <w:tab w:leader="none" w:pos="220" w:val="left"/>
        </w:tabs>
        <w:numPr>
          <w:ilvl w:val="0"/>
          <w:numId w:val="75"/>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period except for net asset value.</w:t>
      </w:r>
    </w:p>
    <w:p>
      <w:pPr>
        <w:ind w:left="220" w:hanging="212"/>
        <w:spacing w:after="0" w:line="182" w:lineRule="auto"/>
        <w:tabs>
          <w:tab w:leader="none" w:pos="220" w:val="left"/>
        </w:tabs>
        <w:numPr>
          <w:ilvl w:val="0"/>
          <w:numId w:val="75"/>
        </w:numPr>
        <w:rPr>
          <w:rFonts w:ascii="Arial" w:cs="Arial" w:eastAsia="Arial" w:hAnsi="Arial"/>
          <w:sz w:val="17"/>
          <w:szCs w:val="17"/>
          <w:color w:val="auto"/>
          <w:vertAlign w:val="superscript"/>
        </w:rPr>
      </w:pPr>
      <w:r>
        <w:rPr>
          <w:rFonts w:ascii="Arial" w:cs="Arial" w:eastAsia="Arial" w:hAnsi="Arial"/>
          <w:sz w:val="11"/>
          <w:szCs w:val="11"/>
          <w:color w:val="auto"/>
        </w:rPr>
        <w:t>Determined based on taxable income calculated in accordance with income tax regulations, which may differ from amounts determined under GAAP.</w:t>
      </w:r>
    </w:p>
    <w:p>
      <w:pPr>
        <w:ind w:left="220" w:hanging="212"/>
        <w:spacing w:after="0" w:line="182" w:lineRule="auto"/>
        <w:tabs>
          <w:tab w:leader="none" w:pos="220" w:val="left"/>
        </w:tabs>
        <w:numPr>
          <w:ilvl w:val="0"/>
          <w:numId w:val="75"/>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dividends and distributions, if any, reinvested in accordance with our dividend reinvestment plan.</w:t>
      </w:r>
    </w:p>
    <w:p>
      <w:pPr>
        <w:ind w:left="220" w:hanging="212"/>
        <w:spacing w:after="0" w:line="185" w:lineRule="auto"/>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2"/>
          <w:szCs w:val="12"/>
          <w:color w:val="auto"/>
        </w:rPr>
        <w:t>Operating expenses exclude Credit Facility 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25" w:lineRule="exact"/>
        <w:rPr>
          <w:sz w:val="20"/>
          <w:szCs w:val="20"/>
          <w:color w:val="auto"/>
        </w:rPr>
      </w:pPr>
    </w:p>
    <w:p>
      <w:pPr>
        <w:ind w:firstLine="342"/>
        <w:spacing w:after="0" w:line="228" w:lineRule="auto"/>
        <w:rPr>
          <w:sz w:val="20"/>
          <w:szCs w:val="20"/>
          <w:color w:val="auto"/>
        </w:rPr>
      </w:pPr>
      <w:r>
        <w:rPr>
          <w:rFonts w:ascii="Arial" w:cs="Arial" w:eastAsia="Arial" w:hAnsi="Arial"/>
          <w:sz w:val="14"/>
          <w:szCs w:val="14"/>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4"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2012</w:t>
      </w:r>
    </w:p>
    <w:p>
      <w:pPr>
        <w:spacing w:after="0" w:line="125"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12"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12" w:lineRule="exact"/>
        <w:rPr>
          <w:sz w:val="20"/>
          <w:szCs w:val="20"/>
          <w:color w:val="auto"/>
        </w:rPr>
      </w:pPr>
    </w:p>
    <w:p>
      <w:pPr>
        <w:jc w:val="both"/>
        <w:ind w:right="20" w:firstLine="456"/>
        <w:spacing w:after="0" w:line="230" w:lineRule="auto"/>
        <w:rPr>
          <w:sz w:val="20"/>
          <w:szCs w:val="20"/>
          <w:color w:val="auto"/>
        </w:rPr>
      </w:pPr>
      <w:r>
        <w:rPr>
          <w:rFonts w:ascii="Arial" w:cs="Arial" w:eastAsia="Arial" w:hAnsi="Arial"/>
          <w:sz w:val="14"/>
          <w:szCs w:val="14"/>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25"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jc w:val="both"/>
        <w:ind w:right="300" w:firstLine="799"/>
        <w:spacing w:after="0" w:line="288" w:lineRule="auto"/>
        <w:rPr>
          <w:sz w:val="20"/>
          <w:szCs w:val="20"/>
          <w:color w:val="auto"/>
        </w:rPr>
      </w:pPr>
      <w:r>
        <w:rPr>
          <w:rFonts w:ascii="Arial" w:cs="Arial" w:eastAsia="Arial" w:hAnsi="Arial"/>
          <w:sz w:val="12"/>
          <w:szCs w:val="12"/>
          <w:color w:val="auto"/>
        </w:rPr>
        <w:t>We have reviewed the accompanying consolidated statement of assets and liabilities of PennantPark Floating Rate Capital Ltd. and its Subsidiary (the “Company”), including the consolidated schedule of investments, as of March 31, 2013 and the consolidated statements of operations for the three and six months ended March 31, 2013 and 2012, and the consolidated statements of changes in net assets, and cash flows for the six months ended March 31, 2013 and 2012. These consolidated financial statements are the responsibility of the Company’s management.</w:t>
      </w:r>
    </w:p>
    <w:p>
      <w:pPr>
        <w:spacing w:after="0" w:line="111" w:lineRule="exact"/>
        <w:rPr>
          <w:sz w:val="20"/>
          <w:szCs w:val="20"/>
          <w:color w:val="auto"/>
        </w:rPr>
      </w:pPr>
    </w:p>
    <w:p>
      <w:pPr>
        <w:ind w:right="180" w:firstLine="799"/>
        <w:spacing w:after="0" w:line="230"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39" w:lineRule="exact"/>
        <w:rPr>
          <w:sz w:val="20"/>
          <w:szCs w:val="20"/>
          <w:color w:val="auto"/>
        </w:rPr>
      </w:pPr>
    </w:p>
    <w:p>
      <w:pPr>
        <w:ind w:firstLine="799"/>
        <w:spacing w:after="0" w:line="239" w:lineRule="auto"/>
        <w:rPr>
          <w:sz w:val="20"/>
          <w:szCs w:val="20"/>
          <w:color w:val="auto"/>
        </w:rPr>
      </w:pPr>
      <w:r>
        <w:rPr>
          <w:rFonts w:ascii="Arial" w:cs="Arial" w:eastAsia="Arial" w:hAnsi="Arial"/>
          <w:sz w:val="14"/>
          <w:szCs w:val="14"/>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9" w:lineRule="exact"/>
        <w:rPr>
          <w:sz w:val="20"/>
          <w:szCs w:val="20"/>
          <w:color w:val="auto"/>
        </w:rPr>
      </w:pPr>
    </w:p>
    <w:p>
      <w:pPr>
        <w:ind w:right="300" w:firstLine="799"/>
        <w:spacing w:after="0" w:line="288" w:lineRule="auto"/>
        <w:rPr>
          <w:sz w:val="20"/>
          <w:szCs w:val="20"/>
          <w:color w:val="auto"/>
        </w:rPr>
      </w:pPr>
      <w:r>
        <w:rPr>
          <w:rFonts w:ascii="Arial" w:cs="Arial" w:eastAsia="Arial" w:hAnsi="Arial"/>
          <w:sz w:val="12"/>
          <w:szCs w:val="12"/>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14605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9,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(unaudited)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September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(cost—$183,536,973 and $171,578,009, respectively)</w:t>
            </w:r>
          </w:p>
        </w:tc>
        <w:tc>
          <w:tcPr>
            <w:tcW w:w="11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183,869,762</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171,834,400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Cash equivalents (See Note 7)</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2,725,248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3,845,803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1,231,099</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1,388,867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986,278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50,735</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assets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187,876,844</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178,366,661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599,476</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548,053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11,852,369</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Credit Facility payable (cost—$34,200,000 and $75,500,000, respectively) (See Notes 5 and 9)</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34,200,000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75,122,500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153,476</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456,637</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876,067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859,334</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liabilities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48,997,359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82,622,784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Common stock, 9,851,151 and 6,850,667 shares are issued and outstanding, respectively.</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 value $0.001 per share and 100,000,000 shares authorized</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9,851</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136,796,167</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95,192,222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(1,030,705)</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2,771,383</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1,223,913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on investments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332,789</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net assets</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138,879,485</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Total liabilities and net assets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11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187,876,844</w:t>
            </w:r>
          </w:p>
        </w:tc>
        <w:tc>
          <w:tcPr>
            <w:tcW w:w="380" w:type="dxa"/>
            <w:vAlign w:val="bottom"/>
          </w:tcPr>
          <w:p>
            <w:pPr>
              <w:spacing w:after="0"/>
              <w:rPr>
                <w:sz w:val="13"/>
                <w:szCs w:val="13"/>
                <w:color w:val="auto"/>
              </w:rPr>
            </w:pPr>
          </w:p>
        </w:tc>
        <w:tc>
          <w:tcPr>
            <w:tcW w:w="2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178,366,661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 value per share</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0219"/>
          </w:cols>
          <w:pgMar w:left="240" w:top="459" w:right="1440"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w w:val="95"/>
              </w:rPr>
              <w:t>Three Months Ended March 31,</w:t>
            </w:r>
          </w:p>
        </w:tc>
        <w:tc>
          <w:tcPr>
            <w:tcW w:w="60" w:type="dxa"/>
            <w:vAlign w:val="bottom"/>
          </w:tcPr>
          <w:p>
            <w:pPr>
              <w:spacing w:after="0"/>
              <w:rPr>
                <w:sz w:val="14"/>
                <w:szCs w:val="14"/>
                <w:color w:val="auto"/>
              </w:rPr>
            </w:pPr>
          </w:p>
        </w:tc>
        <w:tc>
          <w:tcPr>
            <w:tcW w:w="1840" w:type="dxa"/>
            <w:vAlign w:val="bottom"/>
            <w:gridSpan w:val="7"/>
          </w:tcPr>
          <w:p>
            <w:pPr>
              <w:ind w:left="40"/>
              <w:spacing w:after="0"/>
              <w:rPr>
                <w:sz w:val="20"/>
                <w:szCs w:val="20"/>
                <w:color w:val="auto"/>
              </w:rPr>
            </w:pPr>
            <w:r>
              <w:rPr>
                <w:rFonts w:ascii="Arial" w:cs="Arial" w:eastAsia="Arial" w:hAnsi="Arial"/>
                <w:sz w:val="14"/>
                <w:szCs w:val="14"/>
                <w:b w:val="1"/>
                <w:bCs w:val="1"/>
                <w:color w:val="auto"/>
                <w:w w:val="93"/>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3,976,016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2,824,557</w:t>
            </w:r>
          </w:p>
        </w:tc>
        <w:tc>
          <w:tcPr>
            <w:tcW w:w="2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7,614,243</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5,267,364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163,861</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119,173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488,307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143,394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4,139,877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2,943,730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8,102,550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5,410,758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Base management fee (See Note 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456,637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370,352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915,623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563,191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175,740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980,220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175,740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expenses on the Credit Facility (See Note 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495,395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342,496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966,463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621,476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153,679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149,624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308,824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287,959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271,709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360,618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639,209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719,587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Expenses before excise tax expense and amendment costs</w:t>
            </w: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1,940,611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1,398,830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3,810,339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2,490,959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33,341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Credit Facility amendment costs (See Note 9)</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2,473,952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1,398,830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4,377,752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2,490,959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0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1,665,925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1,544,900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3,724,798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2,919,799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1,104,627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95,712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1,547,470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405,887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435,183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2,996,463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76,398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4,065,554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(112,000)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435,183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2,884,463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(301,102)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4,304,554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from investments and Credit Facility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1,539,810</w:t>
            </w: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2,980,175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1,246,368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4,710,441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3,205,735</w:t>
            </w:r>
          </w:p>
        </w:tc>
        <w:tc>
          <w:tcPr>
            <w:tcW w:w="20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4,525,075</w:t>
            </w:r>
          </w:p>
        </w:tc>
        <w:tc>
          <w:tcPr>
            <w:tcW w:w="22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4,971,166</w:t>
            </w:r>
          </w:p>
        </w:tc>
        <w:tc>
          <w:tcPr>
            <w:tcW w:w="120" w:type="dxa"/>
            <w:vAlign w:val="bottom"/>
          </w:tcPr>
          <w:p>
            <w:pPr>
              <w:spacing w:after="0"/>
              <w:rPr>
                <w:sz w:val="13"/>
                <w:szCs w:val="13"/>
                <w:color w:val="auto"/>
              </w:rPr>
            </w:pPr>
          </w:p>
        </w:tc>
        <w:tc>
          <w:tcPr>
            <w:tcW w:w="2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7,630,240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Basic - Net increase in net assets resulting from operations per common share (See Note 6)</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0.72</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Basic - Net investment income per common share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gridSpan w:val="2"/>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0.24</w:t>
            </w:r>
          </w:p>
        </w:tc>
        <w:tc>
          <w:tcPr>
            <w:tcW w:w="20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0.23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0.54</w:t>
            </w:r>
          </w:p>
        </w:tc>
        <w:tc>
          <w:tcPr>
            <w:tcW w:w="120" w:type="dxa"/>
            <w:vAlign w:val="bottom"/>
          </w:tcPr>
          <w:p>
            <w:pPr>
              <w:spacing w:after="0"/>
              <w:rPr>
                <w:sz w:val="13"/>
                <w:szCs w:val="13"/>
                <w:color w:val="auto"/>
              </w:rPr>
            </w:pPr>
          </w:p>
        </w:tc>
        <w:tc>
          <w:tcPr>
            <w:tcW w:w="2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 Net increase in net assets resulting from operations per common share (See Note 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0.71</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Diluted - Net investment income per common share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gridSpan w:val="2"/>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0.24</w:t>
            </w:r>
          </w:p>
        </w:tc>
        <w:tc>
          <w:tcPr>
            <w:tcW w:w="20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0.23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0.53</w:t>
            </w:r>
          </w:p>
        </w:tc>
        <w:tc>
          <w:tcPr>
            <w:tcW w:w="120" w:type="dxa"/>
            <w:vAlign w:val="bottom"/>
          </w:tcPr>
          <w:p>
            <w:pPr>
              <w:spacing w:after="0"/>
              <w:rPr>
                <w:sz w:val="13"/>
                <w:szCs w:val="13"/>
                <w:color w:val="auto"/>
              </w:rPr>
            </w:pPr>
          </w:p>
        </w:tc>
        <w:tc>
          <w:tcPr>
            <w:tcW w:w="2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3,724,798</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2,919,799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1,547,470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405,887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Net change in unrealized appreciation on investments</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76,398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4,065,554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54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4,971,166</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7,630,240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(3,442,503)</w:t>
            </w:r>
          </w:p>
        </w:tc>
        <w:tc>
          <w:tcPr>
            <w:tcW w:w="80" w:type="dxa"/>
            <w:vAlign w:val="bottom"/>
          </w:tcPr>
          <w:p>
            <w:pPr>
              <w:spacing w:after="0"/>
              <w:rPr>
                <w:sz w:val="13"/>
                <w:szCs w:val="13"/>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(2,980,040)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Public offering and distributions reinvested</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42,006,945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(400,000)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9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43,135,608</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4,650,200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Beginning of period</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92,072,105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End of period</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138,879,485</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96,722,305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420"/>
              <w:spacing w:after="0"/>
              <w:rPr>
                <w:sz w:val="20"/>
                <w:szCs w:val="20"/>
                <w:color w:val="auto"/>
              </w:rPr>
            </w:pPr>
            <w:r>
              <w:rPr>
                <w:rFonts w:ascii="Arial" w:cs="Arial" w:eastAsia="Arial" w:hAnsi="Arial"/>
                <w:sz w:val="14"/>
                <w:szCs w:val="14"/>
                <w:color w:val="auto"/>
              </w:rPr>
              <w:t>Distributions in excess of net investment income, end of period</w:t>
            </w: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54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(1,030,705)</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2"/>
              </w:rPr>
              <w:t>(1,452,769)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5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40" w:type="dxa"/>
            <w:vAlign w:val="bottom"/>
          </w:tcPr>
          <w:p>
            <w:pPr>
              <w:ind w:left="420"/>
              <w:spacing w:after="0" w:line="149" w:lineRule="exact"/>
              <w:rPr>
                <w:sz w:val="20"/>
                <w:szCs w:val="20"/>
                <w:color w:val="auto"/>
              </w:rPr>
            </w:pPr>
            <w:r>
              <w:rPr>
                <w:rFonts w:ascii="Arial" w:cs="Arial" w:eastAsia="Arial" w:hAnsi="Arial"/>
                <w:sz w:val="14"/>
                <w:szCs w:val="14"/>
                <w:color w:val="auto"/>
              </w:rPr>
              <w:t>Shares issued from public offering</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3,000,000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issued from reinvestment of dividends</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6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4,971,166</w:t>
            </w: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7,630,240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provided by (used for) operating activities: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appreciation on investments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(76,398)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(4,065,554)</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(239,000)</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(1,547,470)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(405,887)</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(565,957)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(333,296)</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Purchase of investments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(83,971,182)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(72,216,125)</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Payments-in-kind interest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(101,480)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(47,292)</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74,227,125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41,604,263</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receivable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157,768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(353,235)</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Decrease in receivables for investments sold</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986,278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2,467,500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prepaid expenses and other assets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260,578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112,632</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Increase in payables for investments purchased</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8,494,869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1,788,630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interest payable on Credit Facility</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192,249</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Increase in management fee payable</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31,890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103,920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369,753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175,740</w:t>
            </w:r>
          </w:p>
        </w:tc>
        <w:tc>
          <w:tcPr>
            <w:tcW w:w="0" w:type="dxa"/>
            <w:vAlign w:val="bottom"/>
          </w:tcPr>
          <w:p>
            <w:pPr>
              <w:spacing w:after="0"/>
              <w:rPr>
                <w:sz w:val="1"/>
                <w:szCs w:val="1"/>
                <w:color w:val="auto"/>
              </w:rPr>
            </w:pPr>
          </w:p>
        </w:tc>
      </w:tr>
      <w:tr>
        <w:trPr>
          <w:trHeight w:val="156"/>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Increase in accrued other expenses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412,214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242,912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(used for) operating activities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4,018,580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(23,342,303)</w:t>
            </w:r>
          </w:p>
        </w:tc>
        <w:tc>
          <w:tcPr>
            <w:tcW w:w="0" w:type="dxa"/>
            <w:vAlign w:val="bottom"/>
          </w:tcPr>
          <w:p>
            <w:pPr>
              <w:spacing w:after="0"/>
              <w:rPr>
                <w:sz w:val="1"/>
                <w:szCs w:val="1"/>
                <w:color w:val="auto"/>
              </w:rPr>
            </w:pPr>
          </w:p>
        </w:tc>
      </w:tr>
      <w:tr>
        <w:trPr>
          <w:trHeight w:val="156"/>
        </w:trPr>
        <w:tc>
          <w:tcPr>
            <w:tcW w:w="94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Public offering</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42,000,000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sales load paid</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(2,055,000)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(3,384,135)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(2,945,787)</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45,250,000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54,050,000</w:t>
            </w:r>
          </w:p>
        </w:tc>
        <w:tc>
          <w:tcPr>
            <w:tcW w:w="0" w:type="dxa"/>
            <w:vAlign w:val="bottom"/>
          </w:tcPr>
          <w:p>
            <w:pPr>
              <w:spacing w:after="0"/>
              <w:rPr>
                <w:sz w:val="1"/>
                <w:szCs w:val="1"/>
                <w:color w:val="auto"/>
              </w:rPr>
            </w:pPr>
          </w:p>
        </w:tc>
      </w:tr>
      <w:tr>
        <w:trPr>
          <w:trHeight w:val="149"/>
        </w:trPr>
        <w:tc>
          <w:tcPr>
            <w:tcW w:w="9460" w:type="dxa"/>
            <w:vAlign w:val="bottom"/>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9)</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(86,550,000)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(30,900,000)</w:t>
            </w:r>
          </w:p>
        </w:tc>
        <w:tc>
          <w:tcPr>
            <w:tcW w:w="0" w:type="dxa"/>
            <w:vAlign w:val="bottom"/>
          </w:tcPr>
          <w:p>
            <w:pPr>
              <w:spacing w:after="0"/>
              <w:rPr>
                <w:sz w:val="1"/>
                <w:szCs w:val="1"/>
                <w:color w:val="auto"/>
              </w:rPr>
            </w:pPr>
          </w:p>
        </w:tc>
      </w:tr>
      <w:tr>
        <w:trPr>
          <w:trHeight w:val="27"/>
        </w:trPr>
        <w:tc>
          <w:tcPr>
            <w:tcW w:w="9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for) provided by financing activities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(5,139,135)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20,204,213</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Arial" w:cs="Arial" w:eastAsia="Arial" w:hAnsi="Arial"/>
                <w:sz w:val="14"/>
                <w:szCs w:val="14"/>
                <w:b w:val="1"/>
                <w:bCs w:val="1"/>
                <w:color w:val="auto"/>
              </w:rPr>
              <w:t>Net decrease in cash equivalents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4"/>
              </w:rPr>
              <w:t>(1,120,555)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4"/>
              </w:rPr>
              <w:t>(3,138,090)</w:t>
            </w: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60" w:type="dxa"/>
            <w:vAlign w:val="bottom"/>
          </w:tcPr>
          <w:p>
            <w:pPr>
              <w:spacing w:after="0" w:line="155" w:lineRule="exact"/>
              <w:rPr>
                <w:sz w:val="20"/>
                <w:szCs w:val="20"/>
                <w:color w:val="auto"/>
              </w:rPr>
            </w:pPr>
            <w:r>
              <w:rPr>
                <w:rFonts w:ascii="Arial" w:cs="Arial" w:eastAsia="Arial" w:hAnsi="Arial"/>
                <w:sz w:val="14"/>
                <w:szCs w:val="14"/>
                <w:b w:val="1"/>
                <w:bCs w:val="1"/>
                <w:color w:val="auto"/>
              </w:rPr>
              <w:t>Cash equivalents,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2,725,248</w:t>
            </w:r>
          </w:p>
        </w:tc>
        <w:tc>
          <w:tcPr>
            <w:tcW w:w="2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3,849,360</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60" w:type="dxa"/>
            <w:vAlign w:val="bottom"/>
          </w:tcPr>
          <w:p>
            <w:pPr>
              <w:ind w:left="44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974,538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429,227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Excise taxes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79,140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60" w:type="dxa"/>
            <w:vAlign w:val="bottom"/>
          </w:tcPr>
          <w:p>
            <w:pPr>
              <w:ind w:left="440"/>
              <w:spacing w:after="0" w:line="155" w:lineRule="exact"/>
              <w:rPr>
                <w:sz w:val="20"/>
                <w:szCs w:val="20"/>
                <w:color w:val="auto"/>
              </w:rPr>
            </w:pPr>
            <w:r>
              <w:rPr>
                <w:rFonts w:ascii="Arial" w:cs="Arial" w:eastAsia="Arial" w:hAnsi="Arial"/>
                <w:sz w:val="14"/>
                <w:szCs w:val="14"/>
                <w:color w:val="auto"/>
              </w:rPr>
              <w:t>Dividend reinvested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MARCH 31,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440" w:type="dxa"/>
            <w:vAlign w:val="bottom"/>
            <w:vMerge w:val="restart"/>
          </w:tcPr>
          <w:p>
            <w:pPr>
              <w:jc w:val="center"/>
              <w:ind w:left="612"/>
              <w:spacing w:after="0"/>
              <w:rPr>
                <w:sz w:val="20"/>
                <w:szCs w:val="20"/>
                <w:color w:val="auto"/>
              </w:rPr>
            </w:pPr>
            <w:r>
              <w:rPr>
                <w:rFonts w:ascii="Arial" w:cs="Arial" w:eastAsia="Arial" w:hAnsi="Arial"/>
                <w:sz w:val="14"/>
                <w:szCs w:val="14"/>
                <w:b w:val="1"/>
                <w:bCs w:val="1"/>
                <w:color w:val="auto"/>
                <w:w w:val="95"/>
              </w:rPr>
              <w:t>Maturity</w:t>
            </w: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Current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Par /</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960" w:type="dxa"/>
            <w:vAlign w:val="bottom"/>
          </w:tcPr>
          <w:p>
            <w:pPr>
              <w:jc w:val="right"/>
              <w:ind w:right="1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52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9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Coupon</w:t>
            </w:r>
          </w:p>
        </w:tc>
        <w:tc>
          <w:tcPr>
            <w:tcW w:w="8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vMerge w:val="continue"/>
          </w:tcPr>
          <w:p>
            <w:pPr>
              <w:spacing w:after="0"/>
              <w:rPr>
                <w:sz w:val="12"/>
                <w:szCs w:val="12"/>
                <w:color w:val="auto"/>
              </w:rPr>
            </w:pPr>
          </w:p>
        </w:tc>
        <w:tc>
          <w:tcPr>
            <w:tcW w:w="960" w:type="dxa"/>
            <w:vAlign w:val="bottom"/>
          </w:tcPr>
          <w:p>
            <w:pPr>
              <w:jc w:val="right"/>
              <w:ind w:right="413"/>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0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94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Companies—132.4%</w:t>
            </w:r>
            <w:r>
              <w:rPr>
                <w:rFonts w:ascii="Arial" w:cs="Arial" w:eastAsia="Arial" w:hAnsi="Arial"/>
                <w:sz w:val="15"/>
                <w:szCs w:val="15"/>
                <w:b w:val="1"/>
                <w:bCs w:val="1"/>
                <w:color w:val="auto"/>
                <w:vertAlign w:val="superscript"/>
              </w:rPr>
              <w:t>(3),(4)</w:t>
            </w:r>
          </w:p>
        </w:tc>
        <w:tc>
          <w:tcPr>
            <w:tcW w:w="2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Debt—115.0%</w:t>
            </w:r>
          </w:p>
        </w:tc>
        <w:tc>
          <w:tcPr>
            <w:tcW w:w="14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ALG USA Holdings, LLC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02/28/2019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$8,429,233</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97"/>
              </w:rPr>
              <w:t>$ 8,415,000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ARC Auto Group,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11/15/2018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2,543,625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2,519,876</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2,563,763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Aspen Dental Management, Inc. </w:t>
            </w:r>
            <w:r>
              <w:rPr>
                <w:rFonts w:ascii="Arial" w:cs="Arial" w:eastAsia="Arial" w:hAnsi="Arial"/>
                <w:sz w:val="17"/>
                <w:szCs w:val="17"/>
                <w:color w:val="auto"/>
                <w:vertAlign w:val="superscript"/>
              </w:rPr>
              <w:t>(8)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10/06/2016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2,962,500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2,930,850</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2,836,594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ATI Holdings, Inc.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12/21/2019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2,963,147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3,033,647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Attachmate Corporation</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11/22/2017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2,831,250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2,784,237</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2,854,843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07/31/2017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964,483</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960,942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976,137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BBB Industries, LLC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03/27/2019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L+425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2,975,000</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Berlin Packaging L.L.C.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03/28/2019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4.75%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L+350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1,990,000</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1,990,000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03/19/2018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3,714,375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3,658,259</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3,658,659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12/03/2018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L+425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980,988</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973,177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976,083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DS Waters of America,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08/29/2017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10.50%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L+900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3,960,000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3,892,574</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4,059,000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07/28/2017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P+350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925,363</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921,835</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923,050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Edmenturn, Inc. (f/k/a Archipelago Learning,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05/17/2018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Media: Broadcasting and Subscription</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6.00%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962,813</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962,812</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966,423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11/12/2019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1,976,242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05/18/2018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6.75%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2,482,496</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2,463,517</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2,494,909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05/02/2018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2,985,019</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2,970,201</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3,014,869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Fishnet Security,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11/30/2017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2,963,909</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2,992,500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07/02/2018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1,940,000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1,905,699</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1,961,825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09/02/2019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9.63%</w:t>
            </w:r>
          </w:p>
        </w:tc>
        <w:tc>
          <w:tcPr>
            <w:tcW w:w="8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3,360,000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05/27/2016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2,949,343</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2,940,257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2,934,596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04/01/2019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2,970,000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2,918,581</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2,992,275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08/03/2017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Wholesale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2,729,375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2,694,461</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2,702,081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03/30/2017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11.50%</w:t>
            </w:r>
          </w:p>
        </w:tc>
        <w:tc>
          <w:tcPr>
            <w:tcW w:w="8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1,966,362</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Ikaria Acqusition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06/22/2016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1,691,500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1,683,717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1,708,415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InfuSystem Holdings,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11/30/2016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11.99%</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P+625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2,175,000</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2,229,812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440" w:type="dxa"/>
            <w:vAlign w:val="bottom"/>
            <w:shd w:val="clear" w:color="auto" w:fill="CCEEFF"/>
          </w:tcPr>
          <w:p>
            <w:pPr>
              <w:jc w:val="center"/>
              <w:ind w:left="632"/>
              <w:spacing w:after="0" w:line="138" w:lineRule="exact"/>
              <w:rPr>
                <w:sz w:val="20"/>
                <w:szCs w:val="20"/>
                <w:color w:val="auto"/>
              </w:rPr>
            </w:pPr>
            <w:r>
              <w:rPr>
                <w:rFonts w:ascii="Arial" w:cs="Arial" w:eastAsia="Arial" w:hAnsi="Arial"/>
                <w:sz w:val="14"/>
                <w:szCs w:val="14"/>
                <w:color w:val="auto"/>
                <w:w w:val="88"/>
              </w:rPr>
              <w:t>08/07/2014</w:t>
            </w:r>
          </w:p>
        </w:tc>
        <w:tc>
          <w:tcPr>
            <w:tcW w:w="2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0"/>
                <w:szCs w:val="10"/>
                <w:color w:val="auto"/>
              </w:rPr>
              <w:t>3.58%</w:t>
            </w:r>
            <w:r>
              <w:rPr>
                <w:rFonts w:ascii="Arial" w:cs="Arial" w:eastAsia="Arial" w:hAnsi="Arial"/>
                <w:sz w:val="15"/>
                <w:szCs w:val="15"/>
                <w:color w:val="auto"/>
                <w:vertAlign w:val="superscript"/>
              </w:rPr>
              <w:t>(9)</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L+338</w:t>
            </w:r>
          </w:p>
        </w:tc>
        <w:tc>
          <w:tcPr>
            <w:tcW w:w="7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6,836,508</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6,621,979</w:t>
            </w:r>
          </w:p>
        </w:tc>
        <w:tc>
          <w:tcPr>
            <w:tcW w:w="9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4,785,555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10/16/2017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10.00%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L+850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3,273,298</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3,349,000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09/10/2015</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10.50%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P+725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5,909,957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5,945,073</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5,880,407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06/02/2014</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4,912,500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4,848,463</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4,875,656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Milk Specialties Company</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11/09/2018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3,368,102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3,434,000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MModal Inc. </w:t>
            </w:r>
            <w:r>
              <w:rPr>
                <w:rFonts w:ascii="Arial" w:cs="Arial" w:eastAsia="Arial" w:hAnsi="Arial"/>
                <w:sz w:val="17"/>
                <w:szCs w:val="17"/>
                <w:color w:val="auto"/>
                <w:vertAlign w:val="superscript"/>
              </w:rPr>
              <w:t>(8)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08/16/2019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6.75%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3,383,191</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3,337,786</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3,247,863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05/07/2018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2,360,522</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2,342,587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2,358,752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12/23/2016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2,721,385</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2,788,875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MX USA,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05/01/2017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2,970,000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2,933,577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2,977,425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tcPr>
          <w:p>
            <w:pPr>
              <w:spacing w:after="0" w:line="138" w:lineRule="exact"/>
              <w:rPr>
                <w:sz w:val="20"/>
                <w:szCs w:val="20"/>
                <w:color w:val="auto"/>
              </w:rPr>
            </w:pPr>
            <w:r>
              <w:rPr>
                <w:rFonts w:ascii="Arial" w:cs="Arial" w:eastAsia="Arial" w:hAnsi="Arial"/>
                <w:sz w:val="14"/>
                <w:szCs w:val="14"/>
                <w:color w:val="auto"/>
              </w:rPr>
              <w:t>NAB Holdings, LLC</w:t>
            </w:r>
          </w:p>
        </w:tc>
        <w:tc>
          <w:tcPr>
            <w:tcW w:w="1440" w:type="dxa"/>
            <w:vAlign w:val="bottom"/>
          </w:tcPr>
          <w:p>
            <w:pPr>
              <w:jc w:val="center"/>
              <w:ind w:left="632"/>
              <w:spacing w:after="0" w:line="138" w:lineRule="exact"/>
              <w:rPr>
                <w:sz w:val="20"/>
                <w:szCs w:val="20"/>
                <w:color w:val="auto"/>
              </w:rPr>
            </w:pPr>
            <w:r>
              <w:rPr>
                <w:rFonts w:ascii="Arial" w:cs="Arial" w:eastAsia="Arial" w:hAnsi="Arial"/>
                <w:sz w:val="14"/>
                <w:szCs w:val="14"/>
                <w:color w:val="auto"/>
                <w:w w:val="88"/>
              </w:rPr>
              <w:t>04/24/2018</w:t>
            </w:r>
          </w:p>
        </w:tc>
        <w:tc>
          <w:tcPr>
            <w:tcW w:w="2220" w:type="dxa"/>
            <w:vAlign w:val="bottom"/>
          </w:tcPr>
          <w:p>
            <w:pPr>
              <w:jc w:val="center"/>
              <w:spacing w:after="0" w:line="138" w:lineRule="exact"/>
              <w:rPr>
                <w:sz w:val="20"/>
                <w:szCs w:val="20"/>
                <w:color w:val="auto"/>
              </w:rPr>
            </w:pPr>
            <w:r>
              <w:rPr>
                <w:rFonts w:ascii="Arial" w:cs="Arial" w:eastAsia="Arial" w:hAnsi="Arial"/>
                <w:sz w:val="14"/>
                <w:szCs w:val="14"/>
                <w:color w:val="auto"/>
                <w:w w:val="85"/>
              </w:rPr>
              <w:t>Banking, Finance, Insurance and Real</w:t>
            </w:r>
          </w:p>
        </w:tc>
        <w:tc>
          <w:tcPr>
            <w:tcW w:w="94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962,500</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950,224</w:t>
            </w:r>
          </w:p>
        </w:tc>
        <w:tc>
          <w:tcPr>
            <w:tcW w:w="96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972,125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20" w:type="dxa"/>
            <w:vAlign w:val="bottom"/>
          </w:tcPr>
          <w:p>
            <w:pPr>
              <w:jc w:val="center"/>
              <w:spacing w:after="0" w:line="159" w:lineRule="exact"/>
              <w:rPr>
                <w:sz w:val="20"/>
                <w:szCs w:val="20"/>
                <w:color w:val="auto"/>
              </w:rPr>
            </w:pPr>
            <w:r>
              <w:rPr>
                <w:rFonts w:ascii="Arial" w:cs="Arial" w:eastAsia="Arial" w:hAnsi="Arial"/>
                <w:sz w:val="14"/>
                <w:szCs w:val="14"/>
                <w:color w:val="auto"/>
                <w:w w:val="80"/>
              </w:rPr>
              <w:t>Estate</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12/19/2018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4,414,105</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4,601,250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Orbitz Worldwide, Inc., Term Loan C </w:t>
            </w:r>
            <w:r>
              <w:rPr>
                <w:rFonts w:ascii="Arial" w:cs="Arial" w:eastAsia="Arial" w:hAnsi="Arial"/>
                <w:sz w:val="17"/>
                <w:szCs w:val="17"/>
                <w:color w:val="auto"/>
                <w:vertAlign w:val="superscript"/>
              </w:rPr>
              <w:t>(8)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03/25/2019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 Consumer</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3,960,084</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4,038,332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07/11/2018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1,488,750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1,462,509</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1,488,750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tcPr>
          <w:p>
            <w:pPr>
              <w:spacing w:after="0" w:line="138" w:lineRule="exact"/>
              <w:rPr>
                <w:sz w:val="20"/>
                <w:szCs w:val="20"/>
                <w:color w:val="auto"/>
              </w:rPr>
            </w:pPr>
            <w:r>
              <w:rPr>
                <w:rFonts w:ascii="Arial" w:cs="Arial" w:eastAsia="Arial" w:hAnsi="Arial"/>
                <w:sz w:val="10"/>
                <w:szCs w:val="10"/>
                <w:color w:val="auto"/>
              </w:rPr>
              <w:t xml:space="preserve">Penton Media, Inc. </w:t>
            </w:r>
            <w:r>
              <w:rPr>
                <w:rFonts w:ascii="Arial" w:cs="Arial" w:eastAsia="Arial" w:hAnsi="Arial"/>
                <w:sz w:val="15"/>
                <w:szCs w:val="15"/>
                <w:color w:val="auto"/>
                <w:vertAlign w:val="superscript"/>
              </w:rPr>
              <w:t>(8)</w:t>
            </w:r>
          </w:p>
        </w:tc>
        <w:tc>
          <w:tcPr>
            <w:tcW w:w="1440" w:type="dxa"/>
            <w:vAlign w:val="bottom"/>
          </w:tcPr>
          <w:p>
            <w:pPr>
              <w:jc w:val="center"/>
              <w:ind w:left="632"/>
              <w:spacing w:after="0" w:line="138" w:lineRule="exact"/>
              <w:rPr>
                <w:sz w:val="20"/>
                <w:szCs w:val="20"/>
                <w:color w:val="auto"/>
              </w:rPr>
            </w:pPr>
            <w:r>
              <w:rPr>
                <w:rFonts w:ascii="Arial" w:cs="Arial" w:eastAsia="Arial" w:hAnsi="Arial"/>
                <w:sz w:val="14"/>
                <w:szCs w:val="14"/>
                <w:color w:val="auto"/>
                <w:w w:val="88"/>
              </w:rPr>
              <w:t>08/01/2014</w:t>
            </w:r>
          </w:p>
        </w:tc>
        <w:tc>
          <w:tcPr>
            <w:tcW w:w="2220" w:type="dxa"/>
            <w:vAlign w:val="bottom"/>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6.00%</w:t>
            </w:r>
          </w:p>
        </w:tc>
        <w:tc>
          <w:tcPr>
            <w:tcW w:w="82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L+500</w:t>
            </w:r>
          </w:p>
        </w:tc>
        <w:tc>
          <w:tcPr>
            <w:tcW w:w="7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5,497,697</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5,101,044</w:t>
            </w:r>
          </w:p>
        </w:tc>
        <w:tc>
          <w:tcPr>
            <w:tcW w:w="96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5,286,954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(PIK 2.00%)</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Premier Dental Services,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11/01/2018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3,391,500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3,295,382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3,399,979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11/29/2016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10.00%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L+875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4,250,000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4,172,535</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4,207,500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08/24/2018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2,951,469</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2,990,630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04/21/2017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2,773,249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2,754,202</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2,696,985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12/20/2017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2,486,250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2,438,423</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2,480,034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Sutherland Global Services,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03/06/2019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980,145</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01/29/2018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13.50%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L+1,200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1,408,837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1,372,727</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1,627,207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Therakos,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12/27/2017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7.50%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2,904,882</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2,951,353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04/16/2018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1,985,000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1,930,464</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1,965,150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44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88"/>
              </w:rPr>
              <w:t>06/19/2017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6.25%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2,947,500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2,926,538</w:t>
            </w: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2,873,812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06/02/2017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1,266,455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1,261,822</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1,266,455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tcPr>
          <w:p>
            <w:pPr>
              <w:spacing w:after="0" w:line="138" w:lineRule="exact"/>
              <w:rPr>
                <w:sz w:val="20"/>
                <w:szCs w:val="20"/>
                <w:color w:val="auto"/>
              </w:rPr>
            </w:pPr>
            <w:r>
              <w:rPr>
                <w:rFonts w:ascii="Arial" w:cs="Arial" w:eastAsia="Arial" w:hAnsi="Arial"/>
                <w:sz w:val="14"/>
                <w:szCs w:val="14"/>
                <w:color w:val="auto"/>
              </w:rPr>
              <w:t>Viamedia Services Corp.</w:t>
            </w:r>
          </w:p>
        </w:tc>
        <w:tc>
          <w:tcPr>
            <w:tcW w:w="1440" w:type="dxa"/>
            <w:vAlign w:val="bottom"/>
          </w:tcPr>
          <w:p>
            <w:pPr>
              <w:jc w:val="center"/>
              <w:ind w:left="632"/>
              <w:spacing w:after="0" w:line="138" w:lineRule="exact"/>
              <w:rPr>
                <w:sz w:val="20"/>
                <w:szCs w:val="20"/>
                <w:color w:val="auto"/>
              </w:rPr>
            </w:pPr>
            <w:r>
              <w:rPr>
                <w:rFonts w:ascii="Arial" w:cs="Arial" w:eastAsia="Arial" w:hAnsi="Arial"/>
                <w:sz w:val="14"/>
                <w:szCs w:val="14"/>
                <w:color w:val="auto"/>
                <w:w w:val="88"/>
              </w:rPr>
              <w:t>04/19/2016</w:t>
            </w:r>
          </w:p>
        </w:tc>
        <w:tc>
          <w:tcPr>
            <w:tcW w:w="2220" w:type="dxa"/>
            <w:vAlign w:val="bottom"/>
          </w:tcPr>
          <w:p>
            <w:pPr>
              <w:jc w:val="center"/>
              <w:spacing w:after="0" w:line="138" w:lineRule="exact"/>
              <w:rPr>
                <w:sz w:val="20"/>
                <w:szCs w:val="20"/>
                <w:color w:val="auto"/>
              </w:rPr>
            </w:pPr>
            <w:r>
              <w:rPr>
                <w:rFonts w:ascii="Arial" w:cs="Arial" w:eastAsia="Arial" w:hAnsi="Arial"/>
                <w:sz w:val="14"/>
                <w:szCs w:val="14"/>
                <w:color w:val="auto"/>
                <w:w w:val="91"/>
              </w:rPr>
              <w:t>Media: Advertising, Printing and</w:t>
            </w:r>
          </w:p>
        </w:tc>
        <w:tc>
          <w:tcPr>
            <w:tcW w:w="94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7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3,875,111</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3,843,936</w:t>
            </w:r>
          </w:p>
        </w:tc>
        <w:tc>
          <w:tcPr>
            <w:tcW w:w="96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3,875,111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144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8"/>
              </w:rPr>
              <w:t>12/22/2016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P+450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2,955,000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2,933,256</w:t>
            </w:r>
          </w:p>
        </w:tc>
        <w:tc>
          <w:tcPr>
            <w:tcW w:w="96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1,920,750</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9"/>
              </w:rPr>
              <w:t>Maturity</w:t>
            </w:r>
          </w:p>
        </w:tc>
        <w:tc>
          <w:tcPr>
            <w:tcW w:w="2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Above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Par /</w:t>
            </w:r>
          </w:p>
        </w:tc>
        <w:tc>
          <w:tcPr>
            <w:tcW w:w="60" w:type="dxa"/>
            <w:vAlign w:val="bottom"/>
          </w:tcPr>
          <w:p>
            <w:pPr>
              <w:spacing w:after="0"/>
              <w:rPr>
                <w:sz w:val="14"/>
                <w:szCs w:val="14"/>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18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b w:val="1"/>
                <w:bCs w:val="1"/>
                <w:color w:val="auto"/>
                <w:w w:val="98"/>
              </w:rPr>
              <w:t>Coupon</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Water Pik, Inc.</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08/10/2017</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760" w:type="dxa"/>
            <w:vAlign w:val="bottom"/>
            <w:tcBorders>
              <w:top w:val="single" w:sz="8" w:color="auto"/>
            </w:tcBorders>
            <w:shd w:val="clear" w:color="auto" w:fill="CCEEFF"/>
          </w:tcPr>
          <w:p>
            <w:pPr>
              <w:jc w:val="center"/>
              <w:ind w:right="272"/>
              <w:spacing w:after="0" w:line="142" w:lineRule="exact"/>
              <w:rPr>
                <w:sz w:val="20"/>
                <w:szCs w:val="20"/>
                <w:color w:val="auto"/>
              </w:rPr>
            </w:pPr>
            <w:r>
              <w:rPr>
                <w:rFonts w:ascii="Arial" w:cs="Arial" w:eastAsia="Arial" w:hAnsi="Arial"/>
                <w:sz w:val="14"/>
                <w:szCs w:val="14"/>
                <w:color w:val="auto"/>
                <w:w w:val="87"/>
              </w:rPr>
              <w:t>Consumer Goods: Durable</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6.75</w:t>
            </w:r>
          </w:p>
        </w:tc>
        <w:tc>
          <w:tcPr>
            <w:tcW w:w="400" w:type="dxa"/>
            <w:vAlign w:val="bottom"/>
            <w:tcBorders>
              <w:top w:val="single" w:sz="8" w:color="CCEEFF"/>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L+525</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3,447,500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3,420,248</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3,438,881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8"/>
              </w:rPr>
              <w:t>Consumer Goods: Non-Durable</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7.50%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3,315,000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3,254,750</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3,356,438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Z Wireless</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12/21/2016</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94"/>
              </w:rPr>
              <w:t>Retail</w:t>
            </w:r>
          </w:p>
        </w:tc>
        <w:tc>
          <w:tcPr>
            <w:tcW w:w="1000" w:type="dxa"/>
            <w:vAlign w:val="bottom"/>
            <w:gridSpan w:val="2"/>
            <w:shd w:val="clear" w:color="auto" w:fill="CCEEFF"/>
          </w:tcPr>
          <w:p>
            <w:pPr>
              <w:jc w:val="right"/>
              <w:ind w:right="92"/>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L+1,225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2,707,318</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2,656,561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2,710,078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color w:val="auto"/>
                <w:w w:val="93"/>
              </w:rPr>
              <w:t>(PIK 1.50 %)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4"/>
              </w:rPr>
              <w:t>159,997,444</w:t>
            </w:r>
          </w:p>
        </w:tc>
        <w:tc>
          <w:tcPr>
            <w:tcW w:w="60" w:type="dxa"/>
            <w:vAlign w:val="bottom"/>
          </w:tcPr>
          <w:p>
            <w:pPr>
              <w:spacing w:after="0"/>
              <w:rPr>
                <w:sz w:val="14"/>
                <w:szCs w:val="14"/>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4"/>
              </w:rPr>
              <w:t>159,682,263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Debt—7.4%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Metals and Mining</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11.50%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Berlin Packaging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03/28/2020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L+750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1,970,000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Brand Energy and Infrastructure Services, Inc.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10/23/2019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11.00%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L+975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1,906,607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1,859,054</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1,925,673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Cannery Casino Resorts,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1,668,423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1,640,500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9.13%</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1,500,000</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1,623,750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9,997,477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10,347,423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Subordinated Debt/Corporate Notes—8.6%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88"/>
              </w:rPr>
              <w:t>Consumer Goods: Non-Durable</w:t>
            </w:r>
          </w:p>
        </w:tc>
        <w:tc>
          <w:tcPr>
            <w:tcW w:w="10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11.63%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3,831,006</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2,603,500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2"/>
          </w:tcPr>
          <w:p>
            <w:pPr>
              <w:jc w:val="center"/>
              <w:ind w:right="440"/>
              <w:spacing w:after="0" w:line="138"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tcPr>
          <w:p>
            <w:pPr>
              <w:jc w:val="right"/>
              <w:ind w:right="212"/>
              <w:spacing w:after="0" w:line="138" w:lineRule="exact"/>
              <w:rPr>
                <w:sz w:val="20"/>
                <w:szCs w:val="20"/>
                <w:color w:val="auto"/>
              </w:rPr>
            </w:pPr>
            <w:r>
              <w:rPr>
                <w:rFonts w:ascii="Arial" w:cs="Arial" w:eastAsia="Arial" w:hAnsi="Arial"/>
                <w:sz w:val="14"/>
                <w:szCs w:val="14"/>
                <w:color w:val="auto"/>
              </w:rPr>
              <w:t>14.25%</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4,560,151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4,483,524</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4,696,956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72"/>
              <w:spacing w:after="0"/>
              <w:rPr>
                <w:sz w:val="20"/>
                <w:szCs w:val="20"/>
                <w:color w:val="auto"/>
              </w:rPr>
            </w:pPr>
            <w:r>
              <w:rPr>
                <w:rFonts w:ascii="Arial" w:cs="Arial" w:eastAsia="Arial" w:hAnsi="Arial"/>
                <w:sz w:val="14"/>
                <w:szCs w:val="14"/>
                <w:color w:val="auto"/>
                <w:w w:val="93"/>
              </w:rPr>
              <w:t>(PIK 2.25 %)</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6"/>
              </w:rPr>
              <w:t>Varel International Energy Mezzanine Funding Corp.</w:t>
            </w:r>
          </w:p>
        </w:tc>
        <w:tc>
          <w:tcPr>
            <w:tcW w:w="6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01/15/2018</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center"/>
              <w:ind w:right="440"/>
              <w:spacing w:after="0" w:line="139"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2"/>
            <w:shd w:val="clear" w:color="auto" w:fill="CCEEFF"/>
          </w:tcPr>
          <w:p>
            <w:pPr>
              <w:jc w:val="right"/>
              <w:ind w:right="212"/>
              <w:spacing w:after="0" w:line="139" w:lineRule="exact"/>
              <w:rPr>
                <w:sz w:val="20"/>
                <w:szCs w:val="20"/>
                <w:color w:val="auto"/>
              </w:rPr>
            </w:pPr>
            <w:r>
              <w:rPr>
                <w:rFonts w:ascii="Arial" w:cs="Arial" w:eastAsia="Arial" w:hAnsi="Arial"/>
                <w:sz w:val="14"/>
                <w:szCs w:val="14"/>
                <w:color w:val="auto"/>
              </w:rPr>
              <w:t>14.00%</w:t>
            </w:r>
          </w:p>
        </w:tc>
        <w:tc>
          <w:tcPr>
            <w:tcW w:w="8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89"/>
              </w:rPr>
              <w:t>1,774,080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1,740,367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1,766,608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color w:val="auto"/>
                <w:w w:val="93"/>
              </w:rPr>
              <w:t>(PIK 4.00 %)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Vestcom International,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06/27/2019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Media: Advertising, Printing and Publishing</w:t>
            </w:r>
          </w:p>
        </w:tc>
        <w:tc>
          <w:tcPr>
            <w:tcW w:w="10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12.00%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2,859,027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2,803,341</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2,837,100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12,858,238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11,904,164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06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286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shd w:val="clear" w:color="auto" w:fill="CCEEFF"/>
          </w:tcPr>
          <w:p>
            <w:pPr>
              <w:jc w:val="right"/>
              <w:ind w:right="212"/>
              <w:spacing w:after="0" w:line="138" w:lineRule="exact"/>
              <w:rPr>
                <w:sz w:val="20"/>
                <w:szCs w:val="20"/>
                <w:color w:val="auto"/>
              </w:rPr>
            </w:pPr>
            <w:r>
              <w:rPr>
                <w:rFonts w:ascii="Arial" w:cs="Arial" w:eastAsia="Arial" w:hAnsi="Arial"/>
                <w:sz w:val="14"/>
                <w:szCs w:val="14"/>
                <w:color w:val="auto"/>
              </w:rPr>
              <w:t>12.50%</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176</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110,697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243,338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Interests—1.2%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106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286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8"/>
              </w:rPr>
              <w:t>Telecommunications</w:t>
            </w:r>
          </w:p>
        </w:tc>
        <w:tc>
          <w:tcPr>
            <w:tcW w:w="1000" w:type="dxa"/>
            <w:vAlign w:val="bottom"/>
            <w:gridSpan w:val="2"/>
            <w:shd w:val="clear" w:color="auto" w:fill="CCEEFF"/>
          </w:tcPr>
          <w:p>
            <w:pPr>
              <w:jc w:val="right"/>
              <w:ind w:right="39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401,797</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401,450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1,494,877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 (TrustHouse</w:t>
            </w:r>
          </w:p>
        </w:tc>
        <w:tc>
          <w:tcPr>
            <w:tcW w:w="106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w:t>
            </w:r>
          </w:p>
        </w:tc>
        <w:tc>
          <w:tcPr>
            <w:tcW w:w="2860" w:type="dxa"/>
            <w:vAlign w:val="bottom"/>
            <w:gridSpan w:val="2"/>
          </w:tcPr>
          <w:p>
            <w:pPr>
              <w:jc w:val="center"/>
              <w:ind w:right="440"/>
              <w:spacing w:after="0" w:line="138"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tcPr>
          <w:p>
            <w:pPr>
              <w:jc w:val="right"/>
              <w:ind w:right="39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14,305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Group,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Parent Holdings, Inc.</w:t>
            </w:r>
          </w:p>
        </w:tc>
        <w:tc>
          <w:tcPr>
            <w:tcW w:w="106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286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1000" w:type="dxa"/>
            <w:vAlign w:val="bottom"/>
            <w:gridSpan w:val="2"/>
            <w:shd w:val="clear" w:color="auto" w:fill="CCEEFF"/>
          </w:tcPr>
          <w:p>
            <w:pPr>
              <w:jc w:val="right"/>
              <w:ind w:right="39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15,179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166,667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183,392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(Vestcom International,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573,117</w:t>
            </w:r>
          </w:p>
        </w:tc>
        <w:tc>
          <w:tcPr>
            <w:tcW w:w="6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1,692,574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Total Investments in Non-Controlled, Non-Affiliated Portfolio Companies</w:t>
            </w: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183,536,973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183,869,762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Equivalents—2.0%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2,725,248</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2,725,248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Total Investments and Cash Equivalents—134.4%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186,262,221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186,595,010</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Assets—(34.4)%</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8"/>
              </w:rPr>
              <w:t>(47,715,525)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138,879,485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30"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8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40" w:type="dxa"/>
            <w:vAlign w:val="bottom"/>
          </w:tcPr>
          <w:p>
            <w:pPr>
              <w:jc w:val="right"/>
              <w:ind w:right="353"/>
              <w:spacing w:after="0" w:line="135" w:lineRule="exact"/>
              <w:rPr>
                <w:sz w:val="20"/>
                <w:szCs w:val="20"/>
                <w:color w:val="auto"/>
              </w:rPr>
            </w:pPr>
            <w:r>
              <w:rPr>
                <w:rFonts w:ascii="Arial" w:cs="Arial" w:eastAsia="Arial" w:hAnsi="Arial"/>
                <w:sz w:val="14"/>
                <w:szCs w:val="14"/>
                <w:b w:val="1"/>
                <w:bCs w:val="1"/>
                <w:color w:val="auto"/>
              </w:rPr>
              <w:t>Current</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Par /</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280" w:type="dxa"/>
            <w:vAlign w:val="bottom"/>
          </w:tcPr>
          <w:p>
            <w:pPr>
              <w:ind w:left="560"/>
              <w:spacing w:after="0"/>
              <w:rPr>
                <w:sz w:val="20"/>
                <w:szCs w:val="20"/>
                <w:color w:val="auto"/>
              </w:rPr>
            </w:pPr>
            <w:r>
              <w:rPr>
                <w:rFonts w:ascii="Arial" w:cs="Arial" w:eastAsia="Arial" w:hAnsi="Arial"/>
                <w:sz w:val="14"/>
                <w:szCs w:val="14"/>
                <w:b w:val="1"/>
                <w:bCs w:val="1"/>
                <w:color w:val="auto"/>
              </w:rPr>
              <w:t>Maturity</w:t>
            </w:r>
          </w:p>
        </w:tc>
        <w:tc>
          <w:tcPr>
            <w:tcW w:w="222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Industry</w:t>
            </w: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Coupon</w:t>
            </w:r>
          </w:p>
        </w:tc>
        <w:tc>
          <w:tcPr>
            <w:tcW w:w="9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20" w:type="dxa"/>
            <w:vAlign w:val="bottom"/>
            <w:gridSpan w:val="3"/>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5"/>
                <w:szCs w:val="15"/>
                <w:b w:val="1"/>
                <w:bCs w:val="1"/>
                <w:color w:val="auto"/>
                <w:vertAlign w:val="superscript"/>
              </w:rPr>
              <w:t>(3),(4)</w:t>
            </w: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Debt—156.9%</w:t>
            </w:r>
          </w:p>
        </w:tc>
        <w:tc>
          <w:tcPr>
            <w:tcW w:w="12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03/25/2015</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L+800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214,286</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7"/>
              </w:rPr>
              <w:t>$  214,838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214,018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Archipelago Learning, Inc.</w:t>
            </w:r>
          </w:p>
        </w:tc>
        <w:tc>
          <w:tcPr>
            <w:tcW w:w="128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05/17/2018</w:t>
            </w:r>
          </w:p>
        </w:tc>
        <w:tc>
          <w:tcPr>
            <w:tcW w:w="2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7.50%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L+600</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987,500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959,574</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10/06/2016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2,977,500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2,937,079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2,962,613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Attachmate Corporation</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11/22/2017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2,943,750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2,888,381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2,960,309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07/31/2017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985,747</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Blue Coat Systems,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02/15/2018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3,975,000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3,902,979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4,014,750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C.H.I. Overhead Doors,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08/17/2017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3,866,119</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3,801,408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3,859,675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03/19/2018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3,733,125</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3,673,063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3,677,128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12/01/2016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981,827</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987,525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08/29/2017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L+900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3,980,000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3,904,846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4,109,350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EAG,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07/28/2017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P+350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950,104</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946,081</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945,353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04/20/2018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L+625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3,990,000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3,952,867</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4,009,950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05/18/2018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1,975,762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2,004,975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05/02/2018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2,884,003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11/30/2017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2,977,500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2,898,672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2,977,500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07/02/2018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1,995,000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1,956,496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2,012,456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09/02/2019</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9.63%</w:t>
            </w:r>
          </w:p>
        </w:tc>
        <w:tc>
          <w:tcPr>
            <w:tcW w:w="90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3,000,000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3,120,000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05/27/2016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2,956,829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2,933,351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2,934,653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11/30/2017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4,962,500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4,742,008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4,925,281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04/01/2019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L+600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2,985,000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2,929,228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2,992,463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Howard Berger Co. LLC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08/03/2017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Wholesale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2,743,125</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2,702,953</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2,715,694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03/30/2017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11.50%</w:t>
            </w:r>
          </w:p>
        </w:tc>
        <w:tc>
          <w:tcPr>
            <w:tcW w:w="90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1,963,159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Ikaria Acquisition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06/22/2016</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1,700,000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1,691,500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1,649,000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28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08/07/2014</w:t>
            </w:r>
          </w:p>
        </w:tc>
        <w:tc>
          <w:tcPr>
            <w:tcW w:w="2220" w:type="dxa"/>
            <w:vAlign w:val="bottom"/>
            <w:shd w:val="clear" w:color="auto" w:fill="CCEEFF"/>
          </w:tcPr>
          <w:p>
            <w:pPr>
              <w:jc w:val="center"/>
              <w:ind w:right="12"/>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40" w:type="dxa"/>
            <w:vAlign w:val="bottom"/>
            <w:shd w:val="clear" w:color="auto" w:fill="CCEEFF"/>
          </w:tcPr>
          <w:p>
            <w:pPr>
              <w:jc w:val="right"/>
              <w:ind w:right="3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L+338</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6,836,508</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3"/>
              </w:rPr>
              <w:t>6,534,349</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5,247,020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ind w:right="12"/>
              <w:spacing w:after="0" w:line="159" w:lineRule="exact"/>
              <w:rPr>
                <w:sz w:val="20"/>
                <w:szCs w:val="20"/>
                <w:color w:val="auto"/>
              </w:rPr>
            </w:pPr>
            <w:r>
              <w:rPr>
                <w:rFonts w:ascii="Arial" w:cs="Arial" w:eastAsia="Arial" w:hAnsi="Arial"/>
                <w:sz w:val="14"/>
                <w:szCs w:val="14"/>
                <w:color w:val="auto"/>
                <w:w w:val="89"/>
              </w:rPr>
              <w:t>Publishing</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09/10/2015</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5,476,250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5,512,699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5,558,394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06/02/2014</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4,937,500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4,845,282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4,863,438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06/19/2017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1,844,649</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1,821,373</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1,766,252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MModal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08/16/2019</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3,400,000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3,349,374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3,351,125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05/07/2018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3,950,000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3,916,596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3,921,611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12/23/2016</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2,887,500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2,826,368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2,887,500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MX USA, Inc. and KAN-DI-KI, LLC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05/01/2017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L+525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2,943,607</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2,955,150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3500" w:type="dxa"/>
            <w:vAlign w:val="bottom"/>
            <w:gridSpan w:val="2"/>
            <w:shd w:val="clear" w:color="auto" w:fill="CCEEFF"/>
          </w:tcPr>
          <w:p>
            <w:pPr>
              <w:ind w:left="520"/>
              <w:spacing w:after="0" w:line="138" w:lineRule="exact"/>
              <w:rPr>
                <w:sz w:val="20"/>
                <w:szCs w:val="20"/>
                <w:color w:val="auto"/>
              </w:rPr>
            </w:pPr>
            <w:r>
              <w:rPr>
                <w:rFonts w:ascii="Arial" w:cs="Arial" w:eastAsia="Arial" w:hAnsi="Arial"/>
                <w:sz w:val="14"/>
                <w:szCs w:val="14"/>
                <w:color w:val="auto"/>
                <w:w w:val="92"/>
              </w:rPr>
              <w:t>04/24/2018   Banking, Finance, Insurance and Real</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987,500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973,817</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997,375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0"/>
              </w:rPr>
              <w:t>Estate</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Pelican Products,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07/11/2018</w:t>
            </w:r>
          </w:p>
        </w:tc>
        <w:tc>
          <w:tcPr>
            <w:tcW w:w="222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1,496,250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1,467,389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1,492,509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28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08/01/2014</w:t>
            </w:r>
          </w:p>
        </w:tc>
        <w:tc>
          <w:tcPr>
            <w:tcW w:w="2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5.00%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L+400</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5,497,407</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3"/>
              </w:rPr>
              <w:t>4,931,995</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4,439,156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(PIK 1.00 %)</w:t>
            </w: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Potter’s Holdings II, L.P.</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05/08/2017</w:t>
            </w:r>
          </w:p>
        </w:tc>
        <w:tc>
          <w:tcPr>
            <w:tcW w:w="222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L+450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1,975,000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1,958,715</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1,967,594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07/06/2017</w:t>
            </w:r>
          </w:p>
        </w:tc>
        <w:tc>
          <w:tcPr>
            <w:tcW w:w="2220" w:type="dxa"/>
            <w:vAlign w:val="bottom"/>
            <w:shd w:val="clear" w:color="auto" w:fill="CCEEFF"/>
          </w:tcPr>
          <w:p>
            <w:pPr>
              <w:jc w:val="center"/>
              <w:ind w:right="12"/>
              <w:spacing w:after="0" w:line="149" w:lineRule="exact"/>
              <w:rPr>
                <w:sz w:val="20"/>
                <w:szCs w:val="20"/>
                <w:color w:val="auto"/>
              </w:rPr>
            </w:pPr>
            <w:r>
              <w:rPr>
                <w:rFonts w:ascii="Arial" w:cs="Arial" w:eastAsia="Arial" w:hAnsi="Arial"/>
                <w:sz w:val="14"/>
                <w:szCs w:val="14"/>
                <w:color w:val="auto"/>
                <w:w w:val="89"/>
              </w:rPr>
              <w:t>Capital Equipment</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978,077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970,036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280" w:type="dxa"/>
            <w:vAlign w:val="bottom"/>
          </w:tcPr>
          <w:p>
            <w:pPr>
              <w:ind w:left="520"/>
              <w:spacing w:after="0" w:line="138" w:lineRule="exact"/>
              <w:rPr>
                <w:sz w:val="20"/>
                <w:szCs w:val="20"/>
                <w:color w:val="auto"/>
              </w:rPr>
            </w:pPr>
            <w:r>
              <w:rPr>
                <w:rFonts w:ascii="Arial" w:cs="Arial" w:eastAsia="Arial" w:hAnsi="Arial"/>
                <w:sz w:val="14"/>
                <w:szCs w:val="14"/>
                <w:color w:val="auto"/>
              </w:rPr>
              <w:t>10/19/2017</w:t>
            </w:r>
          </w:p>
        </w:tc>
        <w:tc>
          <w:tcPr>
            <w:tcW w:w="222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04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7.75%</w:t>
            </w:r>
          </w:p>
        </w:tc>
        <w:tc>
          <w:tcPr>
            <w:tcW w:w="900" w:type="dxa"/>
            <w:vAlign w:val="bottom"/>
          </w:tcPr>
          <w:p>
            <w:pPr>
              <w:jc w:val="right"/>
              <w:ind w:right="73"/>
              <w:spacing w:after="0" w:line="138" w:lineRule="exact"/>
              <w:rPr>
                <w:sz w:val="20"/>
                <w:szCs w:val="20"/>
                <w:color w:val="auto"/>
              </w:rPr>
            </w:pPr>
            <w:r>
              <w:rPr>
                <w:rFonts w:ascii="Arial" w:cs="Arial" w:eastAsia="Arial" w:hAnsi="Arial"/>
                <w:sz w:val="14"/>
                <w:szCs w:val="14"/>
                <w:color w:val="auto"/>
              </w:rPr>
              <w:t>L+625</w:t>
            </w:r>
          </w:p>
        </w:tc>
        <w:tc>
          <w:tcPr>
            <w:tcW w:w="90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1,980,000</w:t>
            </w:r>
          </w:p>
        </w:tc>
        <w:tc>
          <w:tcPr>
            <w:tcW w:w="200" w:type="dxa"/>
            <w:vAlign w:val="bottom"/>
          </w:tcPr>
          <w:p>
            <w:pPr>
              <w:spacing w:after="0"/>
              <w:rPr>
                <w:sz w:val="11"/>
                <w:szCs w:val="11"/>
                <w:color w:val="auto"/>
              </w:rPr>
            </w:pP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w w:val="93"/>
              </w:rPr>
              <w:t>1,909,788</w:t>
            </w:r>
          </w:p>
        </w:tc>
        <w:tc>
          <w:tcPr>
            <w:tcW w:w="1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1,994,850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88"/>
              </w:rPr>
              <w:t>Subscription</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02/08/2018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3,970,000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3,898,141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Sabre Industries,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08/24/2018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2,955,509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2,973,126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05/31/2017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L+525</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2,962,500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2,938,182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2,960,648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Seven Seas Cruises S. DE R.L.</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12/21/2018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1,485,300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1,505,625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04/21/2017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2,962,512</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2,939,052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2,932,887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01/29/2018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9.00%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L+750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150,000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147,935</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01/29/2018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13.50%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L+1,200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1,875,000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1,823,914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10/27/2017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L+650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992,500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958,036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04/16/2018</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9.00%</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L+750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1,995,000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1,935,550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1,950,113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06/19/2017</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2,962,500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2,938,318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2,844,000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06/02/2017</w:t>
            </w: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L+450</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1,481,250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1,474,945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1,466,438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Vantage Specialties, Inc.</w:t>
            </w:r>
          </w:p>
        </w:tc>
        <w:tc>
          <w:tcPr>
            <w:tcW w:w="1280" w:type="dxa"/>
            <w:vAlign w:val="bottom"/>
          </w:tcPr>
          <w:p>
            <w:pPr>
              <w:ind w:left="520"/>
              <w:spacing w:after="0" w:line="149" w:lineRule="exact"/>
              <w:rPr>
                <w:sz w:val="20"/>
                <w:szCs w:val="20"/>
                <w:color w:val="auto"/>
              </w:rPr>
            </w:pPr>
            <w:r>
              <w:rPr>
                <w:rFonts w:ascii="Arial" w:cs="Arial" w:eastAsia="Arial" w:hAnsi="Arial"/>
                <w:sz w:val="14"/>
                <w:szCs w:val="14"/>
                <w:color w:val="auto"/>
              </w:rPr>
              <w:t>02/09/2018</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0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2,930,559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2,999,925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28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04/19/2016</w:t>
            </w:r>
          </w:p>
        </w:tc>
        <w:tc>
          <w:tcPr>
            <w:tcW w:w="22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Media: Advertising, Printing and</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4,187,556</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3"/>
              </w:rPr>
              <w:t>4,147,483</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4,187,556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ind w:right="12"/>
              <w:spacing w:after="0" w:line="159" w:lineRule="exact"/>
              <w:rPr>
                <w:sz w:val="20"/>
                <w:szCs w:val="20"/>
                <w:color w:val="auto"/>
              </w:rPr>
            </w:pPr>
            <w:r>
              <w:rPr>
                <w:rFonts w:ascii="Arial" w:cs="Arial" w:eastAsia="Arial" w:hAnsi="Arial"/>
                <w:sz w:val="14"/>
                <w:szCs w:val="14"/>
                <w:color w:val="auto"/>
                <w:w w:val="89"/>
              </w:rPr>
              <w:t>Publishing</w:t>
            </w: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Virtual Radiologic Corporation</w:t>
            </w:r>
          </w:p>
        </w:tc>
        <w:tc>
          <w:tcPr>
            <w:tcW w:w="1280" w:type="dxa"/>
            <w:vAlign w:val="bottom"/>
          </w:tcPr>
          <w:p>
            <w:pPr>
              <w:ind w:left="520"/>
              <w:spacing w:after="0"/>
              <w:rPr>
                <w:sz w:val="20"/>
                <w:szCs w:val="20"/>
                <w:color w:val="auto"/>
              </w:rPr>
            </w:pPr>
            <w:r>
              <w:rPr>
                <w:rFonts w:ascii="Arial" w:cs="Arial" w:eastAsia="Arial" w:hAnsi="Arial"/>
                <w:sz w:val="14"/>
                <w:szCs w:val="14"/>
                <w:color w:val="auto"/>
              </w:rPr>
              <w:t>12/22/2016</w:t>
            </w:r>
          </w:p>
        </w:tc>
        <w:tc>
          <w:tcPr>
            <w:tcW w:w="22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1040" w:type="dxa"/>
            <w:vAlign w:val="bottom"/>
          </w:tcPr>
          <w:p>
            <w:pPr>
              <w:jc w:val="right"/>
              <w:ind w:right="173"/>
              <w:spacing w:after="0"/>
              <w:rPr>
                <w:sz w:val="20"/>
                <w:szCs w:val="20"/>
                <w:color w:val="auto"/>
              </w:rPr>
            </w:pPr>
            <w:r>
              <w:rPr>
                <w:rFonts w:ascii="Arial" w:cs="Arial" w:eastAsia="Arial" w:hAnsi="Arial"/>
                <w:sz w:val="14"/>
                <w:szCs w:val="14"/>
                <w:color w:val="auto"/>
              </w:rPr>
              <w:t>7.75%</w:t>
            </w:r>
          </w:p>
        </w:tc>
        <w:tc>
          <w:tcPr>
            <w:tcW w:w="900" w:type="dxa"/>
            <w:vAlign w:val="bottom"/>
          </w:tcPr>
          <w:p>
            <w:pPr>
              <w:jc w:val="right"/>
              <w:ind w:right="73"/>
              <w:spacing w:after="0"/>
              <w:rPr>
                <w:sz w:val="20"/>
                <w:szCs w:val="20"/>
                <w:color w:val="auto"/>
              </w:rPr>
            </w:pPr>
            <w:r>
              <w:rPr>
                <w:rFonts w:ascii="Arial" w:cs="Arial" w:eastAsia="Arial" w:hAnsi="Arial"/>
                <w:sz w:val="14"/>
                <w:szCs w:val="14"/>
                <w:color w:val="auto"/>
              </w:rPr>
              <w:t>P+450</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2,970,000</w:t>
            </w: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2,940,842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2,643,300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12"/>
              <w:spacing w:after="0" w:line="135" w:lineRule="exact"/>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Par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94"/>
              </w:rPr>
              <w:t>Coupon</w:t>
            </w:r>
          </w:p>
        </w:tc>
        <w:tc>
          <w:tcPr>
            <w:tcW w:w="82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W3 CO.</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10/31/2017</w:t>
            </w:r>
          </w:p>
        </w:tc>
        <w:tc>
          <w:tcPr>
            <w:tcW w:w="10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Energy: Oil and Gas</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w:t>
            </w:r>
          </w:p>
        </w:tc>
        <w:tc>
          <w:tcPr>
            <w:tcW w:w="320" w:type="dxa"/>
            <w:vAlign w:val="bottom"/>
            <w:tcBorders>
              <w:top w:val="single" w:sz="8" w:color="CCEEFF"/>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9"/>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L+625</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1,985,000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1,916,035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1,982,519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08/10/2017</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Consumer Goods: Durable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3,465,000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3,434,281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3,456,338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03/23/2018</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Environmental Industries</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Consumer Goods: Non-Durable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7.50%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L+625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3,417,000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11.38%</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150,209,747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Metals and Mining</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11.50%</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3,082,500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Automotive</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L+900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L+875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10.25%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09/01/2018</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12.13%</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Utilities: Water</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tcPr>
          <w:p>
            <w:pPr>
              <w:spacing w:after="0"/>
              <w:rPr>
                <w:sz w:val="13"/>
                <w:szCs w:val="13"/>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9.13%</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1,500,000</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11,608,643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12,025,500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Consumer Goods: Non-Durable</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11.63%</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12/01/2017</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13.00%</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0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gridSpan w:val="2"/>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14.25%</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4,508,719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4,508,719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4"/>
                <w:szCs w:val="14"/>
                <w:color w:val="auto"/>
                <w:w w:val="93"/>
              </w:rPr>
              <w:t>(PIK 2.25 %)</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9,194,181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8,296,719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23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4"/>
              </w:rPr>
              <w:t>Beverage, Food and Tobacco</w:t>
            </w:r>
          </w:p>
        </w:tc>
        <w:tc>
          <w:tcPr>
            <w:tcW w:w="920" w:type="dxa"/>
            <w:vAlign w:val="bottom"/>
            <w:gridSpan w:val="2"/>
          </w:tcPr>
          <w:p>
            <w:pPr>
              <w:jc w:val="right"/>
              <w:ind w:right="132"/>
              <w:spacing w:after="0" w:line="138" w:lineRule="exact"/>
              <w:rPr>
                <w:sz w:val="20"/>
                <w:szCs w:val="20"/>
                <w:color w:val="auto"/>
              </w:rPr>
            </w:pPr>
            <w:r>
              <w:rPr>
                <w:rFonts w:ascii="Arial" w:cs="Arial" w:eastAsia="Arial" w:hAnsi="Arial"/>
                <w:sz w:val="14"/>
                <w:szCs w:val="14"/>
                <w:color w:val="auto"/>
              </w:rPr>
              <w:t>12.50%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176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110,697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200,571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7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23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Telecommunications</w:t>
            </w:r>
          </w:p>
        </w:tc>
        <w:tc>
          <w:tcPr>
            <w:tcW w:w="920" w:type="dxa"/>
            <w:vAlign w:val="bottom"/>
            <w:gridSpan w:val="2"/>
          </w:tcPr>
          <w:p>
            <w:pPr>
              <w:jc w:val="right"/>
              <w:ind w:right="31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401,797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401,450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1,091,018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23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5"/>
              </w:rPr>
              <w:t>Beverage, Food and Tobacco</w:t>
            </w:r>
          </w:p>
        </w:tc>
        <w:tc>
          <w:tcPr>
            <w:tcW w:w="920" w:type="dxa"/>
            <w:vAlign w:val="bottom"/>
            <w:gridSpan w:val="2"/>
            <w:shd w:val="clear" w:color="auto" w:fill="CCEEFF"/>
          </w:tcPr>
          <w:p>
            <w:pPr>
              <w:jc w:val="right"/>
              <w:ind w:right="312"/>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10,845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406,450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1,101,863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9"/>
              </w:rPr>
              <w:t>Total Investments in Non-Controlled, Non-Affiliated Portfolio</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171,578,009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w w:val="89"/>
              </w:rPr>
              <w:t>171,834,400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175,423,812</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175,680,203</w:t>
            </w: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3"/>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340" w:right="40" w:hanging="332"/>
        <w:spacing w:after="0" w:line="230"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100" w:firstLine="799"/>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9" w:lineRule="exact"/>
        <w:rPr>
          <w:sz w:val="20"/>
          <w:szCs w:val="20"/>
          <w:color w:val="auto"/>
        </w:rPr>
      </w:pPr>
    </w:p>
    <w:p>
      <w:pPr>
        <w:ind w:firstLine="799"/>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2" w:lineRule="exact"/>
        <w:rPr>
          <w:sz w:val="20"/>
          <w:szCs w:val="20"/>
          <w:color w:val="auto"/>
        </w:rPr>
      </w:pPr>
    </w:p>
    <w:p>
      <w:pPr>
        <w:jc w:val="both"/>
        <w:ind w:right="20" w:firstLine="799"/>
        <w:spacing w:after="0" w:line="288" w:lineRule="auto"/>
        <w:rPr>
          <w:sz w:val="20"/>
          <w:szCs w:val="20"/>
          <w:color w:val="auto"/>
        </w:rPr>
      </w:pPr>
      <w:r>
        <w:rPr>
          <w:rFonts w:ascii="Arial" w:cs="Arial" w:eastAsia="Arial" w:hAnsi="Arial"/>
          <w:sz w:val="12"/>
          <w:szCs w:val="12"/>
          <w:color w:val="auto"/>
        </w:rPr>
        <w:t>In April 2011, we closed our initial public offering and our common stock trades on the NASDAQ Global Select Market under the symbol “PFLT.” In connection with our April 2011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In March 2011, we sold 667 shares of common stock for $10,000 ($15.00 per share) to the Investment Adviser. See Note 3.</w:t>
      </w:r>
    </w:p>
    <w:p>
      <w:pPr>
        <w:spacing w:after="0" w:line="111" w:lineRule="exact"/>
        <w:rPr>
          <w:sz w:val="20"/>
          <w:szCs w:val="20"/>
          <w:color w:val="auto"/>
        </w:rPr>
      </w:pPr>
    </w:p>
    <w:p>
      <w:pPr>
        <w:ind w:right="360" w:firstLine="799"/>
        <w:spacing w:after="0" w:line="318" w:lineRule="auto"/>
        <w:rPr>
          <w:sz w:val="20"/>
          <w:szCs w:val="20"/>
          <w:color w:val="auto"/>
        </w:rPr>
      </w:pPr>
      <w:r>
        <w:rPr>
          <w:rFonts w:ascii="Arial" w:cs="Arial" w:eastAsia="Arial" w:hAnsi="Arial"/>
          <w:sz w:val="12"/>
          <w:szCs w:val="12"/>
          <w:color w:val="auto"/>
        </w:rPr>
        <w:t>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 See Note 11.</w:t>
      </w:r>
    </w:p>
    <w:p>
      <w:pPr>
        <w:spacing w:after="0" w:line="94" w:lineRule="exact"/>
        <w:rPr>
          <w:sz w:val="20"/>
          <w:szCs w:val="20"/>
          <w:color w:val="auto"/>
        </w:rPr>
      </w:pPr>
    </w:p>
    <w:p>
      <w:pPr>
        <w:ind w:right="140" w:firstLine="799"/>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4" w:lineRule="exact"/>
        <w:rPr>
          <w:sz w:val="20"/>
          <w:szCs w:val="20"/>
          <w:color w:val="auto"/>
        </w:rPr>
      </w:pPr>
    </w:p>
    <w:p>
      <w:pPr>
        <w:ind w:right="100" w:firstLine="799"/>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 owing with respect to such services are to be paid to us so long as the Investment Adviser remains the collateral manager. This arrangement does not increase our consolidated management fee. The five-year Credit Facility allows Funding I to borrow up to $125.0 million at LIBOR plus 200 basis points during the revolving period. The Credit Facility is secured by all of the assets held by Funding I. See Note 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right="20" w:firstLine="799"/>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40" w:lineRule="exact"/>
        <w:rPr>
          <w:sz w:val="20"/>
          <w:szCs w:val="20"/>
          <w:color w:val="auto"/>
        </w:rPr>
      </w:pPr>
    </w:p>
    <w:p>
      <w:pPr>
        <w:ind w:right="200" w:firstLine="799"/>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69" w:lineRule="exact"/>
        <w:rPr>
          <w:sz w:val="20"/>
          <w:szCs w:val="20"/>
          <w:color w:val="auto"/>
        </w:rPr>
      </w:pPr>
    </w:p>
    <w:p>
      <w:pPr>
        <w:ind w:right="60" w:firstLine="799"/>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0"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3" w:lineRule="exact"/>
        <w:rPr>
          <w:sz w:val="20"/>
          <w:szCs w:val="20"/>
          <w:color w:val="auto"/>
        </w:rPr>
      </w:pPr>
    </w:p>
    <w:p>
      <w:pPr>
        <w:ind w:right="200" w:firstLine="799"/>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1380" w:right="160" w:hanging="346"/>
        <w:spacing w:after="0" w:line="239" w:lineRule="auto"/>
        <w:tabs>
          <w:tab w:leader="none" w:pos="13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1380" w:hanging="346"/>
        <w:spacing w:after="0"/>
        <w:tabs>
          <w:tab w:leader="none" w:pos="13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1380" w:hanging="346"/>
        <w:spacing w:after="0" w:line="288" w:lineRule="auto"/>
        <w:tabs>
          <w:tab w:leader="none" w:pos="1380" w:val="left"/>
        </w:tabs>
        <w:numPr>
          <w:ilvl w:val="1"/>
          <w:numId w:val="78"/>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1380" w:right="80" w:hanging="346"/>
        <w:spacing w:after="0" w:line="239" w:lineRule="auto"/>
        <w:tabs>
          <w:tab w:leader="none" w:pos="13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1380" w:right="460" w:hanging="346"/>
        <w:spacing w:after="0" w:line="239" w:lineRule="auto"/>
        <w:tabs>
          <w:tab w:leader="none" w:pos="13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9" w:lineRule="exact"/>
        <w:rPr>
          <w:rFonts w:ascii="Arial" w:cs="Arial" w:eastAsia="Arial" w:hAnsi="Arial"/>
          <w:sz w:val="14"/>
          <w:szCs w:val="14"/>
          <w:color w:val="auto"/>
        </w:rPr>
      </w:pPr>
    </w:p>
    <w:p>
      <w:pPr>
        <w:ind w:left="540" w:hanging="190"/>
        <w:spacing w:after="0"/>
        <w:tabs>
          <w:tab w:leader="none" w:pos="540" w:val="left"/>
        </w:tabs>
        <w:numPr>
          <w:ilvl w:val="0"/>
          <w:numId w:val="7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69"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right="240" w:firstLine="799"/>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 Income Taxes</w:t>
      </w:r>
    </w:p>
    <w:p>
      <w:pPr>
        <w:spacing w:after="0" w:line="69" w:lineRule="exact"/>
        <w:rPr>
          <w:sz w:val="20"/>
          <w:szCs w:val="20"/>
          <w:color w:val="auto"/>
        </w:rPr>
      </w:pPr>
    </w:p>
    <w:p>
      <w:pPr>
        <w:ind w:right="60" w:firstLine="799"/>
        <w:spacing w:after="0" w:line="273" w:lineRule="auto"/>
        <w:rPr>
          <w:sz w:val="20"/>
          <w:szCs w:val="20"/>
          <w:color w:val="auto"/>
        </w:rPr>
      </w:pPr>
      <w:r>
        <w:rPr>
          <w:rFonts w:ascii="Arial" w:cs="Arial" w:eastAsia="Arial" w:hAnsi="Arial"/>
          <w:sz w:val="12"/>
          <w:szCs w:val="12"/>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and less than $0.1 million for the six months ended March 31, 2013 and 2012, respectively.</w:t>
      </w:r>
    </w:p>
    <w:p>
      <w:pPr>
        <w:spacing w:after="0" w:line="120" w:lineRule="exact"/>
        <w:rPr>
          <w:sz w:val="20"/>
          <w:szCs w:val="20"/>
          <w:color w:val="auto"/>
        </w:rPr>
      </w:pPr>
    </w:p>
    <w:p>
      <w:pPr>
        <w:ind w:right="80" w:firstLine="799"/>
        <w:spacing w:after="0" w:line="230"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 for our federal tax year 2011 remains subject to examination by the Internal Revenue Service and the state department of revenue.</w:t>
      </w:r>
    </w:p>
    <w:p>
      <w:pPr>
        <w:spacing w:after="0" w:line="139" w:lineRule="exact"/>
        <w:rPr>
          <w:sz w:val="20"/>
          <w:szCs w:val="20"/>
          <w:color w:val="auto"/>
        </w:rPr>
      </w:pPr>
    </w:p>
    <w:p>
      <w:pPr>
        <w:ind w:right="100" w:firstLine="799"/>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69" w:lineRule="exact"/>
        <w:rPr>
          <w:sz w:val="20"/>
          <w:szCs w:val="20"/>
          <w:color w:val="auto"/>
        </w:rPr>
      </w:pPr>
    </w:p>
    <w:p>
      <w:pPr>
        <w:ind w:right="320" w:firstLine="799"/>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w:t>
      </w:r>
    </w:p>
    <w:p>
      <w:pPr>
        <w:spacing w:after="0" w:line="139" w:lineRule="exact"/>
        <w:rPr>
          <w:sz w:val="20"/>
          <w:szCs w:val="20"/>
          <w:color w:val="auto"/>
        </w:rPr>
      </w:pPr>
    </w:p>
    <w:p>
      <w:pPr>
        <w:ind w:right="40" w:firstLine="799"/>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69" w:lineRule="exact"/>
        <w:rPr>
          <w:sz w:val="20"/>
          <w:szCs w:val="20"/>
          <w:color w:val="auto"/>
        </w:rPr>
      </w:pPr>
    </w:p>
    <w:p>
      <w:pPr>
        <w:jc w:val="both"/>
        <w:ind w:right="100" w:firstLine="799"/>
        <w:spacing w:after="0" w:line="233" w:lineRule="auto"/>
        <w:rPr>
          <w:sz w:val="20"/>
          <w:szCs w:val="20"/>
          <w:color w:val="auto"/>
        </w:rPr>
      </w:pPr>
      <w:r>
        <w:rPr>
          <w:rFonts w:ascii="Arial" w:cs="Arial" w:eastAsia="Arial" w:hAnsi="Arial"/>
          <w:sz w:val="14"/>
          <w:szCs w:val="14"/>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creditors of Funding I have received a security interest in all its assets and are not intended to be available to the creditors of PennantPark Floating Rate Capital Ltd. or any affiliate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right="100" w:firstLine="799"/>
        <w:spacing w:after="0" w:line="228"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independent directors, in February 2013.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40"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 for any partial month or quarter are appropriately pro-rated.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799"/>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firstLine="799"/>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and six months ended March 31, 2013 and 2012, the Investment Adviser did not earn a performance based incentive fee on capital gains as calculated under the Investment Management Agreement.</w:t>
      </w:r>
    </w:p>
    <w:p>
      <w:pPr>
        <w:spacing w:after="0" w:line="117" w:lineRule="exact"/>
        <w:rPr>
          <w:sz w:val="20"/>
          <w:szCs w:val="20"/>
          <w:color w:val="auto"/>
        </w:rPr>
      </w:pPr>
    </w:p>
    <w:p>
      <w:pPr>
        <w:ind w:right="160" w:firstLine="799"/>
        <w:spacing w:after="0" w:line="266"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(losses)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w:t>
      </w:r>
    </w:p>
    <w:p>
      <w:pPr>
        <w:spacing w:after="0" w:line="127" w:lineRule="exact"/>
        <w:rPr>
          <w:sz w:val="20"/>
          <w:szCs w:val="20"/>
          <w:color w:val="auto"/>
        </w:rPr>
      </w:pPr>
    </w:p>
    <w:p>
      <w:pPr>
        <w:ind w:firstLine="799"/>
        <w:spacing w:after="0" w:line="267"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the independent directors,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w:t>
      </w:r>
    </w:p>
    <w:p>
      <w:pPr>
        <w:spacing w:after="0" w:line="276" w:lineRule="exact"/>
        <w:rPr>
          <w:sz w:val="20"/>
          <w:szCs w:val="20"/>
          <w:color w:val="auto"/>
        </w:rPr>
      </w:pPr>
    </w:p>
    <w:p>
      <w:pPr>
        <w:ind w:right="80" w:firstLine="799"/>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right="40" w:firstLine="799"/>
        <w:spacing w:after="0" w:line="288" w:lineRule="auto"/>
        <w:rPr>
          <w:sz w:val="20"/>
          <w:szCs w:val="20"/>
          <w:color w:val="auto"/>
        </w:rPr>
      </w:pPr>
      <w:r>
        <w:rPr>
          <w:rFonts w:ascii="Arial" w:cs="Arial" w:eastAsia="Arial" w:hAnsi="Arial"/>
          <w:sz w:val="12"/>
          <w:szCs w:val="12"/>
          <w:color w:val="auto"/>
        </w:rPr>
        <w:t>Purchases of long-term investments, including PIK, for the three and six months ended March 31, 2013 totaled $45.1 million and $84.1 million, respectively. For the same periods in the prior year, purchases of long-term investments, including PIK, totaled $32.9 million and $72.3 million, respectively. Sales and repayments of long-term investments for the three and six months ended March 31, 2013 totaled $43.9 million and $74.2 million, respectively. For the same periods in the prior year, sales and repayments of long-term investments totaled $19.3 million and $41.6 million, respectively.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4920" w:type="dxa"/>
            <w:vAlign w:val="bottom"/>
            <w:gridSpan w:val="4"/>
          </w:tcPr>
          <w:p>
            <w:pPr>
              <w:ind w:left="340"/>
              <w:spacing w:after="0"/>
              <w:rPr>
                <w:sz w:val="20"/>
                <w:szCs w:val="20"/>
                <w:color w:val="auto"/>
              </w:rPr>
            </w:pPr>
            <w:r>
              <w:rPr>
                <w:rFonts w:ascii="Arial" w:cs="Arial" w:eastAsia="Arial" w:hAnsi="Arial"/>
                <w:sz w:val="14"/>
                <w:szCs w:val="14"/>
                <w:color w:val="auto"/>
              </w:rPr>
              <w:t>Investments and cash equivalents consisted of the following:</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60" w:type="dxa"/>
            <w:vAlign w:val="bottom"/>
            <w:vMerge w:val="restart"/>
          </w:tcPr>
          <w:p>
            <w:pPr>
              <w:spacing w:after="0"/>
              <w:rPr>
                <w:sz w:val="24"/>
                <w:szCs w:val="2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Investment Classification</w:t>
            </w:r>
          </w:p>
        </w:tc>
        <w:tc>
          <w:tcPr>
            <w:tcW w:w="3360" w:type="dxa"/>
            <w:vAlign w:val="bottom"/>
            <w:gridSpan w:val="2"/>
            <w:vMerge w:val="restart"/>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6"/>
          </w:tcPr>
          <w:p>
            <w:pPr>
              <w:ind w:left="42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640"/>
              <w:spacing w:after="0" w:line="129" w:lineRule="exact"/>
              <w:rPr>
                <w:sz w:val="20"/>
                <w:szCs w:val="20"/>
                <w:color w:val="auto"/>
              </w:rPr>
            </w:pPr>
            <w:r>
              <w:rPr>
                <w:rFonts w:ascii="Arial" w:cs="Arial" w:eastAsia="Arial" w:hAnsi="Arial"/>
                <w:sz w:val="14"/>
                <w:szCs w:val="14"/>
                <w:b w:val="1"/>
                <w:bCs w:val="1"/>
                <w:color w:val="auto"/>
              </w:rPr>
              <w:t>Cost</w:t>
            </w:r>
          </w:p>
        </w:tc>
        <w:tc>
          <w:tcPr>
            <w:tcW w:w="78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Cost</w:t>
            </w: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Fair Value</w:t>
            </w:r>
          </w:p>
        </w:tc>
        <w:tc>
          <w:tcPr>
            <w:tcW w:w="3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4920" w:type="dxa"/>
            <w:vAlign w:val="bottom"/>
            <w:tcBorders>
              <w:top w:val="single" w:sz="8" w:color="CCEEFF"/>
            </w:tcBorders>
            <w:gridSpan w:val="4"/>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12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$ 159,997,444</w:t>
            </w: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$ 159,682,263</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$ 150,258,038</w:t>
            </w:r>
          </w:p>
        </w:tc>
        <w:tc>
          <w:tcPr>
            <w:tcW w:w="3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$ 150,209,747</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4"/>
          </w:tcPr>
          <w:p>
            <w:pPr>
              <w:spacing w:after="0" w:line="149" w:lineRule="exact"/>
              <w:rPr>
                <w:sz w:val="20"/>
                <w:szCs w:val="20"/>
                <w:color w:val="auto"/>
              </w:rPr>
            </w:pPr>
            <w:r>
              <w:rPr>
                <w:rFonts w:ascii="Arial" w:cs="Arial" w:eastAsia="Arial" w:hAnsi="Arial"/>
                <w:sz w:val="14"/>
                <w:szCs w:val="14"/>
                <w:color w:val="auto"/>
              </w:rPr>
              <w:t>Second lien</w:t>
            </w:r>
          </w:p>
        </w:tc>
        <w:tc>
          <w:tcPr>
            <w:tcW w:w="2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9,997,477</w:t>
            </w:r>
          </w:p>
        </w:tc>
        <w:tc>
          <w:tcPr>
            <w:tcW w:w="38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10,347,423</w:t>
            </w:r>
          </w:p>
        </w:tc>
        <w:tc>
          <w:tcPr>
            <w:tcW w:w="124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11,608,643</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12,858,238</w:t>
            </w:r>
          </w:p>
        </w:tc>
        <w:tc>
          <w:tcPr>
            <w:tcW w:w="3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11,904,164</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3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8,296,719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920" w:type="dxa"/>
            <w:vAlign w:val="bottom"/>
            <w:gridSpan w:val="4"/>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28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683,814</w:t>
            </w:r>
          </w:p>
        </w:tc>
        <w:tc>
          <w:tcPr>
            <w:tcW w:w="38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1,935,912</w:t>
            </w:r>
          </w:p>
        </w:tc>
        <w:tc>
          <w:tcPr>
            <w:tcW w:w="2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517,147</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2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183,536,973</w:t>
            </w:r>
          </w:p>
        </w:tc>
        <w:tc>
          <w:tcPr>
            <w:tcW w:w="38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183,869,762</w:t>
            </w:r>
          </w:p>
        </w:tc>
        <w:tc>
          <w:tcPr>
            <w:tcW w:w="2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171,578,009</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171,834,400</w:t>
            </w:r>
          </w:p>
        </w:tc>
        <w:tc>
          <w:tcPr>
            <w:tcW w:w="80" w:type="dxa"/>
            <w:vAlign w:val="bottom"/>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80" w:type="dxa"/>
            <w:vAlign w:val="bottom"/>
            <w:gridSpan w:val="5"/>
          </w:tcPr>
          <w:p>
            <w:pPr>
              <w:ind w:left="460"/>
              <w:spacing w:after="0" w:line="155" w:lineRule="exact"/>
              <w:rPr>
                <w:sz w:val="20"/>
                <w:szCs w:val="20"/>
                <w:color w:val="auto"/>
              </w:rPr>
            </w:pPr>
            <w:r>
              <w:rPr>
                <w:rFonts w:ascii="Arial" w:cs="Arial" w:eastAsia="Arial" w:hAnsi="Arial"/>
                <w:sz w:val="14"/>
                <w:szCs w:val="14"/>
                <w:color w:val="auto"/>
              </w:rPr>
              <w:t>Cash equivalents</w:t>
            </w:r>
          </w:p>
        </w:tc>
        <w:tc>
          <w:tcPr>
            <w:tcW w:w="12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2,725,248</w:t>
            </w:r>
          </w:p>
        </w:tc>
        <w:tc>
          <w:tcPr>
            <w:tcW w:w="3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2,725,248</w:t>
            </w:r>
          </w:p>
        </w:tc>
        <w:tc>
          <w:tcPr>
            <w:tcW w:w="2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$ 186,262,221</w:t>
            </w:r>
          </w:p>
        </w:tc>
        <w:tc>
          <w:tcPr>
            <w:tcW w:w="3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4"/>
              </w:rPr>
              <w:t>$ 186,595,010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$ 175,423,812</w:t>
            </w:r>
          </w:p>
        </w:tc>
        <w:tc>
          <w:tcPr>
            <w:tcW w:w="3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$ 175,680,203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60" w:type="dxa"/>
            <w:vAlign w:val="bottom"/>
          </w:tcPr>
          <w:p>
            <w:pPr>
              <w:spacing w:after="0"/>
              <w:rPr>
                <w:sz w:val="24"/>
                <w:szCs w:val="24"/>
                <w:color w:val="auto"/>
              </w:rPr>
            </w:pPr>
          </w:p>
        </w:tc>
        <w:tc>
          <w:tcPr>
            <w:tcW w:w="10780" w:type="dxa"/>
            <w:vAlign w:val="bottom"/>
            <w:gridSpan w:val="19"/>
          </w:tcPr>
          <w:p>
            <w:pPr>
              <w:ind w:left="340"/>
              <w:spacing w:after="0"/>
              <w:rPr>
                <w:sz w:val="20"/>
                <w:szCs w:val="20"/>
                <w:color w:val="auto"/>
              </w:rPr>
            </w:pPr>
            <w:r>
              <w:rPr>
                <w:rFonts w:ascii="Arial" w:cs="Arial" w:eastAsia="Arial" w:hAnsi="Arial"/>
                <w:sz w:val="14"/>
                <w:szCs w:val="14"/>
                <w:color w:val="auto"/>
                <w:w w:val="86"/>
              </w:rPr>
              <w:t>The table below describes investments by industry classification and enumerates the percentage, by fair value, of the total portfolio assets (excluding cash equivalents) in such industries were as</w:t>
            </w:r>
          </w:p>
        </w:tc>
        <w:tc>
          <w:tcPr>
            <w:tcW w:w="0" w:type="dxa"/>
            <w:vAlign w:val="bottom"/>
          </w:tcPr>
          <w:p>
            <w:pPr>
              <w:spacing w:after="0"/>
              <w:rPr>
                <w:sz w:val="1"/>
                <w:szCs w:val="1"/>
                <w:color w:val="auto"/>
              </w:rPr>
            </w:pPr>
          </w:p>
        </w:tc>
      </w:tr>
      <w:tr>
        <w:trPr>
          <w:trHeight w:val="172"/>
        </w:trPr>
        <w:tc>
          <w:tcPr>
            <w:tcW w:w="5380" w:type="dxa"/>
            <w:vAlign w:val="bottom"/>
            <w:gridSpan w:val="5"/>
          </w:tcPr>
          <w:p>
            <w:pPr>
              <w:spacing w:after="0"/>
              <w:rPr>
                <w:sz w:val="20"/>
                <w:szCs w:val="20"/>
                <w:color w:val="auto"/>
              </w:rPr>
            </w:pPr>
            <w:r>
              <w:rPr>
                <w:rFonts w:ascii="Arial" w:cs="Arial" w:eastAsia="Arial" w:hAnsi="Arial"/>
                <w:sz w:val="14"/>
                <w:szCs w:val="14"/>
                <w:color w:val="auto"/>
              </w:rPr>
              <w:t>follows:</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492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rPr>
              <w:t>Industry Classification</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92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March 31, 2013</w:t>
            </w:r>
          </w:p>
        </w:tc>
        <w:tc>
          <w:tcPr>
            <w:tcW w:w="124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w w:val="85"/>
              </w:rPr>
              <w:t>September 30, 2012</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Hotel, Gaming and Leisure</w:t>
            </w:r>
          </w:p>
        </w:tc>
        <w:tc>
          <w:tcPr>
            <w:tcW w:w="1700" w:type="dxa"/>
            <w:vAlign w:val="bottom"/>
            <w:gridSpan w:val="2"/>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8%</w:t>
            </w:r>
          </w:p>
        </w:tc>
        <w:tc>
          <w:tcPr>
            <w:tcW w:w="3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Consumer Services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Business Services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Telecommunications</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Consumer Goods: Durable</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Metals and Mining</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Transportation: Consumer</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Aerospace and Defense</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24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rPr>
              <w:t>Wholesale</w:t>
            </w:r>
          </w:p>
        </w:tc>
        <w:tc>
          <w:tcPr>
            <w:tcW w:w="24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700" w:type="dxa"/>
            <w:vAlign w:val="bottom"/>
            <w:gridSpan w:val="2"/>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w:t>
            </w:r>
          </w:p>
        </w:tc>
        <w:tc>
          <w:tcPr>
            <w:tcW w:w="340" w:type="dxa"/>
            <w:vAlign w:val="bottom"/>
            <w:tcBorders>
              <w:bottom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920" w:type="dxa"/>
            <w:vAlign w:val="bottom"/>
            <w:gridSpan w:val="4"/>
          </w:tcPr>
          <w:p>
            <w:pPr>
              <w:ind w:left="920"/>
              <w:spacing w:after="0" w:line="155" w:lineRule="exact"/>
              <w:rPr>
                <w:sz w:val="20"/>
                <w:szCs w:val="20"/>
                <w:color w:val="auto"/>
              </w:rPr>
            </w:pPr>
            <w:r>
              <w:rPr>
                <w:rFonts w:ascii="Arial" w:cs="Arial" w:eastAsia="Arial" w:hAnsi="Arial"/>
                <w:sz w:val="14"/>
                <w:szCs w:val="14"/>
                <w:color w:val="auto"/>
              </w:rPr>
              <w:t>Total</w:t>
            </w:r>
          </w:p>
        </w:tc>
        <w:tc>
          <w:tcPr>
            <w:tcW w:w="242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100%</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00" w:right="960" w:hanging="580"/>
        <w:spacing w:after="0" w:line="318" w:lineRule="auto"/>
        <w:tabs>
          <w:tab w:leader="none" w:pos="14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jc w:val="center"/>
        <w:ind w:right="60"/>
        <w:spacing w:after="0"/>
        <w:tabs>
          <w:tab w:leader="none" w:pos="1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100" w:firstLine="799"/>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firstLine="799"/>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200" w:firstLine="799"/>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799"/>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2013, our ability to observe valuation inputs resulted in reclassification of assets from Level 3 to 2 and we had no other transfers between levels. This compares to the six months ended March 31, 2012, which resulted in no reclassification of assets from Levels 1, 2 or 3.</w:t>
      </w:r>
    </w:p>
    <w:p>
      <w:pPr>
        <w:spacing w:after="0" w:line="139" w:lineRule="exact"/>
        <w:rPr>
          <w:sz w:val="20"/>
          <w:szCs w:val="20"/>
          <w:color w:val="auto"/>
        </w:rPr>
      </w:pPr>
    </w:p>
    <w:p>
      <w:pPr>
        <w:ind w:right="40" w:firstLine="799"/>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jc w:val="both"/>
        <w:ind w:right="20" w:firstLine="799"/>
        <w:spacing w:after="0" w:line="233" w:lineRule="auto"/>
        <w:rPr>
          <w:sz w:val="20"/>
          <w:szCs w:val="20"/>
          <w:color w:val="auto"/>
        </w:rPr>
      </w:pPr>
      <w:r>
        <w:rPr>
          <w:rFonts w:ascii="Arial" w:cs="Arial" w:eastAsia="Arial" w:hAnsi="Arial"/>
          <w:sz w:val="14"/>
          <w:szCs w:val="14"/>
          <w:color w:val="auto"/>
        </w:rPr>
        <w:t>Under Accounting Standards Update No. 2011-04, “Fair Value Measurement: Amendments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340"/>
          </w:cols>
          <w:pgMar w:left="240" w:top="459" w:right="3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799"/>
        <w:spacing w:after="0" w:line="266" w:lineRule="auto"/>
        <w:rPr>
          <w:sz w:val="20"/>
          <w:szCs w:val="20"/>
          <w:color w:val="auto"/>
        </w:rPr>
      </w:pPr>
      <w:r>
        <w:rPr>
          <w:rFonts w:ascii="Arial" w:cs="Arial" w:eastAsia="Arial" w:hAnsi="Arial"/>
          <w:sz w:val="12"/>
          <w:szCs w:val="12"/>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4320" w:type="dxa"/>
            <w:vAlign w:val="bottom"/>
            <w:vMerge w:val="restart"/>
          </w:tcPr>
          <w:p>
            <w:pPr>
              <w:spacing w:after="0"/>
              <w:rPr>
                <w:sz w:val="14"/>
                <w:szCs w:val="14"/>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Fair Value as of</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8"/>
              </w:rPr>
              <w:t>March 31, 2013</w:t>
            </w:r>
          </w:p>
        </w:tc>
        <w:tc>
          <w:tcPr>
            <w:tcW w:w="17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36"/>
        </w:trPr>
        <w:tc>
          <w:tcPr>
            <w:tcW w:w="52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 second lien, subordinated debt/corporate notes</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157,963,729</w:t>
            </w:r>
          </w:p>
        </w:tc>
        <w:tc>
          <w:tcPr>
            <w:tcW w:w="30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Market Comparable</w:t>
            </w:r>
          </w:p>
        </w:tc>
        <w:tc>
          <w:tcPr>
            <w:tcW w:w="22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9"/>
              </w:rPr>
              <w:t>Broker/Dealer bid quotes</w:t>
            </w:r>
          </w:p>
        </w:tc>
        <w:tc>
          <w:tcPr>
            <w:tcW w:w="2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First lien, second lien, subordinated debt/corporate notes</w:t>
            </w:r>
          </w:p>
        </w:tc>
        <w:tc>
          <w:tcPr>
            <w:tcW w:w="60" w:type="dxa"/>
            <w:vAlign w:val="bottom"/>
          </w:tcPr>
          <w:p>
            <w:pPr>
              <w:spacing w:after="0"/>
              <w:rPr>
                <w:sz w:val="12"/>
                <w:szCs w:val="12"/>
                <w:color w:val="auto"/>
              </w:rPr>
            </w:pPr>
          </w:p>
        </w:tc>
        <w:tc>
          <w:tcPr>
            <w:tcW w:w="12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19,742,871</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Market Comparable</w:t>
            </w: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Market Yield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7.3% - 14.9%(12.0%)</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1,935,912</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Enterprise Market Value</w:t>
            </w:r>
          </w:p>
        </w:tc>
        <w:tc>
          <w:tcPr>
            <w:tcW w:w="1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EBITDA multiple</w:t>
            </w: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6.8x – 9.5x (8.2x)</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40"/>
              <w:spacing w:after="0"/>
              <w:rPr>
                <w:sz w:val="20"/>
                <w:szCs w:val="20"/>
                <w:color w:val="auto"/>
              </w:rPr>
            </w:pPr>
            <w:r>
              <w:rPr>
                <w:rFonts w:ascii="Arial" w:cs="Arial" w:eastAsia="Arial" w:hAnsi="Arial"/>
                <w:sz w:val="14"/>
                <w:szCs w:val="14"/>
                <w:color w:val="auto"/>
              </w:rPr>
              <w:t>Total Level 3 investments</w:t>
            </w: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179,642,512</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34,200,000</w:t>
            </w:r>
          </w:p>
        </w:tc>
        <w:tc>
          <w:tcPr>
            <w:tcW w:w="17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87"/>
              </w:rPr>
              <w:t>Market Comparable</w:t>
            </w:r>
          </w:p>
        </w:tc>
        <w:tc>
          <w:tcPr>
            <w:tcW w:w="176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89"/>
              </w:rPr>
              <w:t>Market Yield</w:t>
            </w:r>
          </w:p>
        </w:tc>
        <w:tc>
          <w:tcPr>
            <w:tcW w:w="13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4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0"/>
              </w:rPr>
              <w:t>Fair Value Measurements at March 31, 2013</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Level 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1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159,682,263</w:t>
            </w: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159,682,263</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6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10,347,423</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3"/>
              </w:rPr>
              <w:t>1,623,750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8,723,673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11,904,164</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3"/>
              </w:rPr>
              <w:t>2,603,500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9,300,664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1,935,912</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1,935,912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183,869,762</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3"/>
              </w:rPr>
              <w:t>4,227,250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179,642,512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Cash equivalents</w:t>
            </w: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2,725,248</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3"/>
              </w:rPr>
              <w:t>2,725,248</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186,595,010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2,725,248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3"/>
              </w:rPr>
              <w:t>4,227,250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179,642,512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gridSpan w:val="2"/>
            <w:vMerge w:val="continue"/>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34,200,000</w:t>
            </w:r>
          </w:p>
        </w:tc>
        <w:tc>
          <w:tcPr>
            <w:tcW w:w="60" w:type="dxa"/>
            <w:vAlign w:val="bottom"/>
          </w:tcPr>
          <w:p>
            <w:pPr>
              <w:spacing w:after="0"/>
              <w:rPr>
                <w:sz w:val="12"/>
                <w:szCs w:val="12"/>
                <w:color w:val="auto"/>
              </w:rPr>
            </w:pPr>
          </w:p>
        </w:tc>
        <w:tc>
          <w:tcPr>
            <w:tcW w:w="5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34,200,000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1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6"/>
              </w:rPr>
              <w:t>Fair Value Measurements at September 30, 2012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6"/>
              </w:rPr>
              <w:t>Fair Value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Level 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2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150,209,747</w:t>
            </w:r>
          </w:p>
        </w:tc>
        <w:tc>
          <w:tcPr>
            <w:tcW w:w="5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150,209,747</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12,025,500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3"/>
              </w:rPr>
              <w:t>2,788,000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5,508,719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1,302,434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3"/>
              </w:rPr>
              <w:t>2,788,000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169,046,400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Cash equivalents</w:t>
            </w:r>
          </w:p>
        </w:tc>
        <w:tc>
          <w:tcPr>
            <w:tcW w:w="2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gridSpan w:val="2"/>
            <w:vMerge w:val="continue"/>
          </w:tcPr>
          <w:p>
            <w:pPr>
              <w:spacing w:after="0"/>
              <w:rPr>
                <w:sz w:val="13"/>
                <w:szCs w:val="13"/>
                <w:color w:val="auto"/>
              </w:rPr>
            </w:pP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3,845,803</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3"/>
              </w:rPr>
              <w:t>3,845,803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175,680,203</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3,845,803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3"/>
              </w:rPr>
              <w:t>2,788,000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169,046,400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40" w:type="dxa"/>
            <w:vAlign w:val="bottom"/>
            <w:gridSpan w:val="2"/>
            <w:vMerge w:val="continue"/>
          </w:tcPr>
          <w:p>
            <w:pPr>
              <w:spacing w:after="0"/>
              <w:rPr>
                <w:sz w:val="12"/>
                <w:szCs w:val="12"/>
                <w:color w:val="auto"/>
              </w:rPr>
            </w:pPr>
          </w:p>
        </w:tc>
        <w:tc>
          <w:tcPr>
            <w:tcW w:w="23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75,122,500</w:t>
            </w:r>
          </w:p>
        </w:tc>
        <w:tc>
          <w:tcPr>
            <w:tcW w:w="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75,122,500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80" w:type="dxa"/>
            <w:vAlign w:val="bottom"/>
            <w:gridSpan w:val="2"/>
          </w:tcPr>
          <w:p>
            <w:pPr>
              <w:jc w:val="right"/>
              <w:ind w:right="789"/>
              <w:spacing w:after="0"/>
              <w:rPr>
                <w:sz w:val="20"/>
                <w:szCs w:val="20"/>
                <w:color w:val="auto"/>
              </w:rPr>
            </w:pPr>
            <w:r>
              <w:rPr>
                <w:rFonts w:ascii="Arial" w:cs="Arial" w:eastAsia="Arial" w:hAnsi="Arial"/>
                <w:sz w:val="14"/>
                <w:szCs w:val="14"/>
                <w:color w:val="auto"/>
              </w:rPr>
              <w:t>F-42</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2013</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88"/>
              </w:rPr>
              <w:t>Six Months Ended March 31, 2013</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subordinated debt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6"/>
          </w:tcPr>
          <w:p>
            <w:pPr>
              <w:jc w:val="right"/>
              <w:ind w:right="260"/>
              <w:spacing w:after="0" w:line="148" w:lineRule="exact"/>
              <w:rPr>
                <w:sz w:val="20"/>
                <w:szCs w:val="20"/>
                <w:color w:val="auto"/>
              </w:rPr>
            </w:pPr>
            <w:r>
              <w:rPr>
                <w:rFonts w:ascii="Arial" w:cs="Arial" w:eastAsia="Arial" w:hAnsi="Arial"/>
                <w:sz w:val="14"/>
                <w:szCs w:val="14"/>
                <w:b w:val="1"/>
                <w:bCs w:val="1"/>
                <w:color w:val="auto"/>
                <w:w w:val="98"/>
              </w:rPr>
              <w:t>First Lien</w:t>
            </w:r>
          </w:p>
        </w:tc>
        <w:tc>
          <w:tcPr>
            <w:tcW w:w="340" w:type="dxa"/>
            <w:vAlign w:val="bottom"/>
          </w:tcPr>
          <w:p>
            <w:pPr>
              <w:spacing w:after="0"/>
              <w:rPr>
                <w:sz w:val="12"/>
                <w:szCs w:val="12"/>
                <w:color w:val="auto"/>
              </w:rPr>
            </w:pPr>
          </w:p>
        </w:tc>
        <w:tc>
          <w:tcPr>
            <w:tcW w:w="1740" w:type="dxa"/>
            <w:vAlign w:val="bottom"/>
            <w:gridSpan w:val="5"/>
          </w:tcPr>
          <w:p>
            <w:pPr>
              <w:jc w:val="center"/>
              <w:ind w:right="420"/>
              <w:spacing w:after="0" w:line="148" w:lineRule="exact"/>
              <w:rPr>
                <w:sz w:val="20"/>
                <w:szCs w:val="20"/>
                <w:color w:val="auto"/>
              </w:rPr>
            </w:pPr>
            <w:r>
              <w:rPr>
                <w:rFonts w:ascii="Arial" w:cs="Arial" w:eastAsia="Arial" w:hAnsi="Arial"/>
                <w:sz w:val="14"/>
                <w:szCs w:val="14"/>
                <w:b w:val="1"/>
                <w:bCs w:val="1"/>
                <w:color w:val="auto"/>
                <w:w w:val="84"/>
              </w:rPr>
              <w:t>and equity investments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September 30, 2012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4"/>
                <w:szCs w:val="14"/>
                <w:color w:val="auto"/>
              </w:rPr>
              <w:t>150,209,747</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18,836,653</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169,046,400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1,132,985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414,485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1,547,470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(depreciation) appreciation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(266,886)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539,275</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75,103,378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9,486,250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84,589,628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(66,496,961)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(7,730,164)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(74,227,125)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(1,586,250)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(1,586,250)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March 31, 2013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159,682,263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19,960,249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179,642,512</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color w:val="auto"/>
                <w:w w:val="89"/>
              </w:rPr>
              <w:t>Net change in unrealized appreciation (depreciation) reported within the net change in unrealized appreciation on investments in</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our Consolidated Statement of Operations attributable to our Level 3 assets still held at the reporting date.</w:t>
            </w:r>
          </w:p>
        </w:tc>
        <w:tc>
          <w:tcPr>
            <w:tcW w:w="18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580,762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(1,973,070)</w:t>
            </w:r>
          </w:p>
        </w:tc>
        <w:tc>
          <w:tcPr>
            <w:tcW w:w="30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7"/>
              </w:rPr>
              <w:t>(1,392,308)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right="9"/>
              <w:spacing w:after="0"/>
              <w:rPr>
                <w:sz w:val="20"/>
                <w:szCs w:val="20"/>
                <w:color w:val="auto"/>
              </w:rPr>
            </w:pPr>
            <w:r>
              <w:rPr>
                <w:rFonts w:ascii="Arial" w:cs="Arial" w:eastAsia="Arial" w:hAnsi="Arial"/>
                <w:sz w:val="14"/>
                <w:szCs w:val="14"/>
                <w:b w:val="1"/>
                <w:bCs w:val="1"/>
                <w:color w:val="auto"/>
                <w:w w:val="88"/>
              </w:rPr>
              <w:t>Six Months Ended March 31, 2012</w:t>
            </w: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right"/>
              <w:ind w:right="140"/>
              <w:spacing w:after="0" w:line="148" w:lineRule="exact"/>
              <w:rPr>
                <w:sz w:val="20"/>
                <w:szCs w:val="20"/>
                <w:color w:val="auto"/>
              </w:rPr>
            </w:pPr>
            <w:r>
              <w:rPr>
                <w:rFonts w:ascii="Arial" w:cs="Arial" w:eastAsia="Arial" w:hAnsi="Arial"/>
                <w:sz w:val="14"/>
                <w:szCs w:val="14"/>
                <w:b w:val="1"/>
                <w:bCs w:val="1"/>
                <w:color w:val="auto"/>
                <w:w w:val="91"/>
              </w:rPr>
              <w:t>First Lien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September 30, 2011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89,329,379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18,206,115</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107,535,494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315,366</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86,442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3,176,684</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543,615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3,720,299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4"/>
              </w:rPr>
              <w:t>67,494,977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2,868,886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70,363,863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(34,010,082)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(5,533,750)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(39,543,832)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March 31, 2012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126,306,324</w:t>
            </w:r>
          </w:p>
        </w:tc>
        <w:tc>
          <w:tcPr>
            <w:tcW w:w="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16,171,308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142,477,632</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appreciation reported within the net change in unrealized appreciation on investments in our</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3,638,956</w:t>
            </w:r>
          </w:p>
        </w:tc>
        <w:tc>
          <w:tcPr>
            <w:tcW w:w="40" w:type="dxa"/>
            <w:vAlign w:val="bottom"/>
          </w:tcPr>
          <w:p>
            <w:pPr>
              <w:spacing w:after="0"/>
              <w:rPr>
                <w:sz w:val="13"/>
                <w:szCs w:val="13"/>
                <w:color w:val="auto"/>
              </w:rPr>
            </w:pPr>
          </w:p>
        </w:tc>
        <w:tc>
          <w:tcPr>
            <w:tcW w:w="540" w:type="dxa"/>
            <w:vAlign w:val="bottom"/>
            <w:gridSpan w:val="3"/>
          </w:tcPr>
          <w:p>
            <w:pPr>
              <w:ind w:left="440"/>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546,020</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4,184,976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312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20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7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76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Beginning Balance, September 30, 2012 and 2011, respectively</w:t>
            </w:r>
          </w:p>
        </w:tc>
        <w:tc>
          <w:tcPr>
            <w:tcW w:w="18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7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(cost – $75,500,000 and $24,650,000, respectively)</w:t>
            </w:r>
          </w:p>
        </w:tc>
        <w:tc>
          <w:tcPr>
            <w:tcW w:w="288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$ 75,122,500</w:t>
            </w:r>
          </w:p>
        </w:tc>
        <w:tc>
          <w:tcPr>
            <w:tcW w:w="10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$ 24,650,000</w:t>
            </w:r>
          </w:p>
        </w:tc>
        <w:tc>
          <w:tcPr>
            <w:tcW w:w="0" w:type="dxa"/>
            <w:vAlign w:val="bottom"/>
          </w:tcPr>
          <w:p>
            <w:pPr>
              <w:spacing w:after="0"/>
              <w:rPr>
                <w:sz w:val="1"/>
                <w:szCs w:val="1"/>
                <w:color w:val="auto"/>
              </w:rPr>
            </w:pPr>
          </w:p>
        </w:tc>
      </w:tr>
      <w:tr>
        <w:trPr>
          <w:trHeight w:val="149"/>
        </w:trPr>
        <w:tc>
          <w:tcPr>
            <w:tcW w:w="4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 unrealized appreciation (depreciation) included in earnings</w:t>
            </w:r>
          </w:p>
        </w:tc>
        <w:tc>
          <w:tcPr>
            <w:tcW w:w="2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377,500</w:t>
            </w:r>
          </w:p>
        </w:tc>
        <w:tc>
          <w:tcPr>
            <w:tcW w:w="10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(239,000)</w:t>
            </w: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Borrowings</w:t>
            </w:r>
          </w:p>
        </w:tc>
        <w:tc>
          <w:tcPr>
            <w:tcW w:w="2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45,250,000</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54,050,000</w:t>
            </w:r>
          </w:p>
        </w:tc>
        <w:tc>
          <w:tcPr>
            <w:tcW w:w="0" w:type="dxa"/>
            <w:vAlign w:val="bottom"/>
          </w:tcPr>
          <w:p>
            <w:pPr>
              <w:spacing w:after="0"/>
              <w:rPr>
                <w:sz w:val="1"/>
                <w:szCs w:val="1"/>
                <w:color w:val="auto"/>
              </w:rPr>
            </w:pPr>
          </w:p>
        </w:tc>
      </w:tr>
      <w:tr>
        <w:trPr>
          <w:trHeight w:val="149"/>
        </w:trPr>
        <w:tc>
          <w:tcPr>
            <w:tcW w:w="4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Repayments</w:t>
            </w:r>
          </w:p>
        </w:tc>
        <w:tc>
          <w:tcPr>
            <w:tcW w:w="28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(86,550,000)</w:t>
            </w:r>
          </w:p>
        </w:tc>
        <w:tc>
          <w:tcPr>
            <w:tcW w:w="10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(30,900,000)</w:t>
            </w: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18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4760" w:type="dxa"/>
            <w:vAlign w:val="bottom"/>
            <w:gridSpan w:val="2"/>
          </w:tcPr>
          <w:p>
            <w:pPr>
              <w:spacing w:after="0" w:line="145" w:lineRule="exact"/>
              <w:rPr>
                <w:sz w:val="20"/>
                <w:szCs w:val="20"/>
                <w:color w:val="auto"/>
              </w:rPr>
            </w:pPr>
            <w:r>
              <w:rPr>
                <w:rFonts w:ascii="Arial" w:cs="Arial" w:eastAsia="Arial" w:hAnsi="Arial"/>
                <w:sz w:val="14"/>
                <w:szCs w:val="14"/>
                <w:color w:val="auto"/>
              </w:rPr>
              <w:t>Ending Balance, March 31, 2013 and 2012, respectively</w:t>
            </w:r>
          </w:p>
        </w:tc>
        <w:tc>
          <w:tcPr>
            <w:tcW w:w="18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(cost – $34,200,000 and $47,800,000, respectively)</w:t>
            </w:r>
          </w:p>
        </w:tc>
        <w:tc>
          <w:tcPr>
            <w:tcW w:w="28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$ 34,200,000</w:t>
            </w:r>
          </w:p>
        </w:tc>
        <w:tc>
          <w:tcPr>
            <w:tcW w:w="10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$ 47,561,000</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3"/>
          </w:tcPr>
          <w:p>
            <w:pPr>
              <w:jc w:val="right"/>
              <w:ind w:right="1800"/>
              <w:spacing w:after="0"/>
              <w:rPr>
                <w:sz w:val="20"/>
                <w:szCs w:val="20"/>
                <w:color w:val="auto"/>
              </w:rPr>
            </w:pPr>
            <w:r>
              <w:rPr>
                <w:rFonts w:ascii="Arial" w:cs="Arial" w:eastAsia="Arial" w:hAnsi="Arial"/>
                <w:sz w:val="14"/>
                <w:szCs w:val="14"/>
                <w:color w:val="auto"/>
              </w:rPr>
              <w:t>F-43</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799"/>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53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r>
      <w:tr>
        <w:trPr>
          <w:trHeight w:val="142"/>
        </w:trPr>
        <w:tc>
          <w:tcPr>
            <w:tcW w:w="5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3,205,735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4,525,075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4,971,166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7,630,240</w:t>
            </w:r>
          </w:p>
        </w:tc>
        <w:tc>
          <w:tcPr>
            <w:tcW w:w="60" w:type="dxa"/>
            <w:vAlign w:val="bottom"/>
            <w:shd w:val="clear" w:color="auto" w:fill="CCEEFF"/>
          </w:tcPr>
          <w:p>
            <w:pPr>
              <w:spacing w:after="0"/>
              <w:rPr>
                <w:sz w:val="12"/>
                <w:szCs w:val="12"/>
                <w:color w:val="auto"/>
              </w:rPr>
            </w:pPr>
          </w:p>
        </w:tc>
      </w:tr>
      <w:tr>
        <w:trPr>
          <w:trHeight w:val="149"/>
        </w:trPr>
        <w:tc>
          <w:tcPr>
            <w:tcW w:w="5320" w:type="dxa"/>
            <w:vAlign w:val="bottom"/>
          </w:tcPr>
          <w:p>
            <w:pPr>
              <w:spacing w:after="0" w:line="149" w:lineRule="exact"/>
              <w:rPr>
                <w:sz w:val="20"/>
                <w:szCs w:val="20"/>
                <w:color w:val="auto"/>
              </w:rPr>
            </w:pPr>
            <w:r>
              <w:rPr>
                <w:rFonts w:ascii="Arial" w:cs="Arial" w:eastAsia="Arial" w:hAnsi="Arial"/>
                <w:sz w:val="14"/>
                <w:szCs w:val="14"/>
                <w:color w:val="auto"/>
              </w:rPr>
              <w:t>Denominator for basic weighted average shares</w:t>
            </w: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7,050,833</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3"/>
              </w:rPr>
              <w:t>6,850,667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3"/>
              </w:rPr>
              <w:t>6,949,650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6,850,667</w:t>
            </w:r>
          </w:p>
        </w:tc>
        <w:tc>
          <w:tcPr>
            <w:tcW w:w="60" w:type="dxa"/>
            <w:vAlign w:val="bottom"/>
          </w:tcPr>
          <w:p>
            <w:pPr>
              <w:spacing w:after="0"/>
              <w:rPr>
                <w:sz w:val="12"/>
                <w:szCs w:val="12"/>
                <w:color w:val="auto"/>
              </w:rPr>
            </w:pPr>
          </w:p>
        </w:tc>
      </w:tr>
      <w:tr>
        <w:trPr>
          <w:trHeight w:val="149"/>
        </w:trPr>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 for diluted weighted average shares*</w:t>
            </w: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7,080,833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3"/>
              </w:rPr>
              <w:t>6,850,667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3"/>
              </w:rPr>
              <w:t>6,964,485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6,850,667</w:t>
            </w:r>
          </w:p>
        </w:tc>
        <w:tc>
          <w:tcPr>
            <w:tcW w:w="60" w:type="dxa"/>
            <w:vAlign w:val="bottom"/>
            <w:shd w:val="clear" w:color="auto" w:fill="CCEEFF"/>
          </w:tcPr>
          <w:p>
            <w:pPr>
              <w:spacing w:after="0"/>
              <w:rPr>
                <w:sz w:val="12"/>
                <w:szCs w:val="12"/>
                <w:color w:val="auto"/>
              </w:rPr>
            </w:pPr>
          </w:p>
        </w:tc>
      </w:tr>
      <w:tr>
        <w:trPr>
          <w:trHeight w:val="149"/>
        </w:trPr>
        <w:tc>
          <w:tcPr>
            <w:tcW w:w="5320" w:type="dxa"/>
            <w:vAlign w:val="bottom"/>
          </w:tcPr>
          <w:p>
            <w:pPr>
              <w:spacing w:after="0" w:line="149" w:lineRule="exact"/>
              <w:rPr>
                <w:sz w:val="20"/>
                <w:szCs w:val="20"/>
                <w:color w:val="auto"/>
              </w:rPr>
            </w:pPr>
            <w:r>
              <w:rPr>
                <w:rFonts w:ascii="Arial" w:cs="Arial" w:eastAsia="Arial" w:hAnsi="Arial"/>
                <w:sz w:val="14"/>
                <w:szCs w:val="14"/>
                <w:color w:val="auto"/>
              </w:rPr>
              <w:t>Basic net increase in net assets per share resulting from operations</w:t>
            </w: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0.66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0.72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60" w:type="dxa"/>
            <w:vAlign w:val="bottom"/>
          </w:tcPr>
          <w:p>
            <w:pPr>
              <w:spacing w:after="0"/>
              <w:rPr>
                <w:sz w:val="12"/>
                <w:szCs w:val="12"/>
                <w:color w:val="auto"/>
              </w:rPr>
            </w:pPr>
          </w:p>
        </w:tc>
      </w:tr>
      <w:tr>
        <w:trPr>
          <w:trHeight w:val="149"/>
        </w:trPr>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increase in net assets per share resulting from operations*</w:t>
            </w:r>
          </w:p>
        </w:tc>
        <w:tc>
          <w:tcPr>
            <w:tcW w:w="1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0.71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shares issued in connection with the underwriters’ overallotment option.</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20" w:firstLine="799"/>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2013 and September 30, 2012, cash equivalents consisted of money market funds in the amounts of $2.7 million and $3.8 million, respectively.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3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3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71"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820" w:type="dxa"/>
            <w:vAlign w:val="bottom"/>
          </w:tcPr>
          <w:p>
            <w:pPr>
              <w:ind w:left="80"/>
              <w:spacing w:after="0"/>
              <w:rPr>
                <w:sz w:val="20"/>
                <w:szCs w:val="20"/>
                <w:color w:val="auto"/>
              </w:rPr>
            </w:pPr>
            <w:r>
              <w:rPr>
                <w:rFonts w:ascii="Arial" w:cs="Arial" w:eastAsia="Arial" w:hAnsi="Arial"/>
                <w:sz w:val="14"/>
                <w:szCs w:val="14"/>
                <w:color w:val="auto"/>
              </w:rPr>
              <w:t>Below are the financial highlights: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13.98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0.54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1"/>
                <w:szCs w:val="11"/>
                <w:color w:val="auto"/>
              </w:rPr>
              <w:t xml:space="preserve">Net change in realized and unrealized gain </w:t>
            </w:r>
            <w:r>
              <w:rPr>
                <w:rFonts w:ascii="Arial" w:cs="Arial" w:eastAsia="Arial" w:hAnsi="Arial"/>
                <w:sz w:val="17"/>
                <w:szCs w:val="17"/>
                <w:color w:val="auto"/>
                <w:vertAlign w:val="superscript"/>
              </w:rPr>
              <w:t>(1)</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0.18</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0.72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1"/>
                <w:szCs w:val="11"/>
                <w:color w:val="auto"/>
              </w:rPr>
              <w:t xml:space="preserve">Dividends to stockholders </w:t>
            </w:r>
            <w:r>
              <w:rPr>
                <w:rFonts w:ascii="Arial" w:cs="Arial" w:eastAsia="Arial" w:hAnsi="Arial"/>
                <w:sz w:val="17"/>
                <w:szCs w:val="17"/>
                <w:color w:val="auto"/>
                <w:vertAlign w:val="superscript"/>
              </w:rPr>
              <w:t>(1), (2)</w:t>
            </w:r>
          </w:p>
        </w:tc>
        <w:tc>
          <w:tcPr>
            <w:tcW w:w="80" w:type="dxa"/>
            <w:vAlign w:val="bottom"/>
          </w:tcPr>
          <w:p>
            <w:pPr>
              <w:spacing w:after="0"/>
              <w:rPr>
                <w:sz w:val="12"/>
                <w:szCs w:val="12"/>
                <w:color w:val="auto"/>
              </w:rPr>
            </w:pP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(0.50)</w:t>
            </w:r>
          </w:p>
        </w:tc>
        <w:tc>
          <w:tcPr>
            <w:tcW w:w="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common stock issuance and offering costs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(0.10)</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4"/>
                <w:szCs w:val="14"/>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4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60"/>
              <w:spacing w:after="0" w:line="155" w:lineRule="exact"/>
              <w:rPr>
                <w:sz w:val="20"/>
                <w:szCs w:val="20"/>
                <w:color w:val="auto"/>
              </w:rPr>
            </w:pPr>
            <w:r>
              <w:rPr>
                <w:rFonts w:ascii="Arial" w:cs="Arial" w:eastAsia="Arial" w:hAnsi="Arial"/>
                <w:sz w:val="14"/>
                <w:szCs w:val="14"/>
                <w:color w:val="auto"/>
              </w:rPr>
              <w:t>14.10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13.96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spacing w:after="0" w:line="176" w:lineRule="exact"/>
              <w:rPr>
                <w:sz w:val="20"/>
                <w:szCs w:val="20"/>
                <w:color w:val="auto"/>
              </w:rPr>
            </w:pPr>
            <w:r>
              <w:rPr>
                <w:rFonts w:ascii="Arial" w:cs="Arial" w:eastAsia="Arial" w:hAnsi="Arial"/>
                <w:sz w:val="13"/>
                <w:szCs w:val="13"/>
                <w:color w:val="auto"/>
              </w:rPr>
              <w:t xml:space="preserve">Total return* </w:t>
            </w:r>
            <w:r>
              <w:rPr>
                <w:rFonts w:ascii="Arial" w:cs="Arial" w:eastAsia="Arial" w:hAnsi="Arial"/>
                <w:sz w:val="20"/>
                <w:szCs w:val="20"/>
                <w:color w:val="auto"/>
                <w:vertAlign w:val="superscript"/>
              </w:rPr>
              <w:t>(3)</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14.34%</w:t>
            </w:r>
          </w:p>
        </w:tc>
        <w:tc>
          <w:tcPr>
            <w:tcW w:w="6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9,851,151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6,850,667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Ratios / Supplemental Data: **</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Ratio of operating expenses to average net assets </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1"/>
                <w:szCs w:val="11"/>
                <w:color w:val="auto"/>
              </w:rPr>
              <w:t xml:space="preserve">Ratio of Credit Facility related expenses to average net assets </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2.37%</w:t>
            </w: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8.05%</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7.27%</w:t>
            </w: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w w:val="82"/>
              </w:rPr>
              <w:t>138,879,485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96,722,305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4"/>
                <w:szCs w:val="14"/>
                <w:color w:val="auto"/>
              </w:rPr>
              <w:t>Average debt outstanding</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4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60"/>
              <w:spacing w:after="0" w:line="155" w:lineRule="exact"/>
              <w:rPr>
                <w:sz w:val="20"/>
                <w:szCs w:val="20"/>
                <w:color w:val="auto"/>
              </w:rPr>
            </w:pPr>
            <w:r>
              <w:rPr>
                <w:rFonts w:ascii="Arial" w:cs="Arial" w:eastAsia="Arial" w:hAnsi="Arial"/>
                <w:sz w:val="14"/>
                <w:szCs w:val="14"/>
                <w:color w:val="auto"/>
                <w:w w:val="91"/>
              </w:rPr>
              <w:t>73,503,159</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82"/>
              </w:rPr>
              <w:t>34,512,568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per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10.58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85.12%</w:t>
            </w: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5176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ind w:right="8580" w:firstLine="8"/>
        <w:spacing w:after="0" w:line="268" w:lineRule="auto"/>
        <w:tabs>
          <w:tab w:leader="none" w:pos="216" w:val="left"/>
        </w:tabs>
        <w:numPr>
          <w:ilvl w:val="0"/>
          <w:numId w:val="81"/>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(1)</w:t>
      </w:r>
      <w:r>
        <w:rPr>
          <w:rFonts w:ascii="Arial" w:cs="Arial" w:eastAsia="Arial" w:hAnsi="Arial"/>
          <w:sz w:val="11"/>
          <w:szCs w:val="11"/>
          <w:color w:val="auto"/>
        </w:rPr>
        <w:t xml:space="preserve">  Per share data are calculated based on the weighted average shares outstanding for the respective periods.</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Dividends and distributions are determined based on taxable income calculated in accordance with income tax regulations, which may differ from amounts determined under GAAP.</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(3)</w:t>
      </w:r>
      <w:r>
        <w:rPr>
          <w:rFonts w:ascii="Arial" w:cs="Arial" w:eastAsia="Arial" w:hAnsi="Arial"/>
          <w:sz w:val="11"/>
          <w:szCs w:val="11"/>
          <w:color w:val="auto"/>
        </w:rPr>
        <w:t xml:space="preserve">  Total return is based on the change in market price per share during the period and takes into account dividends and distributions, if any, reinvested in accordance with our dividend reinvestment plan.</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(4)</w:t>
      </w:r>
      <w:r>
        <w:rPr>
          <w:rFonts w:ascii="Arial" w:cs="Arial" w:eastAsia="Arial" w:hAnsi="Arial"/>
          <w:sz w:val="11"/>
          <w:szCs w:val="11"/>
          <w:color w:val="auto"/>
        </w:rPr>
        <w:t xml:space="preserve">  Operating expenses exclude Credit Facility amendment costs.</w:t>
      </w:r>
    </w:p>
    <w:p>
      <w:pPr>
        <w:spacing w:after="0"/>
        <w:rPr>
          <w:rFonts w:ascii="Arial" w:cs="Arial" w:eastAsia="Arial" w:hAnsi="Arial"/>
          <w:sz w:val="12"/>
          <w:szCs w:val="12"/>
          <w:color w:val="auto"/>
        </w:rPr>
      </w:pPr>
      <w:r>
        <w:rPr>
          <w:rFonts w:ascii="Arial" w:cs="Arial" w:eastAsia="Arial" w:hAnsi="Arial"/>
          <w:sz w:val="22"/>
          <w:szCs w:val="22"/>
          <w:color w:val="auto"/>
          <w:vertAlign w:val="superscript"/>
        </w:rPr>
        <w:t>(5)</w:t>
      </w:r>
      <w:r>
        <w:rPr>
          <w:rFonts w:ascii="Arial" w:cs="Arial" w:eastAsia="Arial" w:hAnsi="Arial"/>
          <w:sz w:val="14"/>
          <w:szCs w:val="14"/>
          <w:color w:val="auto"/>
        </w:rPr>
        <w:t xml:space="preserve">  Ratio does not annualize Credit Facility amendment costs.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71" w:lineRule="exact"/>
        <w:rPr>
          <w:sz w:val="20"/>
          <w:szCs w:val="20"/>
          <w:color w:val="auto"/>
        </w:rPr>
      </w:pPr>
    </w:p>
    <w:p>
      <w:pPr>
        <w:ind w:firstLine="799"/>
        <w:spacing w:after="0" w:line="278" w:lineRule="auto"/>
        <w:rPr>
          <w:sz w:val="20"/>
          <w:szCs w:val="20"/>
          <w:color w:val="auto"/>
        </w:rPr>
      </w:pPr>
      <w:r>
        <w:rPr>
          <w:rFonts w:ascii="Arial" w:cs="Arial" w:eastAsia="Arial" w:hAnsi="Arial"/>
          <w:sz w:val="12"/>
          <w:szCs w:val="12"/>
          <w:color w:val="auto"/>
        </w:rPr>
        <w:t>On March 29, 2013, we amended Funding I’s Credit Facility with SunTrust Bank, or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(as defined below) to May 2016. As of March 31, 2013 and September 30, 2012, Funding I had $34.2 million and $75.5 million of outstanding borrowings under the Credit Facility, respectively, and carried an interest rate of 2.21% and 2.47%, respectively, excluding the 0.375% undrawn commitment fee.</w:t>
      </w:r>
    </w:p>
    <w:p>
      <w:pPr>
        <w:spacing w:after="0" w:line="117" w:lineRule="exact"/>
        <w:rPr>
          <w:sz w:val="20"/>
          <w:szCs w:val="20"/>
          <w:color w:val="auto"/>
        </w:rPr>
      </w:pPr>
    </w:p>
    <w:p>
      <w:pPr>
        <w:jc w:val="both"/>
        <w:ind w:right="20" w:firstLine="799"/>
        <w:spacing w:after="0" w:line="288" w:lineRule="auto"/>
        <w:rPr>
          <w:sz w:val="20"/>
          <w:szCs w:val="20"/>
          <w:color w:val="auto"/>
        </w:rPr>
      </w:pPr>
      <w:r>
        <w:rPr>
          <w:rFonts w:ascii="Arial" w:cs="Arial" w:eastAsia="Arial" w:hAnsi="Arial"/>
          <w:sz w:val="12"/>
          <w:szCs w:val="12"/>
          <w:color w:val="auto"/>
        </w:rPr>
        <w:t>During the period to and including May 14,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280"/>
          </w:cols>
          <w:pgMar w:left="240" w:top="459" w:right="3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2013</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firstLine="799"/>
        <w:spacing w:after="0" w:line="230"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39" w:lineRule="exact"/>
        <w:rPr>
          <w:sz w:val="20"/>
          <w:szCs w:val="20"/>
          <w:color w:val="auto"/>
        </w:rPr>
      </w:pPr>
    </w:p>
    <w:p>
      <w:pPr>
        <w:ind w:right="100" w:firstLine="799"/>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right="120" w:firstLine="799"/>
        <w:spacing w:after="0" w:line="230"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 owing with respect to such services are to be paid to the Company so long as the Investment Adviser remains the collateral manager.</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71"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SUBSEQUENT EVENTS</w:t>
      </w:r>
    </w:p>
    <w:p>
      <w:pPr>
        <w:spacing w:after="0" w:line="71" w:lineRule="exact"/>
        <w:rPr>
          <w:sz w:val="20"/>
          <w:szCs w:val="20"/>
          <w:color w:val="auto"/>
        </w:rPr>
      </w:pPr>
    </w:p>
    <w:p>
      <w:pPr>
        <w:ind w:right="580" w:firstLine="799"/>
        <w:spacing w:after="0" w:line="318" w:lineRule="auto"/>
        <w:rPr>
          <w:sz w:val="20"/>
          <w:szCs w:val="20"/>
          <w:color w:val="auto"/>
        </w:rPr>
      </w:pPr>
      <w:r>
        <w:rPr>
          <w:rFonts w:ascii="Arial" w:cs="Arial" w:eastAsia="Arial" w:hAnsi="Arial"/>
          <w:sz w:val="12"/>
          <w:szCs w:val="12"/>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660" w:hanging="524"/>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660" w:hanging="524"/>
        <w:spacing w:after="0"/>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660" w:right="420" w:hanging="565"/>
        <w:spacing w:after="0" w:line="239"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Articles of Amendment and Restatement of the Registrant (Incorporated by reference to Exhibit 99(A) to the Registrant’s Registration Statement on Form N-2 (File No. 333-170243), filed on March 29, 2011).</w:t>
      </w:r>
    </w:p>
    <w:p>
      <w:pPr>
        <w:spacing w:after="0" w:line="152" w:lineRule="exact"/>
        <w:rPr>
          <w:rFonts w:ascii="Arial" w:cs="Arial" w:eastAsia="Arial" w:hAnsi="Arial"/>
          <w:sz w:val="14"/>
          <w:szCs w:val="14"/>
          <w:color w:val="auto"/>
        </w:rPr>
      </w:pPr>
    </w:p>
    <w:p>
      <w:pPr>
        <w:ind w:left="660" w:hanging="569"/>
        <w:spacing w:after="0"/>
        <w:tabs>
          <w:tab w:leader="none" w:pos="6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Quarterly Report on Form 10-Q (File No. 814-00891), filed on May 3, 2012).</w:t>
      </w:r>
    </w:p>
    <w:p>
      <w:pPr>
        <w:spacing w:after="0" w:line="186"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(d)(1)</w:t>
      </w:r>
      <w:r>
        <w:rPr>
          <w:rFonts w:ascii="Arial" w:cs="Arial" w:eastAsia="Arial" w:hAnsi="Arial"/>
          <w:sz w:val="12"/>
          <w:szCs w:val="12"/>
          <w:color w:val="auto"/>
        </w:rPr>
        <w:t>Form of Share Certificate (Incorporated by reference to Exhibit 99(D) to the Registrant’s Registration Statement on Form N-2 (File No. 333-170243), filed on April 5, 2011).</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(d)(2)</w:t>
      </w:r>
      <w:r>
        <w:rPr>
          <w:rFonts w:ascii="Arial" w:cs="Arial" w:eastAsia="Arial" w:hAnsi="Arial"/>
          <w:sz w:val="12"/>
          <w:szCs w:val="12"/>
          <w:color w:val="auto"/>
        </w:rPr>
        <w:t>Form of Subscription Certificate (Incorporated by reference to Exhibit 99(D)(2) to the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(d)(3)</w:t>
      </w:r>
      <w:r>
        <w:rPr>
          <w:rFonts w:ascii="Arial" w:cs="Arial" w:eastAsia="Arial" w:hAnsi="Arial"/>
          <w:sz w:val="12"/>
          <w:szCs w:val="12"/>
          <w:color w:val="auto"/>
        </w:rPr>
        <w:t>Form of Indenture (Incorporated by reference to Exhibit 99(D)(3) to the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(d)(4)</w:t>
      </w:r>
      <w:r>
        <w:rPr>
          <w:rFonts w:ascii="Arial" w:cs="Arial" w:eastAsia="Arial" w:hAnsi="Arial"/>
          <w:sz w:val="12"/>
          <w:szCs w:val="12"/>
          <w:color w:val="auto"/>
        </w:rPr>
        <w:t>Form of Subscription Agent Agreement (Incorporated by reference to Exhibit 99(D)(4) to the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(d)(5)</w:t>
      </w:r>
      <w:r>
        <w:rPr>
          <w:rFonts w:ascii="Arial" w:cs="Arial" w:eastAsia="Arial" w:hAnsi="Arial"/>
          <w:sz w:val="12"/>
          <w:szCs w:val="12"/>
          <w:color w:val="auto"/>
        </w:rPr>
        <w:t>Form of Warrant Agreement (Incorporated by reference to Exhibit 99(D)(5) to the Registration Statement on Form N-2 (File No. 333-180084), filed on March 14, 2012).</w:t>
      </w:r>
    </w:p>
    <w:p>
      <w:pPr>
        <w:spacing w:after="0" w:line="163" w:lineRule="exact"/>
        <w:rPr>
          <w:sz w:val="20"/>
          <w:szCs w:val="20"/>
          <w:color w:val="auto"/>
        </w:rPr>
      </w:pPr>
    </w:p>
    <w:p>
      <w:pPr>
        <w:ind w:left="660" w:right="220" w:hanging="639"/>
        <w:spacing w:after="0" w:line="239" w:lineRule="auto"/>
        <w:tabs>
          <w:tab w:leader="none" w:pos="640" w:val="left"/>
        </w:tabs>
        <w:rPr>
          <w:sz w:val="20"/>
          <w:szCs w:val="20"/>
          <w:color w:val="auto"/>
        </w:rPr>
      </w:pPr>
      <w:r>
        <w:rPr>
          <w:rFonts w:ascii="Arial" w:cs="Arial" w:eastAsia="Arial" w:hAnsi="Arial"/>
          <w:sz w:val="14"/>
          <w:szCs w:val="14"/>
          <w:color w:val="auto"/>
        </w:rPr>
        <w:t>(d)(6)</w:t>
      </w:r>
      <w:r>
        <w:rPr>
          <w:sz w:val="20"/>
          <w:szCs w:val="20"/>
          <w:color w:val="auto"/>
        </w:rPr>
        <w:tab/>
      </w:r>
      <w:r>
        <w:rPr>
          <w:rFonts w:ascii="Arial" w:cs="Arial" w:eastAsia="Arial" w:hAnsi="Arial"/>
          <w:sz w:val="14"/>
          <w:szCs w:val="14"/>
          <w:color w:val="auto"/>
        </w:rPr>
        <w:t>Form T-1 Statement of Eligibility with respect to the Form of Indenture (Incorporated by reference to Exhibit 99(D)(6) to the Registration Statement on Form N-2 (File No. 333-180084), filed on March 14,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4"/>
          <w:szCs w:val="14"/>
          <w:color w:val="auto"/>
        </w:rPr>
        <w:t>(d)(7)</w:t>
      </w:r>
      <w:r>
        <w:rPr>
          <w:sz w:val="20"/>
          <w:szCs w:val="20"/>
          <w:color w:val="auto"/>
        </w:rPr>
        <w:tab/>
      </w:r>
      <w:r>
        <w:rPr>
          <w:rFonts w:ascii="Arial" w:cs="Arial" w:eastAsia="Arial" w:hAnsi="Arial"/>
          <w:sz w:val="14"/>
          <w:szCs w:val="14"/>
          <w:color w:val="auto"/>
        </w:rPr>
        <w:t>Form of Articles Supplementary (Incorporated by reference to Exhibit 99(D)(7) to the Registration Statement on Form N-2 (File No. 333-180084), filed on March 14, 2012).</w:t>
      </w:r>
    </w:p>
    <w:p>
      <w:pPr>
        <w:spacing w:after="0" w:line="163" w:lineRule="exact"/>
        <w:rPr>
          <w:sz w:val="20"/>
          <w:szCs w:val="20"/>
          <w:color w:val="auto"/>
        </w:rPr>
      </w:pPr>
    </w:p>
    <w:p>
      <w:pPr>
        <w:ind w:left="660" w:hanging="565"/>
        <w:spacing w:after="0"/>
        <w:tabs>
          <w:tab w:leader="none" w:pos="6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660" w:right="120" w:hanging="569"/>
        <w:spacing w:after="0" w:line="239"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Amended and Restated Investment Advisory Agreement, dated as of August 7, 2012, between PennantPark Floating Rate Capital Ltd. and PennantPark Investment Advisers, LLC (Incorporated by reference to Exhibit 10.2 to the Registrant’s Quarterly Report on Form 10-Q (File No. 814-00891), filed on August 9,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(h)(1)</w:t>
      </w:r>
      <w:r>
        <w:rPr>
          <w:sz w:val="20"/>
          <w:szCs w:val="20"/>
          <w:color w:val="auto"/>
        </w:rPr>
        <w:tab/>
      </w:r>
      <w:r>
        <w:rPr>
          <w:rFonts w:ascii="Arial" w:cs="Arial" w:eastAsia="Arial" w:hAnsi="Arial"/>
          <w:sz w:val="12"/>
          <w:szCs w:val="12"/>
          <w:color w:val="auto"/>
        </w:rPr>
        <w:t>Form of Underwriting Agreement for equity (Incorporated by reference to Exhibit 99(H)(3) to the Registrant’s Registration Statement on Form N-2 (File No. 333-180084), filed on March 14, 2012).</w:t>
      </w:r>
    </w:p>
    <w:p>
      <w:pPr>
        <w:spacing w:after="0" w:line="18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(h)(2)</w:t>
      </w:r>
      <w:r>
        <w:rPr>
          <w:sz w:val="20"/>
          <w:szCs w:val="20"/>
          <w:color w:val="auto"/>
        </w:rPr>
        <w:tab/>
      </w:r>
      <w:r>
        <w:rPr>
          <w:rFonts w:ascii="Arial" w:cs="Arial" w:eastAsia="Arial" w:hAnsi="Arial"/>
          <w:sz w:val="12"/>
          <w:szCs w:val="12"/>
          <w:color w:val="auto"/>
        </w:rPr>
        <w:t>Form of Underwriting Agreement for debt (Incorporated by reference to Exhibit 99(H)(2) to the Registrant’s Registration Statement on Form N-2 (File No. 333-180084), filed on March 14, 2012).</w:t>
      </w:r>
    </w:p>
    <w:p>
      <w:pPr>
        <w:spacing w:after="0" w:line="18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(h)(3)</w:t>
      </w:r>
      <w:r>
        <w:rPr>
          <w:sz w:val="20"/>
          <w:szCs w:val="20"/>
          <w:color w:val="auto"/>
        </w:rPr>
        <w:tab/>
      </w:r>
      <w:r>
        <w:rPr>
          <w:rFonts w:ascii="Arial" w:cs="Arial" w:eastAsia="Arial" w:hAnsi="Arial"/>
          <w:sz w:val="12"/>
          <w:szCs w:val="12"/>
          <w:color w:val="auto"/>
        </w:rPr>
        <w:t>Underwriting Agreement dated March 21, 2013 (incorporated by reference to Exhibit (H)(3) to the Registrant’s Post-Effective Amendment No. 1 to the Registration Statement on Form N-2 (File No.</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333-180084), filed on March 21, 2013).</w:t>
      </w:r>
    </w:p>
    <w:p>
      <w:pPr>
        <w:spacing w:after="0" w:line="152" w:lineRule="exact"/>
        <w:rPr>
          <w:sz w:val="20"/>
          <w:szCs w:val="20"/>
          <w:color w:val="auto"/>
        </w:rPr>
      </w:pPr>
    </w:p>
    <w:p>
      <w:pPr>
        <w:ind w:left="660" w:right="140" w:hanging="554"/>
        <w:spacing w:after="0" w:line="239" w:lineRule="auto"/>
        <w:tabs>
          <w:tab w:leader="none" w:pos="6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52" w:lineRule="exact"/>
        <w:rPr>
          <w:sz w:val="20"/>
          <w:szCs w:val="20"/>
          <w:color w:val="auto"/>
        </w:rPr>
      </w:pPr>
    </w:p>
    <w:p>
      <w:pPr>
        <w:ind w:left="660" w:right="360" w:hanging="639"/>
        <w:spacing w:after="0" w:line="239" w:lineRule="auto"/>
        <w:tabs>
          <w:tab w:leader="none" w:pos="640" w:val="left"/>
        </w:tabs>
        <w:rPr>
          <w:sz w:val="20"/>
          <w:szCs w:val="20"/>
          <w:color w:val="auto"/>
        </w:rPr>
      </w:pPr>
      <w:r>
        <w:rPr>
          <w:rFonts w:ascii="Arial" w:cs="Arial" w:eastAsia="Arial" w:hAnsi="Arial"/>
          <w:sz w:val="14"/>
          <w:szCs w:val="14"/>
          <w:color w:val="auto"/>
        </w:rPr>
        <w:t>(k)(1)</w:t>
      </w:r>
      <w:r>
        <w:rPr>
          <w:sz w:val="20"/>
          <w:szCs w:val="20"/>
          <w:color w:val="auto"/>
        </w:rPr>
        <w:tab/>
      </w:r>
      <w:r>
        <w:rPr>
          <w:rFonts w:ascii="Arial" w:cs="Arial" w:eastAsia="Arial" w:hAnsi="Arial"/>
          <w:sz w:val="14"/>
          <w:szCs w:val="14"/>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152" w:lineRule="exact"/>
        <w:rPr>
          <w:sz w:val="20"/>
          <w:szCs w:val="20"/>
          <w:color w:val="auto"/>
        </w:rPr>
      </w:pPr>
    </w:p>
    <w:p>
      <w:pPr>
        <w:ind w:left="660" w:right="240" w:hanging="639"/>
        <w:spacing w:after="0" w:line="239" w:lineRule="auto"/>
        <w:tabs>
          <w:tab w:leader="none" w:pos="640" w:val="left"/>
        </w:tabs>
        <w:rPr>
          <w:sz w:val="20"/>
          <w:szCs w:val="20"/>
          <w:color w:val="auto"/>
        </w:rPr>
      </w:pPr>
      <w:r>
        <w:rPr>
          <w:rFonts w:ascii="Arial" w:cs="Arial" w:eastAsia="Arial" w:hAnsi="Arial"/>
          <w:sz w:val="14"/>
          <w:szCs w:val="14"/>
          <w:color w:val="auto"/>
        </w:rPr>
        <w:t>(k)(2)</w:t>
      </w:r>
      <w:r>
        <w:rPr>
          <w:sz w:val="20"/>
          <w:szCs w:val="20"/>
          <w:color w:val="auto"/>
        </w:rPr>
        <w:tab/>
      </w:r>
      <w:r>
        <w:rPr>
          <w:rFonts w:ascii="Arial" w:cs="Arial" w:eastAsia="Arial" w:hAnsi="Arial"/>
          <w:sz w:val="14"/>
          <w:szCs w:val="14"/>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(k)(3)</w:t>
      </w:r>
      <w:r>
        <w:rPr>
          <w:sz w:val="20"/>
          <w:szCs w:val="20"/>
          <w:color w:val="auto"/>
        </w:rPr>
        <w:tab/>
      </w:r>
      <w:r>
        <w:rPr>
          <w:rFonts w:ascii="Arial" w:cs="Arial" w:eastAsia="Arial" w:hAnsi="Arial"/>
          <w:sz w:val="12"/>
          <w:szCs w:val="12"/>
          <w:color w:val="auto"/>
        </w:rPr>
        <w:t>Trademark License Agreement (Incorporated by reference to Exhibit 99(K)(3) to the Registrant’s Registration Statement on Form N-2 (File No. 333-170243), filed on March 29, 2011).</w:t>
      </w:r>
    </w:p>
    <w:p>
      <w:pPr>
        <w:spacing w:after="0" w:line="186" w:lineRule="exact"/>
        <w:rPr>
          <w:sz w:val="20"/>
          <w:szCs w:val="20"/>
          <w:color w:val="auto"/>
        </w:rPr>
      </w:pPr>
    </w:p>
    <w:p>
      <w:pPr>
        <w:ind w:left="660" w:hanging="639"/>
        <w:spacing w:after="0" w:line="288" w:lineRule="auto"/>
        <w:tabs>
          <w:tab w:leader="none" w:pos="640" w:val="left"/>
        </w:tabs>
        <w:rPr>
          <w:sz w:val="20"/>
          <w:szCs w:val="20"/>
          <w:color w:val="auto"/>
        </w:rPr>
      </w:pPr>
      <w:r>
        <w:rPr>
          <w:rFonts w:ascii="Arial" w:cs="Arial" w:eastAsia="Arial" w:hAnsi="Arial"/>
          <w:sz w:val="12"/>
          <w:szCs w:val="12"/>
          <w:color w:val="auto"/>
        </w:rPr>
        <w:t>(k)(4)</w:t>
      </w:r>
      <w:r>
        <w:rPr>
          <w:sz w:val="20"/>
          <w:szCs w:val="20"/>
          <w:color w:val="auto"/>
        </w:rPr>
        <w:tab/>
      </w:r>
      <w:r>
        <w:rPr>
          <w:rFonts w:ascii="Arial" w:cs="Arial" w:eastAsia="Arial" w:hAnsi="Arial"/>
          <w:sz w:val="12"/>
          <w:szCs w:val="12"/>
          <w:color w:val="auto"/>
        </w:rPr>
        <w:t>Amended and Restated Revolving Credit and Security Agreement, dated as of May 14, 2012, among PennantPark Floating Rate Funding I, LLC, as borrower, PennantPark Investment Advisers, LLC, as collateral manager, the lenders from time to time party thereto, SunTrust Bank, as administrative agent, U.S. Bank National Association, as collateral agent, as backup collateral manager and as custodian (Incorporated by reference to Exhibit 10.1 to the Registrant’s Quarterly Report on Form 10-Q, (File No. 814-00891), filed on August 9, 2012).</w:t>
      </w:r>
    </w:p>
    <w:p>
      <w:pPr>
        <w:spacing w:after="0" w:line="124" w:lineRule="exact"/>
        <w:rPr>
          <w:sz w:val="20"/>
          <w:szCs w:val="20"/>
          <w:color w:val="auto"/>
        </w:rPr>
      </w:pPr>
    </w:p>
    <w:p>
      <w:pPr>
        <w:ind w:left="660" w:right="560" w:hanging="639"/>
        <w:spacing w:after="0" w:line="318" w:lineRule="auto"/>
        <w:tabs>
          <w:tab w:leader="none" w:pos="640" w:val="left"/>
        </w:tabs>
        <w:rPr>
          <w:sz w:val="20"/>
          <w:szCs w:val="20"/>
          <w:color w:val="auto"/>
        </w:rPr>
      </w:pPr>
      <w:r>
        <w:rPr>
          <w:rFonts w:ascii="Arial" w:cs="Arial" w:eastAsia="Arial" w:hAnsi="Arial"/>
          <w:sz w:val="12"/>
          <w:szCs w:val="12"/>
          <w:color w:val="auto"/>
        </w:rPr>
        <w:t>(k)(5)</w:t>
      </w:r>
      <w:r>
        <w:rPr>
          <w:sz w:val="20"/>
          <w:szCs w:val="20"/>
          <w:color w:val="auto"/>
        </w:rPr>
        <w:tab/>
      </w:r>
      <w:r>
        <w:rPr>
          <w:rFonts w:ascii="Arial" w:cs="Arial" w:eastAsia="Arial" w:hAnsi="Arial"/>
          <w:sz w:val="12"/>
          <w:szCs w:val="12"/>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860" w:hanging="555"/>
        <w:spacing w:after="0"/>
        <w:tabs>
          <w:tab w:leader="none" w:pos="860" w:val="left"/>
        </w:tabs>
        <w:numPr>
          <w:ilvl w:val="0"/>
          <w:numId w:val="88"/>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96" w:lineRule="exact"/>
        <w:rPr>
          <w:sz w:val="20"/>
          <w:szCs w:val="20"/>
          <w:color w:val="auto"/>
        </w:rPr>
      </w:pPr>
    </w:p>
    <w:p>
      <w:pPr>
        <w:ind w:left="860" w:right="120" w:hanging="719"/>
        <w:spacing w:after="0" w:line="239" w:lineRule="auto"/>
        <w:tabs>
          <w:tab w:leader="none" w:pos="840" w:val="left"/>
        </w:tabs>
        <w:rPr>
          <w:sz w:val="20"/>
          <w:szCs w:val="20"/>
          <w:color w:val="auto"/>
        </w:rPr>
      </w:pPr>
      <w:r>
        <w:rPr>
          <w:rFonts w:ascii="Arial" w:cs="Arial" w:eastAsia="Arial" w:hAnsi="Arial"/>
          <w:sz w:val="14"/>
          <w:szCs w:val="14"/>
          <w:color w:val="auto"/>
        </w:rPr>
        <w:t>(k)(6)</w:t>
      </w:r>
      <w:r>
        <w:rPr>
          <w:sz w:val="20"/>
          <w:szCs w:val="20"/>
          <w:color w:val="auto"/>
        </w:rPr>
        <w:tab/>
      </w:r>
      <w:r>
        <w:rPr>
          <w:rFonts w:ascii="Arial" w:cs="Arial" w:eastAsia="Arial" w:hAnsi="Arial"/>
          <w:sz w:val="14"/>
          <w:szCs w:val="14"/>
          <w:color w:val="auto"/>
        </w:rPr>
        <w:t>Third Amendment to Amended and Restated Revolving Credit and Security Agreement, dated March 29, 2013 (Incorporated by reference to Exhibit 10.1 to the Registrant’s Quarterly Report on Form 10-Q (File No. 814-00891), filed on May 9, 2013).</w:t>
      </w:r>
    </w:p>
    <w:p>
      <w:pPr>
        <w:spacing w:after="0" w:line="152"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560" w:type="dxa"/>
            <w:vAlign w:val="bottom"/>
          </w:tcPr>
          <w:p>
            <w:pPr>
              <w:jc w:val="center"/>
              <w:ind w:right="92"/>
              <w:spacing w:after="0"/>
              <w:rPr>
                <w:sz w:val="20"/>
                <w:szCs w:val="20"/>
                <w:color w:val="auto"/>
              </w:rPr>
            </w:pPr>
            <w:r>
              <w:rPr>
                <w:rFonts w:ascii="Arial" w:cs="Arial" w:eastAsia="Arial" w:hAnsi="Arial"/>
                <w:sz w:val="14"/>
                <w:szCs w:val="14"/>
                <w:color w:val="auto"/>
                <w:w w:val="94"/>
              </w:rPr>
              <w:t>(l)(1)</w:t>
            </w:r>
          </w:p>
        </w:tc>
        <w:tc>
          <w:tcPr>
            <w:tcW w:w="10720" w:type="dxa"/>
            <w:vAlign w:val="bottom"/>
          </w:tcPr>
          <w:p>
            <w:pPr>
              <w:ind w:left="160"/>
              <w:spacing w:after="0"/>
              <w:rPr>
                <w:sz w:val="20"/>
                <w:szCs w:val="20"/>
                <w:color w:val="auto"/>
              </w:rPr>
            </w:pPr>
            <w:r>
              <w:rPr>
                <w:rFonts w:ascii="Arial" w:cs="Arial" w:eastAsia="Arial" w:hAnsi="Arial"/>
                <w:sz w:val="14"/>
                <w:szCs w:val="14"/>
                <w:color w:val="auto"/>
                <w:w w:val="90"/>
              </w:rPr>
              <w:t>Opinion and Consent of Venable LLP (Incorporated by reference to Exhibit 99(L)(1) to the Registrant’s Registration Statement on Form N-2 (File No. 333-180084), filed on March 14, 2012).</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w w:val="94"/>
              </w:rPr>
              <w:t>(l)(2)</w:t>
            </w:r>
          </w:p>
        </w:tc>
        <w:tc>
          <w:tcPr>
            <w:tcW w:w="10720" w:type="dxa"/>
            <w:vAlign w:val="bottom"/>
          </w:tcPr>
          <w:p>
            <w:pPr>
              <w:ind w:left="160"/>
              <w:spacing w:after="0"/>
              <w:rPr>
                <w:sz w:val="20"/>
                <w:szCs w:val="20"/>
                <w:color w:val="auto"/>
              </w:rPr>
            </w:pPr>
            <w:r>
              <w:rPr>
                <w:rFonts w:ascii="Arial" w:cs="Arial" w:eastAsia="Arial" w:hAnsi="Arial"/>
                <w:sz w:val="14"/>
                <w:szCs w:val="14"/>
                <w:color w:val="auto"/>
                <w:w w:val="90"/>
              </w:rPr>
              <w:t>Opinion and Consent of Dechert LLP (Incorporated by reference to Exhibit 99(L)(2) to the Registrant’s Registration Statement on Form N-2 (File No. 333-180084), filed on March 14, 2012).</w:t>
            </w:r>
          </w:p>
        </w:tc>
      </w:tr>
      <w:tr>
        <w:trPr>
          <w:trHeight w:val="300"/>
        </w:trPr>
        <w:tc>
          <w:tcPr>
            <w:tcW w:w="560" w:type="dxa"/>
            <w:vAlign w:val="bottom"/>
          </w:tcPr>
          <w:p>
            <w:pPr>
              <w:jc w:val="center"/>
              <w:ind w:right="92"/>
              <w:spacing w:after="0"/>
              <w:rPr>
                <w:sz w:val="20"/>
                <w:szCs w:val="20"/>
                <w:color w:val="auto"/>
              </w:rPr>
            </w:pPr>
            <w:r>
              <w:rPr>
                <w:rFonts w:ascii="Arial" w:cs="Arial" w:eastAsia="Arial" w:hAnsi="Arial"/>
                <w:sz w:val="14"/>
                <w:szCs w:val="14"/>
                <w:color w:val="auto"/>
                <w:w w:val="94"/>
              </w:rPr>
              <w:t>(l)(3)</w:t>
            </w:r>
          </w:p>
        </w:tc>
        <w:tc>
          <w:tcPr>
            <w:tcW w:w="10720" w:type="dxa"/>
            <w:vAlign w:val="bottom"/>
          </w:tcPr>
          <w:p>
            <w:pPr>
              <w:ind w:left="160"/>
              <w:spacing w:after="0"/>
              <w:rPr>
                <w:sz w:val="20"/>
                <w:szCs w:val="20"/>
                <w:color w:val="auto"/>
              </w:rPr>
            </w:pPr>
            <w:r>
              <w:rPr>
                <w:rFonts w:ascii="Arial" w:cs="Arial" w:eastAsia="Arial" w:hAnsi="Arial"/>
                <w:sz w:val="14"/>
                <w:szCs w:val="14"/>
                <w:color w:val="auto"/>
                <w:w w:val="89"/>
              </w:rPr>
              <w:t>Opinion and Consent of Venable LLP (Incorporated by reference to Exhibit 99(L)(3) to the Registrant’s Post-Effective Amendment Registration Statement on Form N-2 (File No. 333-180084),</w:t>
            </w:r>
          </w:p>
        </w:tc>
      </w:tr>
      <w:tr>
        <w:trPr>
          <w:trHeight w:val="172"/>
        </w:trPr>
        <w:tc>
          <w:tcPr>
            <w:tcW w:w="560" w:type="dxa"/>
            <w:vAlign w:val="bottom"/>
          </w:tcPr>
          <w:p>
            <w:pPr>
              <w:spacing w:after="0"/>
              <w:rPr>
                <w:sz w:val="14"/>
                <w:szCs w:val="14"/>
                <w:color w:val="auto"/>
              </w:rPr>
            </w:pPr>
          </w:p>
        </w:tc>
        <w:tc>
          <w:tcPr>
            <w:tcW w:w="10720" w:type="dxa"/>
            <w:vAlign w:val="bottom"/>
          </w:tcPr>
          <w:p>
            <w:pPr>
              <w:ind w:left="160"/>
              <w:spacing w:after="0"/>
              <w:rPr>
                <w:sz w:val="20"/>
                <w:szCs w:val="20"/>
                <w:color w:val="auto"/>
              </w:rPr>
            </w:pPr>
            <w:r>
              <w:rPr>
                <w:rFonts w:ascii="Arial" w:cs="Arial" w:eastAsia="Arial" w:hAnsi="Arial"/>
                <w:sz w:val="14"/>
                <w:szCs w:val="14"/>
                <w:color w:val="auto"/>
              </w:rPr>
              <w:t>filed on March 21, 2013).</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rPr>
              <w:t>(n)(1)*</w:t>
            </w:r>
          </w:p>
        </w:tc>
        <w:tc>
          <w:tcPr>
            <w:tcW w:w="10720" w:type="dxa"/>
            <w:vAlign w:val="bottom"/>
          </w:tcPr>
          <w:p>
            <w:pPr>
              <w:ind w:left="16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324"/>
        </w:trPr>
        <w:tc>
          <w:tcPr>
            <w:tcW w:w="560" w:type="dxa"/>
            <w:vAlign w:val="bottom"/>
          </w:tcPr>
          <w:p>
            <w:pPr>
              <w:jc w:val="center"/>
              <w:ind w:right="92"/>
              <w:spacing w:after="0"/>
              <w:rPr>
                <w:sz w:val="20"/>
                <w:szCs w:val="20"/>
                <w:color w:val="auto"/>
              </w:rPr>
            </w:pPr>
            <w:r>
              <w:rPr>
                <w:rFonts w:ascii="Arial" w:cs="Arial" w:eastAsia="Arial" w:hAnsi="Arial"/>
                <w:sz w:val="14"/>
                <w:szCs w:val="14"/>
                <w:color w:val="auto"/>
              </w:rPr>
              <w:t>(n)(2)*</w:t>
            </w:r>
          </w:p>
        </w:tc>
        <w:tc>
          <w:tcPr>
            <w:tcW w:w="10720" w:type="dxa"/>
            <w:vAlign w:val="bottom"/>
          </w:tcPr>
          <w:p>
            <w:pPr>
              <w:ind w:left="160"/>
              <w:spacing w:after="0"/>
              <w:rPr>
                <w:sz w:val="20"/>
                <w:szCs w:val="20"/>
                <w:color w:val="auto"/>
              </w:rPr>
            </w:pPr>
            <w:r>
              <w:rPr>
                <w:rFonts w:ascii="Arial" w:cs="Arial" w:eastAsia="Arial" w:hAnsi="Arial"/>
                <w:sz w:val="14"/>
                <w:szCs w:val="14"/>
                <w:color w:val="auto"/>
              </w:rPr>
              <w:t>Awareness Letter of Independent Registered Public Accounting Firm.</w:t>
            </w:r>
          </w:p>
        </w:tc>
      </w:tr>
      <w:tr>
        <w:trPr>
          <w:trHeight w:val="300"/>
        </w:trPr>
        <w:tc>
          <w:tcPr>
            <w:tcW w:w="560" w:type="dxa"/>
            <w:vAlign w:val="bottom"/>
          </w:tcPr>
          <w:p>
            <w:pPr>
              <w:jc w:val="center"/>
              <w:ind w:right="92"/>
              <w:spacing w:after="0"/>
              <w:rPr>
                <w:sz w:val="20"/>
                <w:szCs w:val="20"/>
                <w:color w:val="auto"/>
              </w:rPr>
            </w:pPr>
            <w:r>
              <w:rPr>
                <w:rFonts w:ascii="Arial" w:cs="Arial" w:eastAsia="Arial" w:hAnsi="Arial"/>
                <w:sz w:val="14"/>
                <w:szCs w:val="14"/>
                <w:color w:val="auto"/>
                <w:w w:val="89"/>
              </w:rPr>
              <w:t>(r)(1)</w:t>
            </w:r>
          </w:p>
        </w:tc>
        <w:tc>
          <w:tcPr>
            <w:tcW w:w="10720" w:type="dxa"/>
            <w:vAlign w:val="bottom"/>
          </w:tcPr>
          <w:p>
            <w:pPr>
              <w:ind w:left="160"/>
              <w:spacing w:after="0"/>
              <w:rPr>
                <w:sz w:val="20"/>
                <w:szCs w:val="20"/>
                <w:color w:val="auto"/>
              </w:rPr>
            </w:pPr>
            <w:r>
              <w:rPr>
                <w:rFonts w:ascii="Arial" w:cs="Arial" w:eastAsia="Arial" w:hAnsi="Arial"/>
                <w:sz w:val="14"/>
                <w:szCs w:val="14"/>
                <w:color w:val="auto"/>
                <w:w w:val="91"/>
              </w:rPr>
              <w:t>Joint Code of Ethics of the Registrant and PennantPark Investment Advisers, LLC (Incorporated by reference to Exhibit 14.1 to the Registrant’s Annual Report on Form 10-K (File No. 814-</w:t>
            </w:r>
          </w:p>
        </w:tc>
      </w:tr>
      <w:tr>
        <w:trPr>
          <w:trHeight w:val="172"/>
        </w:trPr>
        <w:tc>
          <w:tcPr>
            <w:tcW w:w="560" w:type="dxa"/>
            <w:vAlign w:val="bottom"/>
          </w:tcPr>
          <w:p>
            <w:pPr>
              <w:spacing w:after="0"/>
              <w:rPr>
                <w:sz w:val="14"/>
                <w:szCs w:val="14"/>
                <w:color w:val="auto"/>
              </w:rPr>
            </w:pPr>
          </w:p>
        </w:tc>
        <w:tc>
          <w:tcPr>
            <w:tcW w:w="10720" w:type="dxa"/>
            <w:vAlign w:val="bottom"/>
          </w:tcPr>
          <w:p>
            <w:pPr>
              <w:ind w:left="160"/>
              <w:spacing w:after="0"/>
              <w:rPr>
                <w:sz w:val="20"/>
                <w:szCs w:val="20"/>
                <w:color w:val="auto"/>
              </w:rPr>
            </w:pPr>
            <w:r>
              <w:rPr>
                <w:rFonts w:ascii="Arial" w:cs="Arial" w:eastAsia="Arial" w:hAnsi="Arial"/>
                <w:sz w:val="14"/>
                <w:szCs w:val="14"/>
                <w:color w:val="auto"/>
              </w:rPr>
              <w:t>00891), filed on November 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(s)(1)</w:t>
            </w:r>
          </w:p>
        </w:tc>
        <w:tc>
          <w:tcPr>
            <w:tcW w:w="10720" w:type="dxa"/>
            <w:vAlign w:val="bottom"/>
          </w:tcPr>
          <w:p>
            <w:pPr>
              <w:ind w:left="160"/>
              <w:spacing w:after="0"/>
              <w:rPr>
                <w:sz w:val="20"/>
                <w:szCs w:val="20"/>
                <w:color w:val="auto"/>
              </w:rPr>
            </w:pPr>
            <w:r>
              <w:rPr>
                <w:rFonts w:ascii="Arial" w:cs="Arial" w:eastAsia="Arial" w:hAnsi="Arial"/>
                <w:sz w:val="14"/>
                <w:szCs w:val="14"/>
                <w:color w:val="auto"/>
                <w:w w:val="89"/>
              </w:rPr>
              <w:t>Form of Prospectus Supplement For Common Stock Offerings (Incorporated by reference to Exhibit 99(S)(1) to the Registration Statement on Form N-2 (File No. 333-180084), filed on March</w:t>
            </w:r>
          </w:p>
        </w:tc>
      </w:tr>
      <w:tr>
        <w:trPr>
          <w:trHeight w:val="172"/>
        </w:trPr>
        <w:tc>
          <w:tcPr>
            <w:tcW w:w="560" w:type="dxa"/>
            <w:vAlign w:val="bottom"/>
          </w:tcPr>
          <w:p>
            <w:pPr>
              <w:spacing w:after="0"/>
              <w:rPr>
                <w:sz w:val="14"/>
                <w:szCs w:val="14"/>
                <w:color w:val="auto"/>
              </w:rPr>
            </w:pPr>
          </w:p>
        </w:tc>
        <w:tc>
          <w:tcPr>
            <w:tcW w:w="10720" w:type="dxa"/>
            <w:vAlign w:val="bottom"/>
          </w:tcPr>
          <w:p>
            <w:pPr>
              <w:ind w:left="160"/>
              <w:spacing w:after="0"/>
              <w:rPr>
                <w:sz w:val="20"/>
                <w:szCs w:val="20"/>
                <w:color w:val="auto"/>
              </w:rPr>
            </w:pPr>
            <w:r>
              <w:rPr>
                <w:rFonts w:ascii="Arial" w:cs="Arial" w:eastAsia="Arial" w:hAnsi="Arial"/>
                <w:sz w:val="14"/>
                <w:szCs w:val="14"/>
                <w:color w:val="auto"/>
              </w:rPr>
              <w:t>14, 2012).</w:t>
            </w:r>
          </w:p>
        </w:tc>
      </w:tr>
      <w:tr>
        <w:trPr>
          <w:trHeight w:val="300"/>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(s)(2)</w:t>
            </w:r>
          </w:p>
        </w:tc>
        <w:tc>
          <w:tcPr>
            <w:tcW w:w="10720" w:type="dxa"/>
            <w:vAlign w:val="bottom"/>
          </w:tcPr>
          <w:p>
            <w:pPr>
              <w:ind w:left="160"/>
              <w:spacing w:after="0"/>
              <w:rPr>
                <w:sz w:val="20"/>
                <w:szCs w:val="20"/>
                <w:color w:val="auto"/>
              </w:rPr>
            </w:pPr>
            <w:r>
              <w:rPr>
                <w:rFonts w:ascii="Arial" w:cs="Arial" w:eastAsia="Arial" w:hAnsi="Arial"/>
                <w:sz w:val="14"/>
                <w:szCs w:val="14"/>
                <w:color w:val="auto"/>
                <w:w w:val="89"/>
              </w:rPr>
              <w:t>Form of Prospectus Supplement For Preferred Stock Offerings (Incorporated by reference to Exhibit 99(S)(2) to the Registration Statement on Form N-2 (File No. 333-180084), filed on March</w:t>
            </w:r>
          </w:p>
        </w:tc>
      </w:tr>
      <w:tr>
        <w:trPr>
          <w:trHeight w:val="172"/>
        </w:trPr>
        <w:tc>
          <w:tcPr>
            <w:tcW w:w="560" w:type="dxa"/>
            <w:vAlign w:val="bottom"/>
          </w:tcPr>
          <w:p>
            <w:pPr>
              <w:spacing w:after="0"/>
              <w:rPr>
                <w:sz w:val="14"/>
                <w:szCs w:val="14"/>
                <w:color w:val="auto"/>
              </w:rPr>
            </w:pPr>
          </w:p>
        </w:tc>
        <w:tc>
          <w:tcPr>
            <w:tcW w:w="10720" w:type="dxa"/>
            <w:vAlign w:val="bottom"/>
          </w:tcPr>
          <w:p>
            <w:pPr>
              <w:ind w:left="160"/>
              <w:spacing w:after="0"/>
              <w:rPr>
                <w:sz w:val="20"/>
                <w:szCs w:val="20"/>
                <w:color w:val="auto"/>
              </w:rPr>
            </w:pPr>
            <w:r>
              <w:rPr>
                <w:rFonts w:ascii="Arial" w:cs="Arial" w:eastAsia="Arial" w:hAnsi="Arial"/>
                <w:sz w:val="14"/>
                <w:szCs w:val="14"/>
                <w:color w:val="auto"/>
              </w:rPr>
              <w:t>14, 2012).</w:t>
            </w:r>
          </w:p>
        </w:tc>
      </w:tr>
      <w:tr>
        <w:trPr>
          <w:trHeight w:val="324"/>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(s)(3)</w:t>
            </w:r>
          </w:p>
        </w:tc>
        <w:tc>
          <w:tcPr>
            <w:tcW w:w="10720" w:type="dxa"/>
            <w:vAlign w:val="bottom"/>
          </w:tcPr>
          <w:p>
            <w:pPr>
              <w:ind w:left="160"/>
              <w:spacing w:after="0"/>
              <w:rPr>
                <w:sz w:val="20"/>
                <w:szCs w:val="20"/>
                <w:color w:val="auto"/>
              </w:rPr>
            </w:pPr>
            <w:r>
              <w:rPr>
                <w:rFonts w:ascii="Arial" w:cs="Arial" w:eastAsia="Arial" w:hAnsi="Arial"/>
                <w:sz w:val="14"/>
                <w:szCs w:val="14"/>
                <w:color w:val="auto"/>
                <w:w w:val="89"/>
              </w:rPr>
              <w:t>Form of Prospectus Supplement For Debt Offerings (Incorporated by reference to Exhibit 99(S)(3) to the Registration Statement on Form N-2 (File No. 333-180084), filed on March 14, 2012).</w:t>
            </w:r>
          </w:p>
        </w:tc>
      </w:tr>
      <w:tr>
        <w:trPr>
          <w:trHeight w:val="324"/>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(s)(4)</w:t>
            </w:r>
          </w:p>
        </w:tc>
        <w:tc>
          <w:tcPr>
            <w:tcW w:w="10720" w:type="dxa"/>
            <w:vAlign w:val="bottom"/>
          </w:tcPr>
          <w:p>
            <w:pPr>
              <w:ind w:left="160"/>
              <w:spacing w:after="0"/>
              <w:rPr>
                <w:sz w:val="20"/>
                <w:szCs w:val="20"/>
                <w:color w:val="auto"/>
              </w:rPr>
            </w:pPr>
            <w:r>
              <w:rPr>
                <w:rFonts w:ascii="Arial" w:cs="Arial" w:eastAsia="Arial" w:hAnsi="Arial"/>
                <w:sz w:val="14"/>
                <w:szCs w:val="14"/>
                <w:color w:val="auto"/>
                <w:w w:val="88"/>
              </w:rPr>
              <w:t>Form of Prospectus Supplement For Rights Offerings (Incorporated by reference to Exhibit 99(S)(4) to the Registration Statement on Form N-2 (File No. 333-180084), filed on March 14, 2012).</w:t>
            </w:r>
          </w:p>
        </w:tc>
      </w:tr>
      <w:tr>
        <w:trPr>
          <w:trHeight w:val="324"/>
        </w:trPr>
        <w:tc>
          <w:tcPr>
            <w:tcW w:w="560" w:type="dxa"/>
            <w:vAlign w:val="bottom"/>
          </w:tcPr>
          <w:p>
            <w:pPr>
              <w:jc w:val="center"/>
              <w:ind w:right="112"/>
              <w:spacing w:after="0"/>
              <w:rPr>
                <w:sz w:val="20"/>
                <w:szCs w:val="20"/>
                <w:color w:val="auto"/>
              </w:rPr>
            </w:pPr>
            <w:r>
              <w:rPr>
                <w:rFonts w:ascii="Arial" w:cs="Arial" w:eastAsia="Arial" w:hAnsi="Arial"/>
                <w:sz w:val="14"/>
                <w:szCs w:val="14"/>
                <w:color w:val="auto"/>
                <w:w w:val="89"/>
              </w:rPr>
              <w:t>(s)(5)</w:t>
            </w:r>
          </w:p>
        </w:tc>
        <w:tc>
          <w:tcPr>
            <w:tcW w:w="10720" w:type="dxa"/>
            <w:vAlign w:val="bottom"/>
          </w:tcPr>
          <w:p>
            <w:pPr>
              <w:ind w:left="160"/>
              <w:spacing w:after="0"/>
              <w:rPr>
                <w:sz w:val="20"/>
                <w:szCs w:val="20"/>
                <w:color w:val="auto"/>
              </w:rPr>
            </w:pPr>
            <w:r>
              <w:rPr>
                <w:rFonts w:ascii="Arial" w:cs="Arial" w:eastAsia="Arial" w:hAnsi="Arial"/>
                <w:sz w:val="14"/>
                <w:szCs w:val="14"/>
                <w:color w:val="auto"/>
                <w:w w:val="88"/>
              </w:rPr>
              <w:t>Form of Prospectus Supplement For Warrant Offerings (Incorporated by reference to Exhibit 99(S)(5) to the Registration Statement on Form N-2 (File No. 333-180084), filed on March 14, 2012).</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420"/>
          </w:cols>
          <w:pgMar w:left="240" w:top="459" w:right="23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94" w:hanging="894"/>
        <w:spacing w:after="0"/>
        <w:tabs>
          <w:tab w:leader="none" w:pos="894" w:val="left"/>
        </w:tabs>
        <w:numPr>
          <w:ilvl w:val="0"/>
          <w:numId w:val="89"/>
        </w:numPr>
        <w:rPr>
          <w:rFonts w:ascii="Arial" w:cs="Arial" w:eastAsia="Arial" w:hAnsi="Arial"/>
          <w:sz w:val="11"/>
          <w:szCs w:val="11"/>
          <w:color w:val="auto"/>
        </w:rPr>
      </w:pPr>
      <w:r>
        <w:rPr>
          <w:rFonts w:ascii="Arial" w:cs="Arial" w:eastAsia="Arial" w:hAnsi="Arial"/>
          <w:sz w:val="11"/>
          <w:szCs w:val="11"/>
          <w:color w:val="auto"/>
        </w:rPr>
        <w:t>17,190</w:t>
      </w:r>
    </w:p>
    <w:p>
      <w:pPr>
        <w:spacing w:after="0" w:line="34" w:lineRule="exact"/>
        <w:rPr>
          <w:sz w:val="20"/>
          <w:szCs w:val="20"/>
          <w:color w:val="auto"/>
        </w:rPr>
      </w:pPr>
    </w:p>
    <w:p>
      <w:pPr>
        <w:ind w:left="894" w:hanging="894"/>
        <w:spacing w:after="0"/>
        <w:tabs>
          <w:tab w:leader="none" w:pos="894" w:val="left"/>
        </w:tabs>
        <w:numPr>
          <w:ilvl w:val="0"/>
          <w:numId w:val="90"/>
        </w:numPr>
        <w:rPr>
          <w:rFonts w:ascii="Arial" w:cs="Arial" w:eastAsia="Arial" w:hAnsi="Arial"/>
          <w:sz w:val="11"/>
          <w:szCs w:val="11"/>
          <w:color w:val="auto"/>
        </w:rPr>
      </w:pPr>
      <w:r>
        <w:rPr>
          <w:rFonts w:ascii="Arial" w:cs="Arial" w:eastAsia="Arial" w:hAnsi="Arial"/>
          <w:sz w:val="11"/>
          <w:szCs w:val="11"/>
          <w:color w:val="auto"/>
        </w:rPr>
        <w:t>38,462</w:t>
      </w:r>
    </w:p>
    <w:p>
      <w:pPr>
        <w:spacing w:after="0" w:line="22" w:lineRule="exact"/>
        <w:rPr>
          <w:sz w:val="20"/>
          <w:szCs w:val="20"/>
          <w:color w:val="auto"/>
        </w:rPr>
      </w:pPr>
    </w:p>
    <w:p>
      <w:pPr>
        <w:ind w:left="894" w:hanging="894"/>
        <w:spacing w:after="0"/>
        <w:tabs>
          <w:tab w:leader="none" w:pos="894" w:val="left"/>
        </w:tabs>
        <w:numPr>
          <w:ilvl w:val="0"/>
          <w:numId w:val="91"/>
        </w:numPr>
        <w:rPr>
          <w:rFonts w:ascii="Arial" w:cs="Arial" w:eastAsia="Arial" w:hAnsi="Arial"/>
          <w:sz w:val="11"/>
          <w:szCs w:val="11"/>
          <w:color w:val="auto"/>
        </w:rPr>
      </w:pPr>
      <w:r>
        <w:rPr>
          <w:rFonts w:ascii="Arial" w:cs="Arial" w:eastAsia="Arial" w:hAnsi="Arial"/>
          <w:sz w:val="11"/>
          <w:szCs w:val="11"/>
          <w:color w:val="auto"/>
        </w:rPr>
        <w:t>15,500</w:t>
      </w:r>
    </w:p>
    <w:p>
      <w:pPr>
        <w:spacing w:after="0" w:line="22" w:lineRule="exact"/>
        <w:rPr>
          <w:sz w:val="20"/>
          <w:szCs w:val="20"/>
          <w:color w:val="auto"/>
        </w:rPr>
      </w:pPr>
    </w:p>
    <w:p>
      <w:pPr>
        <w:ind w:left="814" w:hanging="814"/>
        <w:spacing w:after="0"/>
        <w:tabs>
          <w:tab w:leader="none" w:pos="814" w:val="left"/>
        </w:tabs>
        <w:numPr>
          <w:ilvl w:val="0"/>
          <w:numId w:val="92"/>
        </w:numPr>
        <w:rPr>
          <w:rFonts w:ascii="Arial" w:cs="Arial" w:eastAsia="Arial" w:hAnsi="Arial"/>
          <w:sz w:val="12"/>
          <w:szCs w:val="12"/>
          <w:color w:val="auto"/>
        </w:rPr>
      </w:pPr>
      <w:r>
        <w:rPr>
          <w:rFonts w:ascii="Arial" w:cs="Arial" w:eastAsia="Arial" w:hAnsi="Arial"/>
          <w:sz w:val="12"/>
          <w:szCs w:val="12"/>
          <w:color w:val="auto"/>
        </w:rPr>
        <w:t>225,000</w:t>
      </w:r>
    </w:p>
    <w:p>
      <w:pPr>
        <w:spacing w:after="0" w:line="11" w:lineRule="exact"/>
        <w:rPr>
          <w:sz w:val="20"/>
          <w:szCs w:val="20"/>
          <w:color w:val="auto"/>
        </w:rPr>
      </w:pPr>
    </w:p>
    <w:p>
      <w:pPr>
        <w:ind w:left="814" w:hanging="814"/>
        <w:spacing w:after="0"/>
        <w:tabs>
          <w:tab w:leader="none" w:pos="814" w:val="left"/>
        </w:tabs>
        <w:numPr>
          <w:ilvl w:val="0"/>
          <w:numId w:val="93"/>
        </w:numPr>
        <w:rPr>
          <w:rFonts w:ascii="Arial" w:cs="Arial" w:eastAsia="Arial" w:hAnsi="Arial"/>
          <w:sz w:val="12"/>
          <w:szCs w:val="12"/>
          <w:color w:val="auto"/>
        </w:rPr>
      </w:pPr>
      <w:r>
        <w:rPr>
          <w:rFonts w:ascii="Arial" w:cs="Arial" w:eastAsia="Arial" w:hAnsi="Arial"/>
          <w:sz w:val="12"/>
          <w:szCs w:val="12"/>
          <w:color w:val="auto"/>
        </w:rPr>
        <w:t>550,000</w:t>
      </w:r>
    </w:p>
    <w:p>
      <w:pPr>
        <w:spacing w:after="0" w:line="11" w:lineRule="exact"/>
        <w:rPr>
          <w:sz w:val="20"/>
          <w:szCs w:val="20"/>
          <w:color w:val="auto"/>
        </w:rPr>
      </w:pPr>
    </w:p>
    <w:p>
      <w:pPr>
        <w:ind w:left="814" w:hanging="814"/>
        <w:spacing w:after="0"/>
        <w:tabs>
          <w:tab w:leader="none" w:pos="814" w:val="left"/>
        </w:tabs>
        <w:numPr>
          <w:ilvl w:val="0"/>
          <w:numId w:val="94"/>
        </w:numPr>
        <w:rPr>
          <w:rFonts w:ascii="Arial" w:cs="Arial" w:eastAsia="Arial" w:hAnsi="Arial"/>
          <w:sz w:val="12"/>
          <w:szCs w:val="12"/>
          <w:color w:val="auto"/>
        </w:rPr>
      </w:pPr>
      <w:r>
        <w:rPr>
          <w:rFonts w:ascii="Arial" w:cs="Arial" w:eastAsia="Arial" w:hAnsi="Arial"/>
          <w:sz w:val="12"/>
          <w:szCs w:val="12"/>
          <w:color w:val="auto"/>
        </w:rPr>
        <w:t>250,000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94"/>
        </w:numPr>
        <w:rPr>
          <w:rFonts w:ascii="Arial" w:cs="Arial" w:eastAsia="Arial" w:hAnsi="Arial"/>
          <w:sz w:val="12"/>
          <w:szCs w:val="12"/>
          <w:color w:val="auto"/>
        </w:rPr>
      </w:pPr>
      <w:r>
        <w:rPr>
          <w:rFonts w:ascii="Arial" w:cs="Arial" w:eastAsia="Arial" w:hAnsi="Arial"/>
          <w:sz w:val="12"/>
          <w:szCs w:val="12"/>
          <w:color w:val="auto"/>
        </w:rPr>
        <w:t>128,848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95"/>
        </w:numPr>
        <w:rPr>
          <w:rFonts w:ascii="Arial" w:cs="Arial" w:eastAsia="Arial" w:hAnsi="Arial"/>
          <w:sz w:val="12"/>
          <w:szCs w:val="12"/>
          <w:color w:val="auto"/>
        </w:rPr>
      </w:pPr>
      <w:r>
        <w:rPr>
          <w:rFonts w:ascii="Arial" w:cs="Arial" w:eastAsia="Arial" w:hAnsi="Arial"/>
          <w:sz w:val="12"/>
          <w:szCs w:val="12"/>
          <w:color w:val="auto"/>
        </w:rPr>
        <w:t>1,225,000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3214"/>
          </w:cols>
          <w:pgMar w:left="240" w:top="459" w:right="2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July 1, 2013</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40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Class</w:t>
            </w:r>
          </w:p>
        </w:tc>
        <w:tc>
          <w:tcPr>
            <w:tcW w:w="4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59"/>
        </w:trPr>
        <w:tc>
          <w:tcPr>
            <w:tcW w:w="402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59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3</w:t>
            </w:r>
          </w:p>
        </w:tc>
      </w:tr>
      <w:tr>
        <w:trPr>
          <w:trHeight w:val="286"/>
        </w:trPr>
        <w:tc>
          <w:tcPr>
            <w:tcW w:w="4020" w:type="dxa"/>
            <w:vAlign w:val="bottom"/>
          </w:tcPr>
          <w:p>
            <w:pPr>
              <w:spacing w:after="0"/>
              <w:rPr>
                <w:sz w:val="24"/>
                <w:szCs w:val="24"/>
                <w:color w:val="auto"/>
              </w:rPr>
            </w:pPr>
          </w:p>
        </w:tc>
        <w:tc>
          <w:tcPr>
            <w:tcW w:w="5960" w:type="dxa"/>
            <w:vAlign w:val="bottom"/>
            <w:gridSpan w:val="2"/>
          </w:tcPr>
          <w:p>
            <w:pPr>
              <w:jc w:val="right"/>
              <w:ind w:right="416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20"/>
          </w:cols>
          <w:pgMar w:left="240" w:top="460" w:right="11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31" w:lineRule="exact"/>
        <w:rPr>
          <w:rFonts w:ascii="Arial" w:cs="Arial" w:eastAsia="Arial" w:hAnsi="Arial"/>
          <w:sz w:val="14"/>
          <w:szCs w:val="14"/>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3rd floor, Brooklyn, NY 11219;</w:t>
      </w:r>
    </w:p>
    <w:p>
      <w:pPr>
        <w:spacing w:after="0" w:line="76" w:lineRule="exact"/>
        <w:rPr>
          <w:rFonts w:ascii="Arial" w:cs="Arial" w:eastAsia="Arial" w:hAnsi="Arial"/>
          <w:sz w:val="14"/>
          <w:szCs w:val="14"/>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Adviser, PennantPark Investment Advisers, LLC, 590 Madison Avenue, 15th Floor, New York, NY 10022.</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C-7</w:t>
      </w:r>
    </w:p>
    <w:p>
      <w:pPr>
        <w:sectPr>
          <w:pgSz w:w="11900" w:h="16838" w:orient="portrait"/>
          <w:cols w:equalWidth="0" w:num="1">
            <w:col w:w="10219"/>
          </w:cols>
          <w:pgMar w:left="24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460" w:right="140" w:firstLine="4"/>
        <w:spacing w:after="0" w:line="318" w:lineRule="auto"/>
        <w:tabs>
          <w:tab w:leader="none" w:pos="651" w:val="left"/>
        </w:tabs>
        <w:numPr>
          <w:ilvl w:val="0"/>
          <w:numId w:val="97"/>
        </w:numPr>
        <w:rPr>
          <w:rFonts w:ascii="Arial" w:cs="Arial" w:eastAsia="Arial" w:hAnsi="Arial"/>
          <w:sz w:val="12"/>
          <w:szCs w:val="12"/>
          <w:color w:val="auto"/>
        </w:rPr>
      </w:pPr>
      <w:r>
        <w:rPr>
          <w:rFonts w:ascii="Arial" w:cs="Arial" w:eastAsia="Arial" w:hAnsi="Arial"/>
          <w:sz w:val="12"/>
          <w:szCs w:val="12"/>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99"/>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100"/>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380" w:hanging="1"/>
        <w:spacing w:after="0" w:line="228" w:lineRule="auto"/>
        <w:tabs>
          <w:tab w:leader="none" w:pos="77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58" w:lineRule="exact"/>
        <w:rPr>
          <w:sz w:val="20"/>
          <w:szCs w:val="20"/>
          <w:color w:val="auto"/>
        </w:rPr>
      </w:pPr>
    </w:p>
    <w:p>
      <w:pPr>
        <w:ind w:left="580" w:right="460" w:hanging="1"/>
        <w:spacing w:after="0" w:line="318" w:lineRule="auto"/>
        <w:tabs>
          <w:tab w:leader="none" w:pos="771" w:val="left"/>
        </w:tabs>
        <w:numPr>
          <w:ilvl w:val="1"/>
          <w:numId w:val="101"/>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80" w:firstLine="4"/>
        <w:spacing w:after="0" w:line="228" w:lineRule="auto"/>
        <w:tabs>
          <w:tab w:leader="none" w:pos="651"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2"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Post-Effective Amendment No. 3 to the Registration Statement on Form N-2 to be signed on its behalf by the undersigned, thereunto duly authorized, in the City of New York, and State of New York, on the 2nd day of July 2013.</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this Post-Effective Amendment No. 3 to the Registration Statement has been signed by the following persons in the capacities set forth below on the 2nd day of July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center"/>
              <w:ind w:right="2140"/>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6060" w:type="dxa"/>
            <w:vAlign w:val="bottom"/>
            <w:gridSpan w:val="8"/>
          </w:tcPr>
          <w:p>
            <w:pPr>
              <w:ind w:left="1940"/>
              <w:spacing w:after="0"/>
              <w:rPr>
                <w:sz w:val="20"/>
                <w:szCs w:val="20"/>
                <w:color w:val="auto"/>
              </w:rPr>
            </w:pPr>
            <w:r>
              <w:rPr>
                <w:rFonts w:ascii="Arial" w:cs="Arial" w:eastAsia="Arial" w:hAnsi="Arial"/>
                <w:sz w:val="14"/>
                <w:szCs w:val="14"/>
                <w:color w:val="auto"/>
              </w:rPr>
              <w:t>/S/  Arthur H. Penn</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Chairman of the Board of Directors and Chief Executive Officer (Principal Executive Officer)</w:t>
            </w:r>
          </w:p>
        </w:tc>
      </w:tr>
      <w:tr>
        <w:trPr>
          <w:trHeight w:val="168"/>
        </w:trPr>
        <w:tc>
          <w:tcPr>
            <w:tcW w:w="19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Arthur H. Penn</w:t>
            </w:r>
          </w:p>
        </w:tc>
        <w:tc>
          <w:tcPr>
            <w:tcW w:w="2740" w:type="dxa"/>
            <w:vAlign w:val="bottom"/>
            <w:gridSpan w:val="2"/>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5"/>
          </w:tcPr>
          <w:p>
            <w:pPr>
              <w:spacing w:after="0"/>
              <w:rPr>
                <w:sz w:val="20"/>
                <w:szCs w:val="20"/>
                <w:color w:val="auto"/>
              </w:rPr>
            </w:pPr>
            <w:r>
              <w:rPr>
                <w:rFonts w:ascii="Arial" w:cs="Arial" w:eastAsia="Arial" w:hAnsi="Arial"/>
                <w:sz w:val="14"/>
                <w:szCs w:val="14"/>
                <w:color w:val="auto"/>
              </w:rPr>
              <w:t>/S/  Aviv Efrat</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100" w:type="dxa"/>
            <w:vAlign w:val="bottom"/>
          </w:tcPr>
          <w:p>
            <w:pPr>
              <w:spacing w:after="0"/>
              <w:rPr>
                <w:sz w:val="14"/>
                <w:szCs w:val="14"/>
                <w:color w:val="auto"/>
              </w:rPr>
            </w:pP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Jeffrey Flug</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Samuel L. Katz</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bl>
    <w:p>
      <w:pPr>
        <w:spacing w:after="0" w:line="180" w:lineRule="exact"/>
        <w:rPr>
          <w:sz w:val="20"/>
          <w:szCs w:val="20"/>
          <w:color w:val="auto"/>
        </w:rPr>
      </w:pPr>
    </w:p>
    <w:p>
      <w:pPr>
        <w:ind w:left="5580" w:right="4460" w:hanging="5572"/>
        <w:spacing w:after="0" w:line="459" w:lineRule="auto"/>
        <w:tabs>
          <w:tab w:leader="none" w:pos="115"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Signed by Aviv Efrat on behalf of those identified pursuant to his designation as an attorney-in-fact signed on March 14, 2012. C-11</w:t>
      </w:r>
    </w:p>
    <w:p>
      <w:pPr>
        <w:sectPr>
          <w:pgSz w:w="11900" w:h="16838" w:orient="portrait"/>
          <w:cols w:equalWidth="0" w:num="1">
            <w:col w:w="11420"/>
          </w:cols>
          <w:pgMar w:left="240" w:top="46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color w:val="auto"/>
        </w:rPr>
        <w:t>Exhibit (n)(1)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Subsidiary</w:t>
      </w:r>
    </w:p>
    <w:p>
      <w:pPr>
        <w:spacing w:after="0" w:line="13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consent to the use of our audit reports dated November 14, 2012 with respect to the consolidated financial statements of PennantPark Floating Rate Capital Ltd. and its subsidiary (the “Company”) as of September 30, 2012 and 2011, and for the year ended September 30, 2012 and for the period from March 4, 2011 (commencement of operations) to September 30, 2011, and the effectiveness of internal control over financial reporting as of September 30, 2012, included in Post-effective Amendment No. 3 to the Registration Statement on Form N-2, and to the references to our firm under the headings “Selected Financial Data”, “Senior Securities” and “Independent Registered Public Accounting Firm” in such registration statement.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July 2, 2013</w:t>
      </w:r>
    </w:p>
    <w:p>
      <w:pPr>
        <w:sectPr>
          <w:pgSz w:w="11900" w:h="16838" w:orient="portrait"/>
          <w:cols w:equalWidth="0" w:num="1">
            <w:col w:w="11420"/>
          </w:cols>
          <w:pgMar w:left="240" w:top="127"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b w:val="1"/>
          <w:bCs w:val="1"/>
          <w:color w:val="auto"/>
        </w:rPr>
        <w:t>Exhibit (n)(2)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Awareness Letter of Independent Registered Public Accounting Firm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Subsidiary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Re: Securities Act of 1933 Registration No. 333-180084 and Investment Company Act of 1940 File No. 814-00891</w:t>
      </w:r>
    </w:p>
    <w:p>
      <w:pPr>
        <w:spacing w:after="0" w:line="123"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With respect to the subject registration statement, we acknowledge our awareness of the use therein of our report dated May 9, 2013 related to our review of interim financial information. 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July 2, 2013</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1)"/>
      <w:numFmt w:val="decimal"/>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1)"/>
      <w:numFmt w:val="decimal"/>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1)"/>
      <w:numFmt w:val="decimal"/>
      <w:start w:val="4"/>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1)"/>
      <w:numFmt w:val="decimal"/>
      <w:start w:val="3"/>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lowerLetter"/>
      <w:start w:val="3"/>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lvl w:ilvl="1">
      <w:lvlJc w:val="left"/>
      <w:lvlText w:val="%2)"/>
      <w:numFmt w:val="decimal"/>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1)"/>
      <w:numFmt w:val="decimal"/>
      <w:start w:val="1"/>
    </w:lvl>
  </w:abstractNum>
  <w:abstractNum w:abstractNumId="71">
    <w:nsid w:val="4C04A8AF"/>
    <w:multiLevelType w:val="hybridMultilevel"/>
    <w:lvl w:ilvl="0">
      <w:lvlJc w:val="left"/>
      <w:lvlText w:val="(%1)"/>
      <w:numFmt w:val="decimal"/>
      <w:start w:val="1"/>
    </w:lvl>
    <w:lvl w:ilvl="1">
      <w:lvlJc w:val="left"/>
      <w:lvlText w:val="(%2)"/>
      <w:numFmt w:val="lowerLetter"/>
      <w:start w:val="2"/>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decimal"/>
      <w:start w:val="1"/>
    </w:lvl>
  </w:abstractNum>
  <w:abstractNum w:abstractNumId="77">
    <w:nsid w:val="2DF6D648"/>
    <w:multiLevelType w:val="hybridMultilevel"/>
    <w:lvl w:ilvl="0">
      <w:lvlJc w:val="left"/>
      <w:lvlText w:val="%1"/>
      <w:numFmt w:val="lowerLetter"/>
      <w:start w:val="1"/>
    </w:lvl>
    <w:lvl w:ilvl="1">
      <w:lvlJc w:val="left"/>
      <w:lvlText w:val="(%2)"/>
      <w:numFmt w:val="decimal"/>
      <w:start w:val="1"/>
    </w:lvl>
  </w:abstractNum>
  <w:abstractNum w:abstractNumId="78">
    <w:nsid w:val="46B7D447"/>
    <w:multiLevelType w:val="hybridMultilevel"/>
    <w:lvl w:ilvl="0">
      <w:lvlJc w:val="left"/>
      <w:lvlText w:val="(%1)"/>
      <w:numFmt w:val="lowerLetter"/>
      <w:start w:val="2"/>
    </w:lvl>
    <w:lvl w:ilvl="1">
      <w:lvlJc w:val="left"/>
      <w:lvlText w:val="%2"/>
      <w:numFmt w:val="decimal"/>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1"/>
      <w:numFmt w:val="bullet"/>
      <w:start w:val="1"/>
    </w:lvl>
  </w:abstractNum>
  <w:abstractNum w:abstractNumId="82">
    <w:nsid w:val="CC1016F"/>
    <w:multiLevelType w:val="hybridMultilevel"/>
    <w:lvl w:ilvl="0">
      <w:lvlJc w:val="left"/>
      <w:lvlText w:val="2"/>
      <w:numFmt w:val="bullet"/>
      <w:start w:val="1"/>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lowerLetter"/>
      <w:start w:val="5"/>
    </w:lvl>
  </w:abstractNum>
  <w:abstractNum w:abstractNumId="85">
    <w:nsid w:val="26F324BA"/>
    <w:multiLevelType w:val="hybridMultilevel"/>
    <w:lvl w:ilvl="0">
      <w:lvlJc w:val="left"/>
      <w:lvlText w:val="(%1)"/>
      <w:numFmt w:val="lowerLetter"/>
      <w:start w:val="7"/>
    </w:lvl>
  </w:abstractNum>
  <w:abstractNum w:abstractNumId="86">
    <w:nsid w:val="7F01579B"/>
    <w:multiLevelType w:val="hybridMultilevel"/>
    <w:lvl w:ilvl="0">
      <w:lvlJc w:val="left"/>
      <w:lvlText w:val="(%1)"/>
      <w:numFmt w:val="lowerLetter"/>
      <w:start w:val="10"/>
    </w:lvl>
  </w:abstractNum>
  <w:abstractNum w:abstractNumId="87">
    <w:nsid w:val="49DA307D"/>
    <w:multiLevelType w:val="hybridMultilevel"/>
    <w:lvl w:ilvl="0">
      <w:lvlJc w:val="left"/>
      <w:lvlText w:val="2"/>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
      <w:numFmt w:val="bullet"/>
      <w:start w:val="1"/>
    </w:lvl>
  </w:abstractNum>
  <w:abstractNum w:abstractNumId="95">
    <w:nsid w:val="6FC75AF8"/>
    <w:multiLevelType w:val="hybridMultilevel"/>
    <w:lvl w:ilvl="0">
      <w:lvlJc w:val="left"/>
      <w:lvlText w:val="(%1)"/>
      <w:numFmt w:val="decimal"/>
      <w:start w:val="1"/>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1"/>
      <w:numFmt w:val="lowerLetter"/>
      <w:start w:val="1"/>
    </w:lvl>
    <w:lvl w:ilvl="1">
      <w:lvlJc w:val="left"/>
      <w:lvlText w:val="(%2)"/>
      <w:numFmt w:val="lowerRoman"/>
      <w:start w:val="1"/>
    </w:lvl>
  </w:abstractNum>
  <w:abstractNum w:abstractNumId="98">
    <w:nsid w:val="5F3534A4"/>
    <w:multiLevelType w:val="hybridMultilevel"/>
    <w:lvl w:ilvl="0">
      <w:lvlJc w:val="left"/>
      <w:lvlText w:val="(%1)"/>
      <w:numFmt w:val="lowerLetter"/>
      <w:start w:val="2"/>
    </w:lvl>
    <w:lvl w:ilvl="1">
      <w:lvlJc w:val="left"/>
      <w:lvlText w:val="%2"/>
      <w:numFmt w:val="lowerRoman"/>
      <w:start w:val="1"/>
    </w:lvl>
  </w:abstractNum>
  <w:abstractNum w:abstractNumId="99">
    <w:nsid w:val="73A1821B"/>
    <w:multiLevelType w:val="hybridMultilevel"/>
    <w:lvl w:ilvl="0">
      <w:lvlJc w:val="left"/>
      <w:lvlText w:val="(%1)"/>
      <w:numFmt w:val="lowerLetter"/>
      <w:start w:val="5"/>
    </w:lvl>
    <w:lvl w:ilvl="1">
      <w:lvlJc w:val="left"/>
      <w:lvlText w:val="(%2)"/>
      <w:numFmt w:val="lowerRoman"/>
      <w:start w:val="1"/>
    </w:lvl>
  </w:abstractNum>
  <w:abstractNum w:abstractNumId="100">
    <w:nsid w:val="7DE67713"/>
    <w:multiLevelType w:val="hybridMultilevel"/>
    <w:lvl w:ilvl="0">
      <w:lvlJc w:val="left"/>
      <w:lvlText w:val="%1"/>
      <w:numFmt w:val="decimal"/>
      <w:start w:val="1"/>
    </w:lvl>
    <w:lvl w:ilvl="1">
      <w:lvlJc w:val="left"/>
      <w:lvlText w:val="(%2)"/>
      <w:numFmt w:val="lowerLetter"/>
      <w:start w:val="2"/>
    </w:lvl>
  </w:abstractNum>
  <w:abstractNum w:abstractNumId="101">
    <w:nsid w:val="555C55B5"/>
    <w:multiLevelType w:val="hybridMultilevel"/>
    <w:lvl w:ilvl="0">
      <w:lvlJc w:val="left"/>
      <w:lvlText w:val="(%1)"/>
      <w:numFmt w:val="decimal"/>
      <w:start w:val="6"/>
    </w:lvl>
    <w:lvl w:ilvl="1">
      <w:lvlJc w:val="left"/>
      <w:lvlText w:val="%2"/>
      <w:numFmt w:val="lowerLetter"/>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2019-12-07T23:27:55Z</dcterms:created>
  <dcterms:modified xsi:type="dcterms:W3CDTF">2019-12-07T23:27:55Z</dcterms:modified>
</cp:coreProperties>
</file>