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84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February 7, 2017</w:t>
      </w:r>
    </w:p>
    <w:p>
      <w:pPr>
        <w:spacing w:after="0" w:line="11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240030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080" w:type="dxa"/>
            <w:vAlign w:val="bottom"/>
          </w:tcPr>
          <w:p>
            <w:pPr>
              <w:jc w:val="center"/>
              <w:ind w:right="2379"/>
              <w:spacing w:after="0"/>
              <w:rPr>
                <w:sz w:val="20"/>
                <w:szCs w:val="20"/>
                <w:color w:val="auto"/>
              </w:rPr>
            </w:pPr>
            <w:r>
              <w:rPr>
                <w:rFonts w:ascii="Arial" w:cs="Arial" w:eastAsia="Arial" w:hAnsi="Arial"/>
                <w:sz w:val="18"/>
                <w:szCs w:val="18"/>
                <w:b w:val="1"/>
                <w:bCs w:val="1"/>
                <w:color w:val="auto"/>
                <w:w w:val="98"/>
              </w:rPr>
              <w:t>Maryland</w:t>
            </w:r>
          </w:p>
        </w:tc>
        <w:tc>
          <w:tcPr>
            <w:tcW w:w="2340" w:type="dxa"/>
            <w:vAlign w:val="bottom"/>
          </w:tcPr>
          <w:p>
            <w:pPr>
              <w:ind w:left="180"/>
              <w:spacing w:after="0"/>
              <w:rPr>
                <w:sz w:val="20"/>
                <w:szCs w:val="20"/>
                <w:color w:val="auto"/>
              </w:rPr>
            </w:pPr>
            <w:r>
              <w:rPr>
                <w:rFonts w:ascii="Arial" w:cs="Arial" w:eastAsia="Arial" w:hAnsi="Arial"/>
                <w:sz w:val="18"/>
                <w:szCs w:val="18"/>
                <w:b w:val="1"/>
                <w:bCs w:val="1"/>
                <w:color w:val="auto"/>
              </w:rPr>
              <w:t>814-00891</w:t>
            </w:r>
          </w:p>
        </w:tc>
        <w:tc>
          <w:tcPr>
            <w:tcW w:w="2480" w:type="dxa"/>
            <w:vAlign w:val="bottom"/>
          </w:tcPr>
          <w:p>
            <w:pPr>
              <w:jc w:val="center"/>
              <w:ind w:left="1281"/>
              <w:spacing w:after="0"/>
              <w:rPr>
                <w:sz w:val="20"/>
                <w:szCs w:val="20"/>
                <w:color w:val="auto"/>
              </w:rPr>
            </w:pPr>
            <w:r>
              <w:rPr>
                <w:rFonts w:ascii="Arial" w:cs="Arial" w:eastAsia="Arial" w:hAnsi="Arial"/>
                <w:sz w:val="18"/>
                <w:szCs w:val="18"/>
                <w:b w:val="1"/>
                <w:bCs w:val="1"/>
                <w:color w:val="auto"/>
                <w:w w:val="91"/>
              </w:rPr>
              <w:t>27-3794690</w:t>
            </w:r>
          </w:p>
        </w:tc>
      </w:tr>
      <w:tr>
        <w:trPr>
          <w:trHeight w:val="149"/>
        </w:trPr>
        <w:tc>
          <w:tcPr>
            <w:tcW w:w="4080" w:type="dxa"/>
            <w:vAlign w:val="bottom"/>
          </w:tcPr>
          <w:p>
            <w:pPr>
              <w:jc w:val="center"/>
              <w:ind w:right="23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8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4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435"/>
        </w:trPr>
        <w:tc>
          <w:tcPr>
            <w:tcW w:w="4080" w:type="dxa"/>
            <w:vAlign w:val="bottom"/>
          </w:tcPr>
          <w:p>
            <w:pPr>
              <w:jc w:val="center"/>
              <w:ind w:left="1199"/>
              <w:spacing w:after="0"/>
              <w:rPr>
                <w:sz w:val="20"/>
                <w:szCs w:val="20"/>
                <w:color w:val="auto"/>
              </w:rPr>
            </w:pPr>
            <w:r>
              <w:rPr>
                <w:rFonts w:ascii="Arial" w:cs="Arial" w:eastAsia="Arial" w:hAnsi="Arial"/>
                <w:sz w:val="18"/>
                <w:szCs w:val="18"/>
                <w:b w:val="1"/>
                <w:bCs w:val="1"/>
                <w:color w:val="auto"/>
                <w:w w:val="89"/>
              </w:rPr>
              <w:t>590 Madison Avenue, 15th Floor,</w:t>
            </w:r>
          </w:p>
        </w:tc>
        <w:tc>
          <w:tcPr>
            <w:tcW w:w="2340" w:type="dxa"/>
            <w:vAlign w:val="bottom"/>
          </w:tcPr>
          <w:p>
            <w:pPr>
              <w:spacing w:after="0"/>
              <w:rPr>
                <w:sz w:val="24"/>
                <w:szCs w:val="24"/>
                <w:color w:val="auto"/>
              </w:rPr>
            </w:pPr>
          </w:p>
        </w:tc>
        <w:tc>
          <w:tcPr>
            <w:tcW w:w="2480" w:type="dxa"/>
            <w:vAlign w:val="bottom"/>
          </w:tcPr>
          <w:p>
            <w:pPr>
              <w:jc w:val="center"/>
              <w:ind w:left="1321"/>
              <w:spacing w:after="0"/>
              <w:rPr>
                <w:sz w:val="20"/>
                <w:szCs w:val="20"/>
                <w:color w:val="auto"/>
              </w:rPr>
            </w:pPr>
            <w:r>
              <w:rPr>
                <w:rFonts w:ascii="Arial" w:cs="Arial" w:eastAsia="Arial" w:hAnsi="Arial"/>
                <w:sz w:val="18"/>
                <w:szCs w:val="18"/>
                <w:b w:val="1"/>
                <w:bCs w:val="1"/>
                <w:color w:val="auto"/>
                <w:w w:val="87"/>
              </w:rPr>
              <w:t>10022</w:t>
            </w:r>
          </w:p>
        </w:tc>
      </w:tr>
      <w:tr>
        <w:trPr>
          <w:trHeight w:val="230"/>
        </w:trPr>
        <w:tc>
          <w:tcPr>
            <w:tcW w:w="408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New York, NY</w:t>
            </w:r>
          </w:p>
        </w:tc>
        <w:tc>
          <w:tcPr>
            <w:tcW w:w="2340" w:type="dxa"/>
            <w:vAlign w:val="bottom"/>
          </w:tcPr>
          <w:p>
            <w:pPr>
              <w:spacing w:after="0"/>
              <w:rPr>
                <w:sz w:val="19"/>
                <w:szCs w:val="19"/>
                <w:color w:val="auto"/>
              </w:rPr>
            </w:pPr>
          </w:p>
        </w:tc>
        <w:tc>
          <w:tcPr>
            <w:tcW w:w="248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r>
        <w:trPr>
          <w:trHeight w:val="186"/>
        </w:trPr>
        <w:tc>
          <w:tcPr>
            <w:tcW w:w="408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40" w:type="dxa"/>
            <w:vAlign w:val="bottom"/>
          </w:tcPr>
          <w:p>
            <w:pPr>
              <w:spacing w:after="0"/>
              <w:rPr>
                <w:sz w:val="16"/>
                <w:szCs w:val="16"/>
                <w:color w:val="auto"/>
              </w:rPr>
            </w:pPr>
          </w:p>
        </w:tc>
        <w:tc>
          <w:tcPr>
            <w:tcW w:w="2480" w:type="dxa"/>
            <w:vAlign w:val="bottom"/>
          </w:tcPr>
          <w:p>
            <w:pPr>
              <w:spacing w:after="0"/>
              <w:rPr>
                <w:sz w:val="16"/>
                <w:szCs w:val="16"/>
                <w:color w:val="auto"/>
              </w:rPr>
            </w:pPr>
          </w:p>
        </w:tc>
      </w:tr>
    </w:tbl>
    <w:p>
      <w:pPr>
        <w:spacing w:after="0" w:line="18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bookmarkStart w:id="1" w:name="page2"/>
    <w:bookmarkEnd w:id="1"/>
    <w:p>
      <w:pPr>
        <w:spacing w:after="0"/>
        <w:tabs>
          <w:tab w:leader="none" w:pos="1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On February 7, 2017, PennantPark Floating Rate Capital Ltd. (the “Company”) held its annual meeting of stockholders (the “Annual Meeting”) and submitted two matters to the vote of stockholders. The proposals are described in detail in the Company’s definitive proxy statement filed with the Securities and Exchange Commission on December 8, 2016. As of November 30, 2016, the record date, 26,730,074 shares of common stock were eligible to vote. A summary of the matters voted upon by the stockholders is set forth below.</w:t>
      </w:r>
    </w:p>
    <w:p>
      <w:pPr>
        <w:spacing w:after="0" w:line="18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one Class III director of the Company, who will serve until the 2020 Annual Meeting and until his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February 7, 2017, as certified by the inspector of election, are set forth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360" w:type="dxa"/>
            <w:vAlign w:val="bottom"/>
            <w:vMerge w:val="restart"/>
          </w:tcPr>
          <w:p>
            <w:pPr>
              <w:spacing w:after="0"/>
              <w:rPr>
                <w:sz w:val="14"/>
                <w:szCs w:val="14"/>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For</w:t>
            </w: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Withheld</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73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Non Vote</w:t>
            </w:r>
          </w:p>
        </w:tc>
        <w:tc>
          <w:tcPr>
            <w:tcW w:w="0" w:type="dxa"/>
            <w:vAlign w:val="bottom"/>
          </w:tcPr>
          <w:p>
            <w:pPr>
              <w:spacing w:after="0"/>
              <w:rPr>
                <w:sz w:val="1"/>
                <w:szCs w:val="1"/>
                <w:color w:val="auto"/>
              </w:rPr>
            </w:pPr>
          </w:p>
        </w:tc>
      </w:tr>
      <w:tr>
        <w:trPr>
          <w:trHeight w:val="203"/>
        </w:trPr>
        <w:tc>
          <w:tcPr>
            <w:tcW w:w="7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Arthur H. Penn</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10,019,043</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219,767</w:t>
            </w: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12,688,004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 of Shares Voted</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97.85%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2.15%</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RSM US LLP to serve as the Company’s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year ending September 30, 2017.</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February 7, 2017, as certified by the inspector of election, are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For</w:t>
            </w: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Abstain</w:t>
            </w:r>
          </w:p>
        </w:tc>
      </w:tr>
      <w:tr>
        <w:trPr>
          <w:trHeight w:val="209"/>
        </w:trPr>
        <w:tc>
          <w:tcPr>
            <w:tcW w:w="79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22,608,128</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234,490</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84,196</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 of Shares Voted</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98.61%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0.37%</w:t>
            </w:r>
          </w:p>
        </w:tc>
      </w:tr>
    </w:tbl>
    <w:p>
      <w:pPr>
        <w:sectPr>
          <w:pgSz w:w="11900" w:h="16838" w:orient="portrait"/>
          <w:cols w:equalWidth="0" w:num="1">
            <w:col w:w="11240"/>
          </w:cols>
          <w:pgMar w:left="32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5260" w:type="dxa"/>
            <w:vAlign w:val="bottom"/>
          </w:tcPr>
          <w:p>
            <w:pPr>
              <w:ind w:left="106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Dated: February 10, 2017</w:t>
            </w:r>
          </w:p>
        </w:tc>
        <w:tc>
          <w:tcPr>
            <w:tcW w:w="5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AVIV EFRAT</w:t>
            </w:r>
          </w:p>
        </w:tc>
      </w:tr>
      <w:tr>
        <w:trPr>
          <w:trHeight w:val="195"/>
        </w:trPr>
        <w:tc>
          <w:tcPr>
            <w:tcW w:w="5980" w:type="dxa"/>
            <w:vAlign w:val="bottom"/>
          </w:tcPr>
          <w:p>
            <w:pPr>
              <w:spacing w:after="0"/>
              <w:rPr>
                <w:sz w:val="16"/>
                <w:szCs w:val="16"/>
                <w:color w:val="auto"/>
              </w:rPr>
            </w:pPr>
          </w:p>
        </w:tc>
        <w:tc>
          <w:tcPr>
            <w:tcW w:w="5260" w:type="dxa"/>
            <w:vAlign w:val="bottom"/>
          </w:tcPr>
          <w:p>
            <w:pPr>
              <w:ind w:left="100"/>
              <w:spacing w:after="0" w:line="195" w:lineRule="exact"/>
              <w:rPr>
                <w:sz w:val="20"/>
                <w:szCs w:val="20"/>
                <w:color w:val="auto"/>
              </w:rPr>
            </w:pPr>
            <w:r>
              <w:rPr>
                <w:rFonts w:ascii="Arial" w:cs="Arial" w:eastAsia="Arial" w:hAnsi="Arial"/>
                <w:sz w:val="18"/>
                <w:szCs w:val="18"/>
                <w:color w:val="auto"/>
              </w:rPr>
              <w:t>Aviv Efrat</w:t>
            </w:r>
          </w:p>
        </w:tc>
      </w:tr>
      <w:tr>
        <w:trPr>
          <w:trHeight w:val="230"/>
        </w:trPr>
        <w:tc>
          <w:tcPr>
            <w:tcW w:w="598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2020-05-05T12:05:05Z</dcterms:created>
  <dcterms:modified xsi:type="dcterms:W3CDTF">2020-05-05T12:05:05Z</dcterms:modified>
</cp:coreProperties>
</file>