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05,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February 5, 2015, PennantPark Floating Rate Capital Ltd. issued a press release announcing financial results for the first fiscal quarter ended December 31, 2014.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05, 2015</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05,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2014</w:t>
      </w:r>
    </w:p>
    <w:p>
      <w:pPr>
        <w:spacing w:after="0" w:line="22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NEW YORK, NY -- (Marketwired - February 05, 2015) - PennantPark Floating Rate Capital Ltd. (NASDAQ: PFLT) announced today financial results for the first fiscal quarter ended December 31, 2014.</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December 31, 2014</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343.2</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210.9</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14.16</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$135.5)</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136.0</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8.5%</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0.37</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Reversal of capital gain incentive fee accrued per share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0.27</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47.0</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44.9</w:t>
            </w:r>
          </w:p>
        </w:tc>
      </w:tr>
      <w:tr>
        <w:trPr>
          <w:trHeight w:val="405"/>
        </w:trPr>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6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6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w:t>
            </w:r>
          </w:p>
        </w:tc>
      </w:tr>
    </w:tbl>
    <w:p>
      <w:pPr>
        <w:spacing w:after="0" w:line="399" w:lineRule="exact"/>
        <w:rPr>
          <w:sz w:val="20"/>
          <w:szCs w:val="20"/>
          <w:color w:val="auto"/>
        </w:rPr>
      </w:pPr>
    </w:p>
    <w:p>
      <w:pPr>
        <w:ind w:right="140" w:firstLine="8"/>
        <w:spacing w:after="0" w:line="236"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realized gains (including fees accrued under GAAP but not payable). The presentation of this additional information is not meant to be considered in isolation or as a substitute for financial results prepared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6, 2015</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February 6, 2015 to discuss its financial results. All interested parties are welcome to participate. You can access the conference call by dialing (888) 539-3612 approximately 5-10 minutes prior to the call. International callers should dial (719)</w:t>
      </w:r>
    </w:p>
    <w:p>
      <w:pPr>
        <w:spacing w:after="0" w:line="1" w:lineRule="exact"/>
        <w:rPr>
          <w:sz w:val="20"/>
          <w:szCs w:val="20"/>
          <w:color w:val="auto"/>
        </w:rPr>
      </w:pPr>
    </w:p>
    <w:p>
      <w:pPr>
        <w:jc w:val="both"/>
        <w:ind w:right="340"/>
        <w:spacing w:after="0" w:line="234" w:lineRule="auto"/>
        <w:rPr>
          <w:sz w:val="20"/>
          <w:szCs w:val="20"/>
          <w:color w:val="auto"/>
        </w:rPr>
      </w:pPr>
      <w:r>
        <w:rPr>
          <w:rFonts w:ascii="Arial" w:cs="Arial" w:eastAsia="Arial" w:hAnsi="Arial"/>
          <w:sz w:val="22"/>
          <w:szCs w:val="22"/>
          <w:color w:val="auto"/>
        </w:rPr>
        <w:t>325-2244. All callers should reference PennantPark Floating Rate Capital Ltd. An archived replay of the call will be available through February 20, 2015 by calling (888) 203-1112. International callers please dial (719) 457-0820. For all phone replays, please reference conference ID #1817227.</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As of December 31, 2014, our portfolio totaled $343.2 million and consisted of $288.6 million of senior secured loans, $45.4 million of second lien secured debt and $9.2 million of subordinated debt, preferred and common equity. Our debt portfolio consisted of 95% variable-rate investments (including 92% with a London Interbank Offered Rate, or LIBOR, or prime floor) and 5% fixed-rate investments. As of December 31, 2014, we had one non-accrual debt investment, representing 0.7% of our overall portfolio on a cost basis. Overall, the portfolio had net unrealized depreciation of $4.8 million. Our overall portfolio consisted of 72 companies with an average investment size of $4.8 million, had a weighted average yield on debt investments of 8.5%, and was invested 84% in senior secured loans, 13% in second lien secured debt and 3% in subordinated debt, preferred and common equity.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LIBOR, or prime floor) and 5% fixed-rate investments. As of September 30, 2014, we had one non-accrual debt investment, representing 0.6% of our overall portfolio on a cost basis. Overall, the portfolio had net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52"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For the three months ended December 31, 2014, we invested $47.0 million in eight new and five existing portfolio companies with a weighted average yield on debt investments of 8.5%. Sales and repayments of investments for the three months ended December 31, 2014 totaled $44.9 million.</w:t>
      </w:r>
    </w:p>
    <w:p>
      <w:pPr>
        <w:sectPr>
          <w:pgSz w:w="11900" w:h="16838" w:orient="portrait"/>
          <w:cols w:equalWidth="0" w:num="1">
            <w:col w:w="11240"/>
          </w:cols>
          <w:pgMar w:left="320" w:top="111" w:right="339" w:bottom="0" w:gutter="0" w:footer="0" w:header="0"/>
        </w:sectPr>
      </w:pPr>
    </w:p>
    <w:bookmarkStart w:id="3" w:name="page4"/>
    <w:bookmarkEnd w:id="3"/>
    <w:p>
      <w:pPr>
        <w:jc w:val="both"/>
        <w:spacing w:after="0"/>
        <w:rPr>
          <w:sz w:val="20"/>
          <w:szCs w:val="20"/>
          <w:color w:val="auto"/>
        </w:rPr>
      </w:pPr>
      <w:r>
        <w:rPr>
          <w:rFonts w:ascii="Arial" w:cs="Arial" w:eastAsia="Arial" w:hAnsi="Arial"/>
          <w:sz w:val="22"/>
          <w:szCs w:val="22"/>
          <w:color w:val="auto"/>
        </w:rPr>
        <w:t>For the three months ended December 31, 2013, we invested $103.9 million in 17 new and 11 existing portfolio companies with a weighted average yield on debt investments of 7.7%. Sales and repayments of investments for the three months ended December 31, 2013 totaled $55.4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2014 and 2013.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Investment income for the three months ended December 31, 2014 was $7.5 million and was attributable to $5.8 million from senior secured loans and $1.7 million from second lien secured debt and subordinated debt. This compares to investment income for the three months ended December 31, 2013, which was $6.8 million, and was attributable to $5.5 million from senior secured loans and $1.3 million from second lien secured debt and subordinated debt. The increase in investment income compared to the same period in the prior year is primarily due to a higher yielding portfolio.</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Expenses for the three months ended December 31, 2014 totaled $2.0 million. Base management fee for the same period totaled $0.9 million, incentive fee totaled $(0.3) million (including $(0.4) million on realized gains and $(0.6) million on unrealized gains accrued but not payable), our senior secured revolving credit facility, as amended, or the Credit Facility, expenses totaled $0.9 million, general and administrative expenses totaled $0.4 million and excise taxes were $0.1 million. This compares to expenses for the three months ended December 31, 2013, which totaled $3.6 million. Base management fee for the same period totaled $0.9 million, incentive fee totaled $0.7 million (including $0.4 million on realized gains and $0.2 million on unrealized gains accrued but not payable), Credit Facility expenses totaled $1.4 million (including $0.7 million of Credit Facility amendment expenses), general and administrative expenses totaled $0.5 million and excise taxes were $0.1 million. The decrease in expenses compared to the same period in the prior year was primarily due to a reduction in the accrual of incentive fees on realized and unrealized gains on the portfolio and no Credit Facility amendment fees in the current period.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Net investment income totaled $5.5 million, or $0.37 per share, for the three months ended December 31, 2014, and $3.2 million, or $0.22 per share, for the three months ended December 31, 2013. Core net investment income, a non-GAAP financial measure, totaled $4.5 million and $4.5 million, or $0.30 and $0.30 per share, for the three months ended December 31, 2014 and 2013, respectively. The increase in net investment income compared to the same period in the prior year was due to a higher yielding portfolio, reduction in incentive fees on realized and unrealized gains on the portfolio and no amendment fees in the current period on our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Sales and repayments of investments for the three months ended December 31, 2014 totaled $44.9 million and realized losses totaled $0.2 million. Sales and repayments of investments totaled $55.4 million and realized gains totaled $0.6 million for the three months ended December 31, 2013. The decrease in realized gains compared to the same period in the prior year was driven by changes in market conditions of our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For the three months ended December 31, 2014 and 2013, we reported net unrealized (depreciation) appreciation on investments of $(4.9) million and $2.2 million, respectively. As of December 31, 2014 and September 30, 2014, net unrealized (depreciation) appreciation on investments totaled $(4.8) million and $0.1 million, respectively. The change in net unrealized depreciation compared to the same period in the prior year was the result of the overall variation in the leveraged finance markets.</w:t>
      </w:r>
    </w:p>
    <w:p>
      <w:pPr>
        <w:spacing w:after="0" w:line="143" w:lineRule="exact"/>
        <w:rPr>
          <w:sz w:val="20"/>
          <w:szCs w:val="20"/>
          <w:color w:val="auto"/>
        </w:rPr>
      </w:pPr>
    </w:p>
    <w:p>
      <w:pPr>
        <w:ind w:right="400"/>
        <w:spacing w:after="0" w:line="252" w:lineRule="auto"/>
        <w:rPr>
          <w:sz w:val="20"/>
          <w:szCs w:val="20"/>
          <w:color w:val="auto"/>
        </w:rPr>
      </w:pPr>
      <w:r>
        <w:rPr>
          <w:rFonts w:ascii="Arial" w:cs="Arial" w:eastAsia="Arial" w:hAnsi="Arial"/>
          <w:sz w:val="21"/>
          <w:szCs w:val="21"/>
          <w:color w:val="auto"/>
        </w:rPr>
        <w:t>For the three months ended December 31, 2014 and 2013, our Credit Facility had an unrealized appreciation of less than $0.1 million and zero, respectively. As of December 31, 2014 and September 30, 2014, net unrealized appreciation on our Credit Facility totaled $0.5 million and $0.5 million, respectively. The change in net unrealized appreciation compared to the same period in the prior year was due to changes in the capital markets.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Net change in net assets resulting from operations totaled $0.4 million, or $0.03 per share, for the three months ended December 31, 2014. This compares to a net change in net assets resulting from operations which totaled $6.1 million, or $0.41 per share, for the three months ended December 31, 2013. The decrease in the net change in net assets from operations compared to the same period in the prior year reflects the change in portfolio investment values during the reporting period.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w:t>
      </w:r>
    </w:p>
    <w:p>
      <w:pPr>
        <w:sectPr>
          <w:pgSz w:w="11900" w:h="16838" w:orient="portrait"/>
          <w:cols w:equalWidth="0" w:num="1">
            <w:col w:w="11240"/>
          </w:cols>
          <w:pgMar w:left="320" w:top="118" w:right="339" w:bottom="0" w:gutter="0" w:footer="0" w:header="0"/>
        </w:sectPr>
      </w:pPr>
    </w:p>
    <w:bookmarkStart w:id="4" w:name="page5"/>
    <w:bookmarkEnd w:id="4"/>
    <w:p>
      <w:pPr>
        <w:spacing w:after="0" w:line="64"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Facility, the rotation of our portfolio and proceeds from public and private offerings of securities to finance our investment objectives.</w:t>
      </w:r>
    </w:p>
    <w:p>
      <w:pPr>
        <w:spacing w:after="0" w:line="17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As of December 31, 2014 and September 30, 2014, we had $135.5 million and $146.4 million of outstanding borrowings under the Credit Facility, respectively, and carried an interest rate of 2.18% and 2.16%, respectively, excluding the 0.375% undrawn commitment fee.</w:t>
      </w:r>
    </w:p>
    <w:p>
      <w:pPr>
        <w:spacing w:after="0" w:line="186"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The annualized weighted average cost of debt for the three months ended December 31, 2014 and 2013, inclusive of the fee on the undrawn commitment on the Credit Facility but excluding amendment costs, was 2.47% and 2.46%, respectively.</w:t>
      </w:r>
    </w:p>
    <w:p>
      <w:pPr>
        <w:spacing w:after="0" w:line="105"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As of December 31, 2014 and September 30, 2014, we had $64.5 million and $53.6 million of unused borrowing capacity, respectively, subject to the regulatory restrictions that the 1940 Act imposes on us as a business development company.</w:t>
      </w:r>
    </w:p>
    <w:p>
      <w:pPr>
        <w:spacing w:after="0" w:line="105"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Our operating activities provided cash of $12.2 million for the three months ended December 31, 2014, and our financing activities used cash of $14.9 million for the same period. Our operating activities provided cash primarily from sales and repayments on our investments and our financing activities used cash primarily from net repayments under the Credit Facility.</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Our operating activities used cash of $34.9 million for the three months ended December 31, 2013, and our financing activities provided cash of $35.7 million for the same period. Our operating activities used cash primarily for our investment activities and our financing activities provided cash primarily from net draws under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After quarter-end, Patriot National, Inc. priced and closed an initial public offering. Our proceeds of approximately $14 million resulted in about $0.09 per share of realized gain, an increase in NAV per share of about $0.06 and about $0.05 per share of other income. Additionally, subsequent to quarter-end, UniTek Global Services, Inc. restructured its debt, and is no longer on non-accrual status.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three months ended December 31, 2014 and 2013, we declared distributions of $0.27 and $0.27 per share, respectively, for total distributions of $4.0 million and $4.0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2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December 31,</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2014</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146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$348,017,575 and $348,354,295,</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$ 343,194,642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$ 348,428,492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10,385,490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13,113,817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2,162,761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1,773,870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9,001,938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502,728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556,359</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356,245,621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372,874,476</w:t>
            </w:r>
          </w:p>
        </w:tc>
      </w:tr>
      <w:tr>
        <w:trPr>
          <w:trHeight w:val="202"/>
        </w:trPr>
        <w:tc>
          <w:tcPr>
            <w:tcW w:w="4800" w:type="dxa"/>
            <w:vAlign w:val="bottom"/>
          </w:tcPr>
          <w:p>
            <w:pPr>
              <w:spacing w:after="0"/>
              <w:rPr>
                <w:sz w:val="17"/>
                <w:szCs w:val="17"/>
                <w:color w:val="auto"/>
              </w:rPr>
            </w:pP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1,340,825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1,340,825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4,900,000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3,162,000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2,705,882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 - $135,500,000</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$146,400,000, respectively)</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136,008,125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146,949,000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283,642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284,906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883,370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914,978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829,739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2,180,604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1,056,483</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808,571</w:t>
            </w:r>
          </w:p>
        </w:tc>
      </w:tr>
      <w:tr>
        <w:trPr>
          <w:trHeight w:val="202"/>
        </w:trPr>
        <w:tc>
          <w:tcPr>
            <w:tcW w:w="4800" w:type="dxa"/>
            <w:vAlign w:val="bottom"/>
          </w:tcPr>
          <w:p>
            <w:pPr>
              <w:spacing w:after="0"/>
              <w:rPr>
                <w:sz w:val="17"/>
                <w:szCs w:val="17"/>
                <w:color w:val="auto"/>
              </w:rPr>
            </w:pP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903"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640"/>
              <w:spacing w:after="0"/>
              <w:rPr>
                <w:sz w:val="20"/>
                <w:szCs w:val="20"/>
                <w:color w:val="auto"/>
              </w:rPr>
            </w:pPr>
            <w:r>
              <w:rPr>
                <w:rFonts w:ascii="Courier New" w:cs="Courier New" w:eastAsia="Courier New" w:hAnsi="Courier New"/>
                <w:sz w:val="18"/>
                <w:szCs w:val="18"/>
                <w:color w:val="auto"/>
              </w:rPr>
              <w:t>Total liabilities</w:t>
            </w:r>
          </w:p>
        </w:tc>
        <w:tc>
          <w:tcPr>
            <w:tcW w:w="16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145,302,184</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158,346,766</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14,898,056 shares issued and</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Par value $0.001 per share and 100,000,000</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5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14,898</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14,898</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207,226,615</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207,226,615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6,324,062</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4,878,091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2,708,920</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2,882,909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 on</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(4,822,933)</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74,197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appreciation on Credit Facility</w:t>
            </w:r>
          </w:p>
        </w:tc>
        <w:tc>
          <w:tcPr>
            <w:tcW w:w="58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(508,125)</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(549,000)</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$ 210,943,437</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$ 214,527,710</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$ 356,245,621</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$ 372,874,476</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14.16</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69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PENNANTPARK FLOATING RATE CAPITAL LTD. AND SUBSIDIARY</w:t>
            </w:r>
          </w:p>
        </w:tc>
        <w:tc>
          <w:tcPr>
            <w:tcW w:w="1120" w:type="dxa"/>
            <w:vAlign w:val="bottom"/>
          </w:tcPr>
          <w:p>
            <w:pPr>
              <w:spacing w:after="0"/>
              <w:rPr>
                <w:sz w:val="24"/>
                <w:szCs w:val="24"/>
                <w:color w:val="auto"/>
              </w:rPr>
            </w:pPr>
          </w:p>
        </w:tc>
      </w:tr>
      <w:tr>
        <w:trPr>
          <w:trHeight w:val="203"/>
        </w:trPr>
        <w:tc>
          <w:tcPr>
            <w:tcW w:w="6540" w:type="dxa"/>
            <w:vAlign w:val="bottom"/>
            <w:gridSpan w:val="3"/>
          </w:tcPr>
          <w:p>
            <w:pPr>
              <w:ind w:left="2120"/>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900" w:type="dxa"/>
            <w:vAlign w:val="bottom"/>
          </w:tcPr>
          <w:p>
            <w:pPr>
              <w:spacing w:after="0"/>
              <w:rPr>
                <w:sz w:val="17"/>
                <w:szCs w:val="17"/>
                <w:color w:val="auto"/>
              </w:rPr>
            </w:pP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2014</w:t>
            </w:r>
          </w:p>
        </w:tc>
        <w:tc>
          <w:tcPr>
            <w:tcW w:w="36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From non-controlled, non-affiliated investments: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$ 7,448,774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6,754,247</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income</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27,946</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89,646</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7,476,720</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6,843,893</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883,370</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881,803</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(314,057)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683,150</w:t>
            </w:r>
          </w:p>
        </w:tc>
      </w:tr>
      <w:tr>
        <w:trPr>
          <w:trHeight w:val="203"/>
        </w:trPr>
        <w:tc>
          <w:tcPr>
            <w:tcW w:w="54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Interest and expenses on the Credit Facility</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885,758</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736,437</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226,000</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201,000</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217,203</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290,640</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54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Expenses before excise tax and amendment costs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1,898,274</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2,793,030</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Excise tax</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 amendment costs</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712,930</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expenses</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2,008,274</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3,615,960</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5,468,446</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3,227,933</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Realized and unrealized (loss) gain on investments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Credit Facility:</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realized (loss) gain on non-controlled, non-</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(173,989)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594,057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(4,897,130)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2,234,791</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 appreciation</w:t>
            </w:r>
          </w:p>
        </w:tc>
        <w:tc>
          <w:tcPr>
            <w:tcW w:w="5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40,875</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change in unrealized (depreciation)</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appreciation on investments and Credit</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Facility</w:t>
            </w:r>
          </w:p>
        </w:tc>
        <w:tc>
          <w:tcPr>
            <w:tcW w:w="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(4,856,255)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2,234,791</w:t>
            </w:r>
          </w:p>
        </w:tc>
      </w:tr>
      <w:tr>
        <w:trPr>
          <w:trHeight w:val="202"/>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 gain from</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(5,030,244)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2,828,848</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438,202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6,056,781</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0.41</w:t>
            </w:r>
          </w:p>
        </w:tc>
      </w:tr>
      <w:tr>
        <w:trPr>
          <w:trHeight w:val="202"/>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490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3"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2020-05-05T12:04:25Z</dcterms:created>
  <dcterms:modified xsi:type="dcterms:W3CDTF">2020-05-05T12:04:25Z</dcterms:modified>
</cp:coreProperties>
</file>