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-113030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54"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44"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54"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338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c>
          <w:tcPr>
            <w:tcW w:w="540" w:type="dxa"/>
            <w:vAlign w:val="bottom"/>
            <w:tcBorders>
              <w:bottom w:val="single" w:sz="8" w:color="auto"/>
            </w:tcBorders>
          </w:tcPr>
          <w:p>
            <w:pPr>
              <w:spacing w:after="0"/>
              <w:rPr>
                <w:sz w:val="17"/>
                <w:szCs w:val="17"/>
                <w:color w:val="auto"/>
              </w:rPr>
            </w:pPr>
          </w:p>
        </w:tc>
      </w:tr>
      <w:tr>
        <w:trPr>
          <w:trHeight w:val="385"/>
        </w:trPr>
        <w:tc>
          <w:tcPr>
            <w:tcW w:w="3920" w:type="dxa"/>
            <w:vAlign w:val="bottom"/>
            <w:gridSpan w:val="2"/>
          </w:tcPr>
          <w:p>
            <w:pPr>
              <w:ind w:left="420"/>
              <w:spacing w:after="0"/>
              <w:rPr>
                <w:sz w:val="20"/>
                <w:szCs w:val="20"/>
                <w:color w:val="auto"/>
              </w:rPr>
            </w:pPr>
            <w:r>
              <w:rPr>
                <w:rFonts w:ascii="Arial" w:cs="Arial" w:eastAsia="Arial" w:hAnsi="Arial"/>
                <w:sz w:val="18"/>
                <w:szCs w:val="18"/>
                <w:b w:val="1"/>
                <w:bCs w:val="1"/>
                <w:color w:val="auto"/>
              </w:rPr>
              <w:t>COMMISSION FILE NUMBER: 814-00891</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tbl>
      <w:tblPr>
        <w:tblLayout w:type="fixed"/>
        <w:tblInd w:w="1320" w:type="dxa"/>
        <w:tblCellMar>
          <w:top w:w="0" w:type="dxa"/>
          <w:left w:w="0" w:type="dxa"/>
          <w:bottom w:w="0" w:type="dxa"/>
          <w:right w:w="0" w:type="dxa"/>
        </w:tblCellMar>
      </w:tblPr>
      <w:tr>
        <w:trPr>
          <w:trHeight w:val="186"/>
        </w:trPr>
        <w:tc>
          <w:tcPr>
            <w:tcW w:w="6000" w:type="dxa"/>
            <w:vAlign w:val="bottom"/>
          </w:tcPr>
          <w:p>
            <w:pPr>
              <w:jc w:val="center"/>
              <w:ind w:right="2934"/>
              <w:spacing w:after="0"/>
              <w:rPr>
                <w:sz w:val="20"/>
                <w:szCs w:val="20"/>
                <w:color w:val="auto"/>
              </w:rPr>
            </w:pPr>
            <w:r>
              <w:rPr>
                <w:rFonts w:ascii="Arial" w:cs="Arial" w:eastAsia="Arial" w:hAnsi="Arial"/>
                <w:sz w:val="14"/>
                <w:szCs w:val="14"/>
                <w:b w:val="1"/>
                <w:bCs w:val="1"/>
                <w:color w:val="auto"/>
              </w:rPr>
              <w:t>MARYLAND</w:t>
            </w:r>
          </w:p>
        </w:tc>
        <w:tc>
          <w:tcPr>
            <w:tcW w:w="2120" w:type="dxa"/>
            <w:vAlign w:val="bottom"/>
          </w:tcPr>
          <w:p>
            <w:pPr>
              <w:jc w:val="right"/>
              <w:ind w:right="475"/>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68"/>
        </w:trPr>
        <w:tc>
          <w:tcPr>
            <w:tcW w:w="6000" w:type="dxa"/>
            <w:vAlign w:val="bottom"/>
          </w:tcPr>
          <w:p>
            <w:pPr>
              <w:jc w:val="center"/>
              <w:ind w:right="291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120" w:type="dxa"/>
            <w:vAlign w:val="bottom"/>
          </w:tcPr>
          <w:p>
            <w:pPr>
              <w:jc w:val="center"/>
              <w:ind w:left="27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6000" w:type="dxa"/>
            <w:vAlign w:val="bottom"/>
          </w:tcPr>
          <w:p>
            <w:pPr>
              <w:jc w:val="center"/>
              <w:ind w:right="2934"/>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000" w:type="dxa"/>
            <w:vAlign w:val="bottom"/>
          </w:tcPr>
          <w:p>
            <w:pPr>
              <w:jc w:val="center"/>
              <w:ind w:right="2934"/>
              <w:spacing w:after="0"/>
              <w:rPr>
                <w:sz w:val="20"/>
                <w:szCs w:val="20"/>
                <w:color w:val="auto"/>
              </w:rPr>
            </w:pPr>
            <w:r>
              <w:rPr>
                <w:rFonts w:ascii="Arial" w:cs="Arial" w:eastAsia="Arial" w:hAnsi="Arial"/>
                <w:sz w:val="14"/>
                <w:szCs w:val="14"/>
                <w:b w:val="1"/>
                <w:bCs w:val="1"/>
                <w:color w:val="auto"/>
                <w:w w:val="97"/>
              </w:rPr>
              <w:t>New York, N.Y.</w:t>
            </w:r>
          </w:p>
        </w:tc>
        <w:tc>
          <w:tcPr>
            <w:tcW w:w="212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600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6000" w:type="dxa"/>
            <w:vAlign w:val="bottom"/>
          </w:tcPr>
          <w:p>
            <w:pPr>
              <w:jc w:val="center"/>
              <w:ind w:right="293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120" w:type="dxa"/>
            <w:vAlign w:val="bottom"/>
          </w:tcPr>
          <w:p>
            <w:pPr>
              <w:jc w:val="center"/>
              <w:ind w:left="27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95"/>
        </w:trPr>
        <w:tc>
          <w:tcPr>
            <w:tcW w:w="600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 905-1000</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000" w:type="dxa"/>
            <w:vAlign w:val="bottom"/>
          </w:tcPr>
          <w:p>
            <w:pPr>
              <w:jc w:val="center"/>
              <w:ind w:left="253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9" w:lineRule="exact"/>
        <w:rPr>
          <w:sz w:val="24"/>
          <w:szCs w:val="24"/>
          <w:color w:val="auto"/>
        </w:rPr>
      </w:pPr>
    </w:p>
    <w:p>
      <w:pPr>
        <w:ind w:firstLine="467"/>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firstLine="467"/>
        <w:spacing w:after="0" w:line="24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w:t>
      </w:r>
    </w:p>
    <w:p>
      <w:pPr>
        <w:spacing w:after="0" w:line="1" w:lineRule="exact"/>
        <w:rPr>
          <w:sz w:val="24"/>
          <w:szCs w:val="24"/>
          <w:color w:val="auto"/>
        </w:rPr>
      </w:pPr>
    </w:p>
    <w:p>
      <w:pPr>
        <w:spacing w:after="0" w:line="161" w:lineRule="exact"/>
        <w:tabs>
          <w:tab w:leader="none" w:pos="30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43" w:lineRule="exact"/>
        <w:rPr>
          <w:sz w:val="24"/>
          <w:szCs w:val="24"/>
          <w:color w:val="auto"/>
        </w:rPr>
      </w:pPr>
    </w:p>
    <w:p>
      <w:pPr>
        <w:ind w:right="60" w:firstLine="46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640" w:type="dxa"/>
        <w:tblCellMar>
          <w:top w:w="0" w:type="dxa"/>
          <w:left w:w="0" w:type="dxa"/>
          <w:bottom w:w="0" w:type="dxa"/>
          <w:right w:w="0" w:type="dxa"/>
        </w:tblCellMar>
      </w:tblPr>
      <w:tr>
        <w:trPr>
          <w:trHeight w:val="226"/>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5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040" w:type="dxa"/>
            <w:vAlign w:val="bottom"/>
          </w:tcPr>
          <w:p>
            <w:pPr>
              <w:ind w:left="120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8"/>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4520" w:type="dxa"/>
            <w:vAlign w:val="bottom"/>
          </w:tcPr>
          <w:p>
            <w:pPr>
              <w:ind w:left="4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040" w:type="dxa"/>
            <w:vAlign w:val="bottom"/>
          </w:tcPr>
          <w:p>
            <w:pPr>
              <w:ind w:left="120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9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5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26" w:lineRule="exact"/>
        <w:rPr>
          <w:sz w:val="24"/>
          <w:szCs w:val="24"/>
          <w:color w:val="auto"/>
        </w:rPr>
      </w:pPr>
    </w:p>
    <w:p>
      <w:pPr>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6" w:lineRule="exact"/>
        <w:rPr>
          <w:sz w:val="24"/>
          <w:szCs w:val="24"/>
          <w:color w:val="auto"/>
        </w:rPr>
      </w:pPr>
    </w:p>
    <w:p>
      <w:pPr>
        <w:ind w:left="480"/>
        <w:spacing w:after="0" w:line="161" w:lineRule="exact"/>
        <w:tabs>
          <w:tab w:leader="none" w:pos="7140" w:val="left"/>
          <w:tab w:leader="none" w:pos="77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0" w:lineRule="exact"/>
        <w:rPr>
          <w:sz w:val="24"/>
          <w:szCs w:val="24"/>
          <w:color w:val="auto"/>
        </w:rPr>
      </w:pPr>
    </w:p>
    <w:p>
      <w:pPr>
        <w:ind w:left="480"/>
        <w:spacing w:after="0"/>
        <w:rPr>
          <w:sz w:val="20"/>
          <w:szCs w:val="20"/>
          <w:color w:val="auto"/>
        </w:rPr>
      </w:pPr>
      <w:r>
        <w:rPr>
          <w:rFonts w:ascii="Arial" w:cs="Arial" w:eastAsia="Arial" w:hAnsi="Arial"/>
          <w:sz w:val="14"/>
          <w:szCs w:val="14"/>
          <w:color w:val="auto"/>
        </w:rPr>
        <w:t>The number of shares of the registrant’s common stock, $0.001 par value per share, outstanding as of May 9, 2017 was 32,480,074.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655320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4"/>
          <w:szCs w:val="14"/>
          <w:b w:val="1"/>
          <w:bCs w:val="1"/>
          <w:color w:val="auto"/>
        </w:rPr>
        <w:t>PENNANTPARK FLOATING RATE CAPITAL LTD.</w:t>
      </w:r>
    </w:p>
    <w:p>
      <w:pPr>
        <w:jc w:val="center"/>
        <w:ind w:right="20"/>
        <w:spacing w:after="0" w:line="226" w:lineRule="auto"/>
        <w:rPr>
          <w:sz w:val="20"/>
          <w:szCs w:val="20"/>
          <w:color w:val="auto"/>
        </w:rPr>
      </w:pPr>
      <w:r>
        <w:rPr>
          <w:rFonts w:ascii="Arial" w:cs="Arial" w:eastAsia="Arial" w:hAnsi="Arial"/>
          <w:sz w:val="14"/>
          <w:szCs w:val="14"/>
          <w:b w:val="1"/>
          <w:bCs w:val="1"/>
          <w:color w:val="auto"/>
        </w:rPr>
        <w:t>FORM 10-Q FOR THE QUARTER ENDED MARCH 31, 2017</w:t>
      </w:r>
    </w:p>
    <w:p>
      <w:pPr>
        <w:jc w:val="center"/>
        <w:ind w:right="20"/>
        <w:spacing w:after="0"/>
        <w:rPr>
          <w:sz w:val="20"/>
          <w:szCs w:val="20"/>
          <w:color w:val="auto"/>
        </w:rPr>
      </w:pPr>
      <w:r>
        <w:rPr>
          <w:rFonts w:ascii="Arial" w:cs="Arial" w:eastAsia="Arial" w:hAnsi="Arial"/>
          <w:sz w:val="14"/>
          <w:szCs w:val="14"/>
          <w:b w:val="1"/>
          <w:bCs w:val="1"/>
          <w:color w:val="auto"/>
        </w:rPr>
        <w:t>TABLE OF CONTENTS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60" w:type="dxa"/>
            <w:vAlign w:val="bottom"/>
          </w:tcPr>
          <w:p>
            <w:pPr>
              <w:ind w:left="36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100" w:type="dxa"/>
            <w:vAlign w:val="bottom"/>
          </w:tcPr>
          <w:p>
            <w:pPr>
              <w:spacing w:after="0"/>
              <w:rPr>
                <w:sz w:val="16"/>
                <w:szCs w:val="16"/>
                <w:color w:val="auto"/>
              </w:rPr>
            </w:pPr>
          </w:p>
        </w:tc>
      </w:tr>
      <w:tr>
        <w:trPr>
          <w:trHeight w:val="297"/>
        </w:trPr>
        <w:tc>
          <w:tcPr>
            <w:tcW w:w="916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100" w:type="dxa"/>
            <w:vAlign w:val="bottom"/>
          </w:tcPr>
          <w:p>
            <w:pPr>
              <w:spacing w:after="0"/>
              <w:rPr>
                <w:sz w:val="24"/>
                <w:szCs w:val="24"/>
                <w:color w:val="auto"/>
              </w:rPr>
            </w:pP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March 31, 2017 (unaudited) and September 30, 2016</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six months ended March 31, 2017 and 2016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six months ended March 31, 2017 and 2016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six months ended March 31, 2017 and 2016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March 31, 2017 (unaudited) and September 30, 2016</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23">
              <w:r>
                <w:rPr>
                  <w:rFonts w:ascii="Arial" w:cs="Arial" w:eastAsia="Arial" w:hAnsi="Arial"/>
                  <w:sz w:val="14"/>
                  <w:szCs w:val="14"/>
                  <w:u w:val="single" w:color="auto"/>
                  <w:color w:val="0000EE"/>
                </w:rPr>
                <w:t>Report of Independent Registered Public Accounting Firm</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24">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1">
              <w:r>
                <w:rPr>
                  <w:rFonts w:ascii="Arial" w:cs="Arial" w:eastAsia="Arial" w:hAnsi="Arial"/>
                  <w:sz w:val="14"/>
                  <w:szCs w:val="14"/>
                  <w:b w:val="1"/>
                  <w:bCs w:val="1"/>
                  <w:u w:val="single" w:color="auto"/>
                  <w:color w:val="0000EE"/>
                </w:rPr>
                <w:t>Item 3. Quantitative And Qualitative Disclosures About Market Risk</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1">
              <w:r>
                <w:rPr>
                  <w:rFonts w:ascii="Arial" w:cs="Arial" w:eastAsia="Arial" w:hAnsi="Arial"/>
                  <w:sz w:val="14"/>
                  <w:szCs w:val="14"/>
                  <w:b w:val="1"/>
                  <w:bCs w:val="1"/>
                  <w:u w:val="single" w:color="auto"/>
                  <w:color w:val="0000EE"/>
                </w:rPr>
                <w:t>Item 4. Controls and Procedures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97"/>
        </w:trPr>
        <w:tc>
          <w:tcPr>
            <w:tcW w:w="9160" w:type="dxa"/>
            <w:vAlign w:val="bottom"/>
          </w:tcPr>
          <w:p>
            <w:pPr>
              <w:ind w:left="4320"/>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PART II. OTHER INFORMATION</w:t>
              </w:r>
            </w:hyperlink>
          </w:p>
        </w:tc>
        <w:tc>
          <w:tcPr>
            <w:tcW w:w="2100" w:type="dxa"/>
            <w:vAlign w:val="bottom"/>
          </w:tcPr>
          <w:p>
            <w:pPr>
              <w:spacing w:after="0"/>
              <w:rPr>
                <w:sz w:val="24"/>
                <w:szCs w:val="24"/>
                <w:color w:val="auto"/>
              </w:rPr>
            </w:pP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1. Legal Proceedings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1A. Risk Factors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2. Unregistered Sales of Equity Securities and Use of Proceeds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3. Defaults Upon Senior Securities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4. Mine Safety Disclosures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5. Other Information</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6. Exhibits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SIGNATURES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661"/>
        </w:trPr>
        <w:tc>
          <w:tcPr>
            <w:tcW w:w="9160" w:type="dxa"/>
            <w:vAlign w:val="bottom"/>
          </w:tcPr>
          <w:p>
            <w:pPr>
              <w:ind w:left="5580"/>
              <w:spacing w:after="0"/>
              <w:rPr>
                <w:sz w:val="20"/>
                <w:szCs w:val="20"/>
                <w:color w:val="auto"/>
              </w:rPr>
            </w:pPr>
            <w:r>
              <w:rPr>
                <w:rFonts w:ascii="Arial" w:cs="Arial" w:eastAsia="Arial" w:hAnsi="Arial"/>
                <w:sz w:val="14"/>
                <w:szCs w:val="14"/>
                <w:color w:val="auto"/>
              </w:rPr>
              <w:t>2</w:t>
            </w:r>
          </w:p>
        </w:tc>
        <w:tc>
          <w:tcPr>
            <w:tcW w:w="2100" w:type="dxa"/>
            <w:vAlign w:val="bottom"/>
          </w:tcPr>
          <w:p>
            <w:pPr>
              <w:spacing w:after="0"/>
              <w:rPr>
                <w:sz w:val="24"/>
                <w:szCs w:val="24"/>
                <w:color w:val="auto"/>
              </w:rPr>
            </w:pPr>
          </w:p>
        </w:tc>
      </w:tr>
      <w:tr>
        <w:trPr>
          <w:trHeight w:val="100"/>
        </w:trPr>
        <w:tc>
          <w:tcPr>
            <w:tcW w:w="916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75"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We are filing this Quarterly Report on Form 10-Q, or the Report, in compliance with Rule 13a-13 promulgated by the Securities and Exchange Commission, or the SEC. In this Report, except where the context suggests otherwise, the terms “Company,” “we,” “our” or “us” refer to PennantPark Floating Rate Capital Ltd. and its wholly-owned consolidated subsidiaries; “Funding I” refers to PennantPark Floating Rate Funding I, LLC; “Taxable Subsidiary” refers to PFLT Investment Holdings, LLC;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References to our portfolio, our investments, our multi-currency, senior secured revolving credit facility, as amended and restated, or the Credit Facility, and our business include investments we make through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46" w:right="41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Consolidated Financial Statements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2016</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CFF"/>
          </w:tcPr>
          <w:p>
            <w:pPr>
              <w:spacing w:after="0"/>
              <w:rPr>
                <w:sz w:val="13"/>
                <w:szCs w:val="13"/>
                <w:color w:val="auto"/>
              </w:rPr>
            </w:pPr>
          </w:p>
        </w:tc>
        <w:tc>
          <w:tcPr>
            <w:tcW w:w="136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(cost—$730,704,555 and $597,910,267, respectively)</w:t>
            </w: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731,482,714</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598,887,525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Cash and cash equivalents (cost—$43,966,306 and $28,903,359, respectively)</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43,974,053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28,910,973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3,216,920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2,480,406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Receivable for investments sold</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1,421,888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1,006,615</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1,141,191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781,102,190</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631,420,095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Distributions payable</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3,085,607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2,539,357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16,745,000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14,935,970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Credit Facility payable (cost—$299,909,500 and $232,907,500, respectively) (See Notes 5 and 9)</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300,420,904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232,389,498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payable on Credit Facility</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689,983</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531,926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Base management fee payable (See Note 3)</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1,731,418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1,458,625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Performance-based incentive fee payable (See Note 3)</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2,202,588</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3,454,914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Accrued other expenses</w:t>
            </w:r>
          </w:p>
        </w:tc>
        <w:tc>
          <w:tcPr>
            <w:tcW w:w="200" w:type="dxa"/>
            <w:vAlign w:val="bottom"/>
          </w:tcPr>
          <w:p>
            <w:pPr>
              <w:spacing w:after="0"/>
              <w:rPr>
                <w:sz w:val="14"/>
                <w:szCs w:val="1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202,977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13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324,875,500</w:t>
            </w: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4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255,513,267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color w:val="auto"/>
              </w:rPr>
              <w:t>Commitments and contingencies (See Note 10)</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Net assets</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tcPr>
          <w:p>
            <w:pPr>
              <w:spacing w:after="0" w:line="143" w:lineRule="exact"/>
              <w:rPr>
                <w:sz w:val="20"/>
                <w:szCs w:val="20"/>
                <w:color w:val="auto"/>
              </w:rPr>
            </w:pPr>
            <w:r>
              <w:rPr>
                <w:rFonts w:ascii="Arial" w:cs="Arial" w:eastAsia="Arial" w:hAnsi="Arial"/>
                <w:sz w:val="14"/>
                <w:szCs w:val="14"/>
                <w:color w:val="auto"/>
              </w:rPr>
              <w:t>Common stock, 32,480,074 and 26,730,074 shares issued and outstanding, respectively</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32,480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26,730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Paid-in capital in excess of par value</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451,705,066</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371,194,366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Undistributed net investment income</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3,081,419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4,559,646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Accumulated net realized gain (loss) on investments</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1,133,223</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(1,376,788)</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Net unrealized appreciation on investments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785,906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984,872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Net unrealized (appreciation) depreciation on Credit Facility</w:t>
            </w:r>
          </w:p>
        </w:tc>
        <w:tc>
          <w:tcPr>
            <w:tcW w:w="200" w:type="dxa"/>
            <w:vAlign w:val="bottom"/>
            <w:shd w:val="clear" w:color="auto" w:fill="CCECFF"/>
          </w:tcPr>
          <w:p>
            <w:pPr>
              <w:spacing w:after="0"/>
              <w:rPr>
                <w:sz w:val="14"/>
                <w:szCs w:val="14"/>
                <w:color w:val="auto"/>
              </w:rPr>
            </w:pPr>
          </w:p>
        </w:tc>
        <w:tc>
          <w:tcPr>
            <w:tcW w:w="164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(511,404)</w:t>
            </w: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518,002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net assets</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456,226,690</w:t>
            </w:r>
          </w:p>
        </w:tc>
        <w:tc>
          <w:tcPr>
            <w:tcW w:w="28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375,906,828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781,102,190</w:t>
            </w:r>
          </w:p>
        </w:tc>
        <w:tc>
          <w:tcPr>
            <w:tcW w:w="2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631,420,095</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14.05</w:t>
            </w:r>
          </w:p>
        </w:tc>
        <w:tc>
          <w:tcPr>
            <w:tcW w:w="2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Three Months Ended March 31,</w:t>
            </w:r>
          </w:p>
        </w:tc>
        <w:tc>
          <w:tcPr>
            <w:tcW w:w="220" w:type="dxa"/>
            <w:vAlign w:val="bottom"/>
          </w:tcPr>
          <w:p>
            <w:pPr>
              <w:spacing w:after="0"/>
              <w:rPr>
                <w:sz w:val="14"/>
                <w:szCs w:val="14"/>
                <w:color w:val="auto"/>
              </w:rPr>
            </w:pPr>
          </w:p>
        </w:tc>
        <w:tc>
          <w:tcPr>
            <w:tcW w:w="24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CFF"/>
            </w:tcBorders>
          </w:tcPr>
          <w:p>
            <w:pPr>
              <w:spacing w:after="0"/>
              <w:rPr>
                <w:sz w:val="13"/>
                <w:szCs w:val="13"/>
                <w:color w:val="auto"/>
              </w:rPr>
            </w:pPr>
          </w:p>
        </w:tc>
        <w:tc>
          <w:tcPr>
            <w:tcW w:w="2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12,917,094</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9,626,583</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24,868,929</w:t>
            </w:r>
          </w:p>
        </w:tc>
        <w:tc>
          <w:tcPr>
            <w:tcW w:w="240" w:type="dxa"/>
            <w:vAlign w:val="bottom"/>
            <w:shd w:val="clear" w:color="auto" w:fill="CCECFF"/>
          </w:tcPr>
          <w:p>
            <w:pPr>
              <w:spacing w:after="0"/>
              <w:rPr>
                <w:sz w:val="14"/>
                <w:szCs w:val="14"/>
                <w:color w:val="auto"/>
              </w:rPr>
            </w:pPr>
          </w:p>
        </w:tc>
        <w:tc>
          <w:tcPr>
            <w:tcW w:w="26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18,239,445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303,804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1,676,582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983,237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1,779,267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From controlled, affiliated investments:</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16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43,140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84,073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13,220,898</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11,346,305</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25,852,166</w:t>
            </w:r>
          </w:p>
        </w:tc>
        <w:tc>
          <w:tcPr>
            <w:tcW w:w="24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20,102,785</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Base management fee (See Note 3)</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1,731,417</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1,181,116</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3,327,144</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2,258,856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453,666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841,880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1,923,035</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838,944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the Credit Facility (See Note 9)</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1,998,347</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1,122,893</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3,799,072</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2,062,575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561,250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200,001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1,122,500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400,001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16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357,500</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735,698</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715,000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1,284,012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Expenses before provision for taxes and amendment costs</w:t>
            </w:r>
          </w:p>
        </w:tc>
        <w:tc>
          <w:tcPr>
            <w:tcW w:w="16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5,102,180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4,081,588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10,886,751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6,844,388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90,000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115,000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Credit Facility amendment costs (See Notes 5 and 9)</w:t>
            </w:r>
          </w:p>
        </w:tc>
        <w:tc>
          <w:tcPr>
            <w:tcW w:w="16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907,722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5,192,180</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4,081,588</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11,001,751</w:t>
            </w:r>
          </w:p>
        </w:tc>
        <w:tc>
          <w:tcPr>
            <w:tcW w:w="24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7,752,110</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8,028,718</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7,264,717</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14,850,415</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12,350,675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Credit Facility:</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realized gain (loss) on investments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1,960,610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1,068,288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2,510,011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(2,163,720)</w:t>
            </w: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depreciation on:</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6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(2,744,991)</w:t>
            </w: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(5,510,037)</w:t>
            </w:r>
          </w:p>
        </w:tc>
        <w:tc>
          <w:tcPr>
            <w:tcW w:w="2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(198,966)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(6,218,983)</w:t>
            </w: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Credit Facility depreciation (appreciation) (See Note 5 and 9)</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38,808</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(386,792)</w:t>
            </w:r>
          </w:p>
        </w:tc>
        <w:tc>
          <w:tcPr>
            <w:tcW w:w="22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(1,029,406)</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215,083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on investments and Credit Facility</w:t>
            </w: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(2,706,183)</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(5,896,829)</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(1,228,372)</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(6,003,900)</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(loss) gain from investments and Credit Facility</w:t>
            </w:r>
          </w:p>
        </w:tc>
        <w:tc>
          <w:tcPr>
            <w:tcW w:w="16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(745,573)</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(4,828,541)</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1,281,639</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(8,167,620)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7,283,145</w:t>
            </w:r>
          </w:p>
        </w:tc>
        <w:tc>
          <w:tcPr>
            <w:tcW w:w="24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2,436,176</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16,132,054</w:t>
            </w:r>
          </w:p>
        </w:tc>
        <w:tc>
          <w:tcPr>
            <w:tcW w:w="24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4,183,055</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84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6)</w:t>
            </w: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0.25</w:t>
            </w:r>
          </w:p>
        </w:tc>
        <w:tc>
          <w:tcPr>
            <w:tcW w:w="2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0.09</w:t>
            </w:r>
          </w:p>
        </w:tc>
        <w:tc>
          <w:tcPr>
            <w:tcW w:w="2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0.57</w:t>
            </w:r>
          </w:p>
        </w:tc>
        <w:tc>
          <w:tcPr>
            <w:tcW w:w="24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0.16</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40" w:type="dxa"/>
            <w:vAlign w:val="bottom"/>
            <w:vMerge w:val="continue"/>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0.27</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0.27</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0.53</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from operations: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14,850,415</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12,350,675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gain (loss) on investments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2,510,011</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(2,163,720)</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change in unrealized depreciation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(198,966)</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(6,218,983)</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(appreciation) depreciation on Credit Facility</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(1,029,406)</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215,083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16,132,054</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4,183,055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(16,328,642)</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(15,236,142)</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Capital transactions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Public offering (See Note 1)</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80,986,450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Offering costs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(470,000)</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80,516,450</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(decrease) in net assets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80,319,862</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(11,053,087)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375,906,828</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372,890,449</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456,226,690</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361,837,362</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Undistributed net investment income, end of period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3,081,419</w:t>
            </w:r>
          </w:p>
        </w:tc>
        <w:tc>
          <w:tcPr>
            <w:tcW w:w="280" w:type="dxa"/>
            <w:vAlign w:val="bottom"/>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4,106,006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16,132,054</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4,183,055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260"/>
              <w:spacing w:after="0" w:line="143" w:lineRule="exact"/>
              <w:rPr>
                <w:sz w:val="20"/>
                <w:szCs w:val="20"/>
                <w:color w:val="auto"/>
              </w:rPr>
            </w:pPr>
            <w:r>
              <w:rPr>
                <w:rFonts w:ascii="Arial" w:cs="Arial" w:eastAsia="Arial" w:hAnsi="Arial"/>
                <w:sz w:val="14"/>
                <w:szCs w:val="14"/>
                <w:color w:val="auto"/>
              </w:rPr>
              <w:t>Adjustments to reconcile net increase in net assets resulting from operations to net cash</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360"/>
              <w:spacing w:after="0"/>
              <w:rPr>
                <w:sz w:val="20"/>
                <w:szCs w:val="20"/>
                <w:color w:val="auto"/>
              </w:rPr>
            </w:pPr>
            <w:r>
              <w:rPr>
                <w:rFonts w:ascii="Arial" w:cs="Arial" w:eastAsia="Arial" w:hAnsi="Arial"/>
                <w:sz w:val="14"/>
                <w:szCs w:val="14"/>
                <w:color w:val="auto"/>
              </w:rPr>
              <w:t>used in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change in unrealized depreciation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198,966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6,218,983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appreciation (depreciation) on Credit Facility</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1,029,406</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(215,083)</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realized (gain) loss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(2,510,011)</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2,163,720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(914,309)</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(764,619)</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(271,128,128)</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(156,467,790)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Payment-in-kind interest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(199,470)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(35,508)</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141,939,924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56,804,571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interest receivable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(736,514)</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(229,543)</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in receivable for investments sold</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(1,421,888)</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 prepaid expenses and other assets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134,576</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339,328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(decrease) in payable for investments purchased</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1,809,030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(4,143,594)</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interest payable on Credit Facility</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158,057</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155,001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in base management fee payable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272,793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increase in performance-based incentive fee payable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(1,252,326)</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838,944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 accrued other expenses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(202,977)</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(539,347)</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used in operating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(116,690,817)</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(91,466,882)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Public offering</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80,986,450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Offering costs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(470,000)</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(15,782,392)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(15,236,142)</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Borrowings under Credit Facility (See Notes 5 and 9)</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196,502,000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121,907,500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Repayments under Credit Facility (See Notes 5 and 9)</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(129,500,000)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(23,300,000)</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131,736,058</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83,371,358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cash equivalents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15,045,241</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(8,095,524)</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17,839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112,739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28,910,973</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21,428,514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43,974,053</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13,445,729</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3,641,015</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1,907,574</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308,795</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709,685</w:t>
            </w:r>
          </w:p>
        </w:tc>
        <w:tc>
          <w:tcPr>
            <w:tcW w:w="280" w:type="dxa"/>
            <w:vAlign w:val="bottom"/>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4,547,934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302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jc w:val="center"/>
              <w:ind w:right="182"/>
              <w:spacing w:after="0"/>
              <w:rPr>
                <w:sz w:val="20"/>
                <w:szCs w:val="20"/>
                <w:color w:val="auto"/>
              </w:rPr>
            </w:pPr>
            <w:r>
              <w:rPr>
                <w:rFonts w:ascii="Arial" w:cs="Arial" w:eastAsia="Arial" w:hAnsi="Arial"/>
                <w:sz w:val="12"/>
                <w:szCs w:val="12"/>
                <w:b w:val="1"/>
                <w:bCs w:val="1"/>
                <w:color w:val="auto"/>
                <w:w w:val="98"/>
              </w:rPr>
              <w:t>Maturity</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Coupon</w:t>
            </w: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 xml:space="preserve">Index </w:t>
            </w:r>
            <w:r>
              <w:rPr>
                <w:rFonts w:ascii="Arial" w:cs="Arial" w:eastAsia="Arial" w:hAnsi="Arial"/>
                <w:sz w:val="9"/>
                <w:szCs w:val="9"/>
                <w:b w:val="1"/>
                <w:bCs w:val="1"/>
                <w:color w:val="auto"/>
              </w:rPr>
              <w:t>(1)</w:t>
            </w:r>
          </w:p>
        </w:tc>
        <w:tc>
          <w:tcPr>
            <w:tcW w:w="660" w:type="dxa"/>
            <w:vAlign w:val="bottom"/>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2"/>
                <w:szCs w:val="12"/>
                <w:color w:val="auto"/>
              </w:rPr>
            </w:pPr>
          </w:p>
        </w:tc>
        <w:tc>
          <w:tcPr>
            <w:tcW w:w="68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r>
      <w:tr>
        <w:trPr>
          <w:trHeight w:val="142"/>
        </w:trPr>
        <w:tc>
          <w:tcPr>
            <w:tcW w:w="42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0"/>
              </w:rPr>
              <w:t xml:space="preserve">Investments in Non-Controlled, Non-Affiliated Portfolio Companies—160.3% </w:t>
            </w:r>
            <w:r>
              <w:rPr>
                <w:rFonts w:ascii="Arial" w:cs="Arial" w:eastAsia="Arial" w:hAnsi="Arial"/>
                <w:sz w:val="9"/>
                <w:szCs w:val="9"/>
                <w:b w:val="1"/>
                <w:bCs w:val="1"/>
                <w:color w:val="auto"/>
                <w:w w:val="90"/>
              </w:rPr>
              <w:t>(3), (4)</w:t>
            </w:r>
          </w:p>
        </w:tc>
        <w:tc>
          <w:tcPr>
            <w:tcW w:w="2400" w:type="dxa"/>
            <w:vAlign w:val="bottom"/>
            <w:tcBorders>
              <w:top w:val="single" w:sz="8" w:color="auto"/>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b w:val="1"/>
                <w:bCs w:val="1"/>
                <w:color w:val="auto"/>
              </w:rPr>
              <w:t>First Lien Secured Debt—149.5%</w:t>
            </w:r>
          </w:p>
        </w:tc>
        <w:tc>
          <w:tcPr>
            <w:tcW w:w="11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Advanced Cable Communications, LLC</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08/09/2021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6.90%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12,437,500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12,216,950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12,375,313</w:t>
            </w:r>
          </w:p>
        </w:tc>
        <w:tc>
          <w:tcPr>
            <w:tcW w:w="12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(8), (9)</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08/09/2021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(20,000)</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Alera Group Holdings, Inc.</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8,674,633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8,593,570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8,674,633</w:t>
            </w:r>
          </w:p>
        </w:tc>
        <w:tc>
          <w:tcPr>
            <w:tcW w:w="12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Alera Group Holdings, Inc. (Revolver) </w:t>
            </w:r>
            <w:r>
              <w:rPr>
                <w:rFonts w:ascii="Arial" w:cs="Arial" w:eastAsia="Arial" w:hAnsi="Arial"/>
                <w:sz w:val="9"/>
                <w:szCs w:val="9"/>
                <w:color w:val="auto"/>
              </w:rPr>
              <w:t>(8), (9)</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1,771,962</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Alera Group Holdings, Inc. </w:t>
            </w:r>
            <w:r>
              <w:rPr>
                <w:rFonts w:ascii="Arial" w:cs="Arial" w:eastAsia="Arial" w:hAnsi="Arial"/>
                <w:sz w:val="9"/>
                <w:szCs w:val="9"/>
                <w:color w:val="auto"/>
              </w:rPr>
              <w:t>(8), (9)</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3,510,000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(6), (10)</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04/04/2022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6.00%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L+500</w:t>
            </w:r>
          </w:p>
        </w:tc>
        <w:tc>
          <w:tcPr>
            <w:tcW w:w="660" w:type="dxa"/>
            <w:vAlign w:val="bottom"/>
          </w:tcPr>
          <w:p>
            <w:pPr>
              <w:jc w:val="right"/>
              <w:spacing w:after="0"/>
              <w:rPr>
                <w:sz w:val="20"/>
                <w:szCs w:val="20"/>
                <w:color w:val="auto"/>
              </w:rPr>
            </w:pPr>
            <w:r>
              <w:rPr>
                <w:rFonts w:ascii="Arial" w:cs="Arial" w:eastAsia="Arial" w:hAnsi="Arial"/>
                <w:sz w:val="12"/>
                <w:szCs w:val="12"/>
                <w:color w:val="auto"/>
              </w:rPr>
              <w:t>3,837,808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3,821,843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3,805,839</w:t>
            </w:r>
          </w:p>
        </w:tc>
        <w:tc>
          <w:tcPr>
            <w:tcW w:w="12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American Auto Auction Group, LLC</w:t>
            </w:r>
          </w:p>
        </w:tc>
        <w:tc>
          <w:tcPr>
            <w:tcW w:w="118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6"/>
              </w:rPr>
              <w:t>11/30/2021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Transportation: Consumer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10,845,697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10,835,000</w:t>
            </w:r>
          </w:p>
        </w:tc>
        <w:tc>
          <w:tcPr>
            <w:tcW w:w="120" w:type="dxa"/>
            <w:vAlign w:val="bottom"/>
            <w:shd w:val="clear" w:color="auto" w:fill="CCECFF"/>
          </w:tcPr>
          <w:p>
            <w:pPr>
              <w:spacing w:after="0"/>
              <w:rPr>
                <w:sz w:val="12"/>
                <w:szCs w:val="12"/>
                <w:color w:val="auto"/>
              </w:rPr>
            </w:pP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(8)</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12/31/2021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92"/>
              </w:rPr>
              <w:t>Metals and Mining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15.00%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128,248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124,337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128,248</w:t>
            </w:r>
          </w:p>
        </w:tc>
        <w:tc>
          <w:tcPr>
            <w:tcW w:w="120" w:type="dxa"/>
            <w:vAlign w:val="bottom"/>
          </w:tcPr>
          <w:p>
            <w:pPr>
              <w:spacing w:after="0"/>
              <w:rPr>
                <w:sz w:val="13"/>
                <w:szCs w:val="13"/>
                <w:color w:val="auto"/>
              </w:rPr>
            </w:pPr>
          </w:p>
        </w:tc>
      </w:tr>
      <w:tr>
        <w:trPr>
          <w:trHeight w:val="141"/>
        </w:trPr>
        <w:tc>
          <w:tcPr>
            <w:tcW w:w="3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5.00%)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American Scaffold</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03/31/2022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7.65%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4,875,000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4,809,647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4,826,250</w:t>
            </w:r>
          </w:p>
        </w:tc>
        <w:tc>
          <w:tcPr>
            <w:tcW w:w="12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American Teleconferencing Services, Ltd.</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12/08/2021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7.50%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L+650</w:t>
            </w:r>
          </w:p>
        </w:tc>
        <w:tc>
          <w:tcPr>
            <w:tcW w:w="660" w:type="dxa"/>
            <w:vAlign w:val="bottom"/>
          </w:tcPr>
          <w:p>
            <w:pPr>
              <w:jc w:val="right"/>
              <w:spacing w:after="0"/>
              <w:rPr>
                <w:sz w:val="20"/>
                <w:szCs w:val="20"/>
                <w:color w:val="auto"/>
              </w:rPr>
            </w:pPr>
            <w:r>
              <w:rPr>
                <w:rFonts w:ascii="Arial" w:cs="Arial" w:eastAsia="Arial" w:hAnsi="Arial"/>
                <w:sz w:val="12"/>
                <w:szCs w:val="12"/>
                <w:color w:val="auto"/>
              </w:rPr>
              <w:t>6,817,401</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6,617,941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6,780,451</w:t>
            </w:r>
          </w:p>
        </w:tc>
        <w:tc>
          <w:tcPr>
            <w:tcW w:w="12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AMF Bowling Centers, Inc.</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09/19/2023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14,786,233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14,999,625</w:t>
            </w:r>
          </w:p>
        </w:tc>
        <w:tc>
          <w:tcPr>
            <w:tcW w:w="12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Anesthesia Consulting &amp; Management, LP</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6.04%</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L+500</w:t>
            </w:r>
          </w:p>
        </w:tc>
        <w:tc>
          <w:tcPr>
            <w:tcW w:w="660" w:type="dxa"/>
            <w:vAlign w:val="bottom"/>
          </w:tcPr>
          <w:p>
            <w:pPr>
              <w:jc w:val="right"/>
              <w:spacing w:after="0"/>
              <w:rPr>
                <w:sz w:val="20"/>
                <w:szCs w:val="20"/>
                <w:color w:val="auto"/>
              </w:rPr>
            </w:pPr>
            <w:r>
              <w:rPr>
                <w:rFonts w:ascii="Arial" w:cs="Arial" w:eastAsia="Arial" w:hAnsi="Arial"/>
                <w:sz w:val="12"/>
                <w:szCs w:val="12"/>
                <w:color w:val="auto"/>
              </w:rPr>
              <w:t>3,990,000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3,952,062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3,999,975</w:t>
            </w:r>
          </w:p>
        </w:tc>
        <w:tc>
          <w:tcPr>
            <w:tcW w:w="12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Anesthesia Consulting &amp; Management, LP </w:t>
            </w:r>
            <w:r>
              <w:rPr>
                <w:rFonts w:ascii="Arial" w:cs="Arial" w:eastAsia="Arial" w:hAnsi="Arial"/>
                <w:sz w:val="9"/>
                <w:szCs w:val="9"/>
                <w:color w:val="auto"/>
              </w:rPr>
              <w:t>(8), (9)</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2,500</w:t>
            </w:r>
          </w:p>
        </w:tc>
        <w:tc>
          <w:tcPr>
            <w:tcW w:w="12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API Technologies Corp.</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04/22/2022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7.65%</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L+650</w:t>
            </w:r>
          </w:p>
        </w:tc>
        <w:tc>
          <w:tcPr>
            <w:tcW w:w="660" w:type="dxa"/>
            <w:vAlign w:val="bottom"/>
          </w:tcPr>
          <w:p>
            <w:pPr>
              <w:jc w:val="right"/>
              <w:spacing w:after="0"/>
              <w:rPr>
                <w:sz w:val="20"/>
                <w:szCs w:val="20"/>
                <w:color w:val="auto"/>
              </w:rPr>
            </w:pPr>
            <w:r>
              <w:rPr>
                <w:rFonts w:ascii="Arial" w:cs="Arial" w:eastAsia="Arial" w:hAnsi="Arial"/>
                <w:sz w:val="12"/>
                <w:szCs w:val="12"/>
                <w:color w:val="auto"/>
              </w:rPr>
              <w:t>9,925,000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9,752,707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9,776,125</w:t>
            </w:r>
          </w:p>
        </w:tc>
        <w:tc>
          <w:tcPr>
            <w:tcW w:w="12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A</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06/03/2021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2,410,000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2,371,830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2,410,000</w:t>
            </w:r>
          </w:p>
        </w:tc>
        <w:tc>
          <w:tcPr>
            <w:tcW w:w="12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Broder Bros., Co., Tranche B</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06/03/2021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13.50%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L+1,225</w:t>
            </w:r>
          </w:p>
        </w:tc>
        <w:tc>
          <w:tcPr>
            <w:tcW w:w="660" w:type="dxa"/>
            <w:vAlign w:val="bottom"/>
          </w:tcPr>
          <w:p>
            <w:pPr>
              <w:jc w:val="right"/>
              <w:spacing w:after="0"/>
              <w:rPr>
                <w:sz w:val="20"/>
                <w:szCs w:val="20"/>
                <w:color w:val="auto"/>
              </w:rPr>
            </w:pPr>
            <w:r>
              <w:rPr>
                <w:rFonts w:ascii="Arial" w:cs="Arial" w:eastAsia="Arial" w:hAnsi="Arial"/>
                <w:sz w:val="12"/>
                <w:szCs w:val="12"/>
                <w:color w:val="auto"/>
              </w:rPr>
              <w:t>2,440,000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2,399,960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2,440,000</w:t>
            </w:r>
          </w:p>
        </w:tc>
        <w:tc>
          <w:tcPr>
            <w:tcW w:w="12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Camin Cargo Control, Inc.</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06/30/2021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Transportation: Cargo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5.90%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L+475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2,456,250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2,437,814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2,358,000</w:t>
            </w:r>
          </w:p>
        </w:tc>
        <w:tc>
          <w:tcPr>
            <w:tcW w:w="120" w:type="dxa"/>
            <w:vAlign w:val="bottom"/>
            <w:shd w:val="clear" w:color="auto" w:fill="CCECFF"/>
          </w:tcPr>
          <w:p>
            <w:pPr>
              <w:spacing w:after="0"/>
              <w:rPr>
                <w:sz w:val="12"/>
                <w:szCs w:val="12"/>
                <w:color w:val="auto"/>
              </w:rPr>
            </w:pP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Canyon Valor Companies, Inc.</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06/16/2023</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Media: Broadcasting and Subscription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7.15%</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60" w:type="dxa"/>
            <w:vAlign w:val="bottom"/>
          </w:tcPr>
          <w:p>
            <w:pPr>
              <w:jc w:val="right"/>
              <w:spacing w:after="0"/>
              <w:rPr>
                <w:sz w:val="20"/>
                <w:szCs w:val="20"/>
                <w:color w:val="auto"/>
              </w:rPr>
            </w:pPr>
            <w:r>
              <w:rPr>
                <w:rFonts w:ascii="Arial" w:cs="Arial" w:eastAsia="Arial" w:hAnsi="Arial"/>
                <w:sz w:val="12"/>
                <w:szCs w:val="12"/>
                <w:color w:val="auto"/>
              </w:rPr>
              <w:t>7,443,753</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7,173,228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7,474,346</w:t>
            </w:r>
          </w:p>
        </w:tc>
        <w:tc>
          <w:tcPr>
            <w:tcW w:w="120" w:type="dxa"/>
            <w:vAlign w:val="bottom"/>
          </w:tcPr>
          <w:p>
            <w:pPr>
              <w:spacing w:after="0"/>
              <w:rPr>
                <w:sz w:val="13"/>
                <w:szCs w:val="13"/>
                <w:color w:val="auto"/>
              </w:rPr>
            </w:pPr>
          </w:p>
        </w:tc>
      </w:tr>
      <w:tr>
        <w:trPr>
          <w:trHeight w:val="141"/>
        </w:trPr>
        <w:tc>
          <w:tcPr>
            <w:tcW w:w="3020" w:type="dxa"/>
            <w:vAlign w:val="bottom"/>
          </w:tcPr>
          <w:p>
            <w:pPr>
              <w:ind w:left="100"/>
              <w:spacing w:after="0"/>
              <w:rPr>
                <w:sz w:val="20"/>
                <w:szCs w:val="20"/>
                <w:color w:val="auto"/>
              </w:rPr>
            </w:pPr>
            <w:r>
              <w:rPr>
                <w:rFonts w:ascii="Arial" w:cs="Arial" w:eastAsia="Arial" w:hAnsi="Arial"/>
                <w:sz w:val="12"/>
                <w:szCs w:val="12"/>
                <w:color w:val="auto"/>
              </w:rPr>
              <w:t>(f/k/a GTCR Valor Companies, Inc.)</w:t>
            </w:r>
          </w:p>
        </w:tc>
        <w:tc>
          <w:tcPr>
            <w:tcW w:w="11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18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6"/>
              </w:rPr>
              <w:t>11/29/2023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6.90%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7,481,250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7,408,478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7,425,141</w:t>
            </w:r>
          </w:p>
        </w:tc>
        <w:tc>
          <w:tcPr>
            <w:tcW w:w="12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07/02/2020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8.25%</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L+700</w:t>
            </w:r>
          </w:p>
        </w:tc>
        <w:tc>
          <w:tcPr>
            <w:tcW w:w="660" w:type="dxa"/>
            <w:vAlign w:val="bottom"/>
          </w:tcPr>
          <w:p>
            <w:pPr>
              <w:jc w:val="right"/>
              <w:spacing w:after="0"/>
              <w:rPr>
                <w:sz w:val="20"/>
                <w:szCs w:val="20"/>
                <w:color w:val="auto"/>
              </w:rPr>
            </w:pPr>
            <w:r>
              <w:rPr>
                <w:rFonts w:ascii="Arial" w:cs="Arial" w:eastAsia="Arial" w:hAnsi="Arial"/>
                <w:sz w:val="12"/>
                <w:szCs w:val="12"/>
                <w:color w:val="auto"/>
              </w:rPr>
              <w:t>4,937,500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4,911,706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4,937,500</w:t>
            </w:r>
          </w:p>
        </w:tc>
        <w:tc>
          <w:tcPr>
            <w:tcW w:w="12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CD&amp;R TZ Purchaser, Inc.</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07/21/2023</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7.15%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12,437,500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12,137,722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12,437,500</w:t>
            </w:r>
          </w:p>
        </w:tc>
        <w:tc>
          <w:tcPr>
            <w:tcW w:w="12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Charming Charlie LLC</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12/24/2019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9.16%</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L+800</w:t>
            </w:r>
          </w:p>
        </w:tc>
        <w:tc>
          <w:tcPr>
            <w:tcW w:w="660" w:type="dxa"/>
            <w:vAlign w:val="bottom"/>
          </w:tcPr>
          <w:p>
            <w:pPr>
              <w:jc w:val="right"/>
              <w:spacing w:after="0"/>
              <w:rPr>
                <w:sz w:val="20"/>
                <w:szCs w:val="20"/>
                <w:color w:val="auto"/>
              </w:rPr>
            </w:pPr>
            <w:r>
              <w:rPr>
                <w:rFonts w:ascii="Arial" w:cs="Arial" w:eastAsia="Arial" w:hAnsi="Arial"/>
                <w:sz w:val="12"/>
                <w:szCs w:val="12"/>
                <w:color w:val="auto"/>
              </w:rPr>
              <w:t>3,948,750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3,915,776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3,435,413</w:t>
            </w:r>
          </w:p>
        </w:tc>
        <w:tc>
          <w:tcPr>
            <w:tcW w:w="12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Chicken Soup for the Soul Publishing, LLC</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01/08/2019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4,685,714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4,664,065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4,521,714</w:t>
            </w:r>
          </w:p>
        </w:tc>
        <w:tc>
          <w:tcPr>
            <w:tcW w:w="12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Clarus Glassboards LLC</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03/16/2023</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6.25%</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L+525</w:t>
            </w:r>
          </w:p>
        </w:tc>
        <w:tc>
          <w:tcPr>
            <w:tcW w:w="660" w:type="dxa"/>
            <w:vAlign w:val="bottom"/>
          </w:tcPr>
          <w:p>
            <w:pPr>
              <w:jc w:val="right"/>
              <w:spacing w:after="0"/>
              <w:rPr>
                <w:sz w:val="20"/>
                <w:szCs w:val="20"/>
                <w:color w:val="auto"/>
              </w:rPr>
            </w:pPr>
            <w:r>
              <w:rPr>
                <w:rFonts w:ascii="Arial" w:cs="Arial" w:eastAsia="Arial" w:hAnsi="Arial"/>
                <w:sz w:val="12"/>
                <w:szCs w:val="12"/>
                <w:color w:val="auto"/>
              </w:rPr>
              <w:t>6,000,000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5,940,312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5,940,000</w:t>
            </w:r>
          </w:p>
        </w:tc>
        <w:tc>
          <w:tcPr>
            <w:tcW w:w="12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Corfin Industries LLC</w:t>
            </w:r>
          </w:p>
        </w:tc>
        <w:tc>
          <w:tcPr>
            <w:tcW w:w="118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L+975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6,241,000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6,143,440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6,178,590</w:t>
            </w:r>
          </w:p>
        </w:tc>
        <w:tc>
          <w:tcPr>
            <w:tcW w:w="12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 (9)</w:t>
            </w:r>
          </w:p>
        </w:tc>
        <w:tc>
          <w:tcPr>
            <w:tcW w:w="1180" w:type="dxa"/>
            <w:vAlign w:val="bottom"/>
          </w:tcPr>
          <w:p>
            <w:pPr>
              <w:jc w:val="center"/>
              <w:ind w:right="20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518,033</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03/31/2023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16,745,000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16,745,000</w:t>
            </w:r>
          </w:p>
        </w:tc>
        <w:tc>
          <w:tcPr>
            <w:tcW w:w="12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DBI Holding LLC</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08/02/2021</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6.25%</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L+525</w:t>
            </w:r>
          </w:p>
        </w:tc>
        <w:tc>
          <w:tcPr>
            <w:tcW w:w="660" w:type="dxa"/>
            <w:vAlign w:val="bottom"/>
          </w:tcPr>
          <w:p>
            <w:pPr>
              <w:jc w:val="right"/>
              <w:spacing w:after="0"/>
              <w:rPr>
                <w:sz w:val="20"/>
                <w:szCs w:val="20"/>
                <w:color w:val="auto"/>
              </w:rPr>
            </w:pPr>
            <w:r>
              <w:rPr>
                <w:rFonts w:ascii="Arial" w:cs="Arial" w:eastAsia="Arial" w:hAnsi="Arial"/>
                <w:sz w:val="12"/>
                <w:szCs w:val="12"/>
                <w:color w:val="auto"/>
              </w:rPr>
              <w:t>9,950,025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9,858,590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9,950,025</w:t>
            </w:r>
          </w:p>
        </w:tc>
        <w:tc>
          <w:tcPr>
            <w:tcW w:w="12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DCS Business Services, Inc.</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03/19/2018</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L+725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1,963,397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1,955,120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1,963,396</w:t>
            </w:r>
          </w:p>
        </w:tc>
        <w:tc>
          <w:tcPr>
            <w:tcW w:w="12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Digital Room LLC</w:t>
            </w:r>
          </w:p>
        </w:tc>
        <w:tc>
          <w:tcPr>
            <w:tcW w:w="1180" w:type="dxa"/>
            <w:vAlign w:val="bottom"/>
          </w:tcPr>
          <w:p>
            <w:pPr>
              <w:jc w:val="center"/>
              <w:ind w:right="202"/>
              <w:spacing w:after="0"/>
              <w:rPr>
                <w:sz w:val="20"/>
                <w:szCs w:val="20"/>
                <w:color w:val="auto"/>
              </w:rPr>
            </w:pPr>
            <w:r>
              <w:rPr>
                <w:rFonts w:ascii="Arial" w:cs="Arial" w:eastAsia="Arial" w:hAnsi="Arial"/>
                <w:sz w:val="12"/>
                <w:szCs w:val="12"/>
                <w:color w:val="auto"/>
                <w:w w:val="86"/>
              </w:rPr>
              <w:t>11/21/2022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7.00%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60" w:type="dxa"/>
            <w:vAlign w:val="bottom"/>
          </w:tcPr>
          <w:p>
            <w:pPr>
              <w:jc w:val="right"/>
              <w:spacing w:after="0"/>
              <w:rPr>
                <w:sz w:val="20"/>
                <w:szCs w:val="20"/>
                <w:color w:val="auto"/>
              </w:rPr>
            </w:pPr>
            <w:r>
              <w:rPr>
                <w:rFonts w:ascii="Arial" w:cs="Arial" w:eastAsia="Arial" w:hAnsi="Arial"/>
                <w:sz w:val="12"/>
                <w:szCs w:val="12"/>
                <w:color w:val="auto"/>
              </w:rPr>
              <w:t>6,912,500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6,780,434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6,774,250</w:t>
            </w:r>
          </w:p>
        </w:tc>
        <w:tc>
          <w:tcPr>
            <w:tcW w:w="12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DISA Global Solutions, Inc.</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12/09/2020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L+450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4,868,172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4,851,000</w:t>
            </w:r>
          </w:p>
        </w:tc>
        <w:tc>
          <w:tcPr>
            <w:tcW w:w="12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06/30/2020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5.90%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L+475</w:t>
            </w:r>
          </w:p>
        </w:tc>
        <w:tc>
          <w:tcPr>
            <w:tcW w:w="660" w:type="dxa"/>
            <w:vAlign w:val="bottom"/>
          </w:tcPr>
          <w:p>
            <w:pPr>
              <w:jc w:val="right"/>
              <w:spacing w:after="0"/>
              <w:rPr>
                <w:sz w:val="20"/>
                <w:szCs w:val="20"/>
                <w:color w:val="auto"/>
              </w:rPr>
            </w:pPr>
            <w:r>
              <w:rPr>
                <w:rFonts w:ascii="Arial" w:cs="Arial" w:eastAsia="Arial" w:hAnsi="Arial"/>
                <w:sz w:val="12"/>
                <w:szCs w:val="12"/>
                <w:color w:val="auto"/>
              </w:rPr>
              <w:t>4,562,500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4,538,968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4,562,500</w:t>
            </w:r>
          </w:p>
        </w:tc>
        <w:tc>
          <w:tcPr>
            <w:tcW w:w="12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09/10/2020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5.75%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L+475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8,325,000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8,293,411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8,325,000</w:t>
            </w:r>
          </w:p>
        </w:tc>
        <w:tc>
          <w:tcPr>
            <w:tcW w:w="12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(9)</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09/10/2020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East Valley Tourist Development Authority</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9.18%</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14,775,877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14,700,000</w:t>
            </w:r>
          </w:p>
        </w:tc>
        <w:tc>
          <w:tcPr>
            <w:tcW w:w="12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Education Networks of America, Inc.</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8.15%</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L+700</w:t>
            </w:r>
          </w:p>
        </w:tc>
        <w:tc>
          <w:tcPr>
            <w:tcW w:w="660" w:type="dxa"/>
            <w:vAlign w:val="bottom"/>
          </w:tcPr>
          <w:p>
            <w:pPr>
              <w:jc w:val="right"/>
              <w:spacing w:after="0"/>
              <w:rPr>
                <w:sz w:val="20"/>
                <w:szCs w:val="20"/>
                <w:color w:val="auto"/>
              </w:rPr>
            </w:pPr>
            <w:r>
              <w:rPr>
                <w:rFonts w:ascii="Arial" w:cs="Arial" w:eastAsia="Arial" w:hAnsi="Arial"/>
                <w:sz w:val="12"/>
                <w:szCs w:val="12"/>
                <w:color w:val="auto"/>
              </w:rPr>
              <w:t>8,358,696</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8,321,862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8,358,696</w:t>
            </w:r>
          </w:p>
        </w:tc>
        <w:tc>
          <w:tcPr>
            <w:tcW w:w="12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(8), (9)</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1,304,348</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06/15/2022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7.90%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L+675</w:t>
            </w:r>
          </w:p>
        </w:tc>
        <w:tc>
          <w:tcPr>
            <w:tcW w:w="660" w:type="dxa"/>
            <w:vAlign w:val="bottom"/>
          </w:tcPr>
          <w:p>
            <w:pPr>
              <w:jc w:val="right"/>
              <w:spacing w:after="0"/>
              <w:rPr>
                <w:sz w:val="20"/>
                <w:szCs w:val="20"/>
                <w:color w:val="auto"/>
              </w:rPr>
            </w:pPr>
            <w:r>
              <w:rPr>
                <w:rFonts w:ascii="Arial" w:cs="Arial" w:eastAsia="Arial" w:hAnsi="Arial"/>
                <w:sz w:val="12"/>
                <w:szCs w:val="12"/>
                <w:color w:val="auto"/>
              </w:rPr>
              <w:t>10,548,335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10,453,795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10,548,335</w:t>
            </w:r>
          </w:p>
        </w:tc>
        <w:tc>
          <w:tcPr>
            <w:tcW w:w="12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FHC Health Systems, Inc.</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12/23/2021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5.00%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L+400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2,910,152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2,888,123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2,728,268</w:t>
            </w:r>
          </w:p>
        </w:tc>
        <w:tc>
          <w:tcPr>
            <w:tcW w:w="12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10/21/2020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9.00%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L+800</w:t>
            </w:r>
          </w:p>
        </w:tc>
        <w:tc>
          <w:tcPr>
            <w:tcW w:w="660" w:type="dxa"/>
            <w:vAlign w:val="bottom"/>
          </w:tcPr>
          <w:p>
            <w:pPr>
              <w:jc w:val="right"/>
              <w:spacing w:after="0"/>
              <w:rPr>
                <w:sz w:val="20"/>
                <w:szCs w:val="20"/>
                <w:color w:val="auto"/>
              </w:rPr>
            </w:pPr>
            <w:r>
              <w:rPr>
                <w:rFonts w:ascii="Arial" w:cs="Arial" w:eastAsia="Arial" w:hAnsi="Arial"/>
                <w:sz w:val="12"/>
                <w:szCs w:val="12"/>
                <w:color w:val="auto"/>
              </w:rPr>
              <w:t>1,165,886</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1,154,479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1,154,227</w:t>
            </w:r>
          </w:p>
        </w:tc>
        <w:tc>
          <w:tcPr>
            <w:tcW w:w="12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Hostway Corporation</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12/13/2019</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2,551,012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2,538,458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2,244,604</w:t>
            </w:r>
          </w:p>
        </w:tc>
        <w:tc>
          <w:tcPr>
            <w:tcW w:w="12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08/05/2019</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7.01%</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60" w:type="dxa"/>
            <w:vAlign w:val="bottom"/>
          </w:tcPr>
          <w:p>
            <w:pPr>
              <w:jc w:val="right"/>
              <w:spacing w:after="0"/>
              <w:rPr>
                <w:sz w:val="20"/>
                <w:szCs w:val="20"/>
                <w:color w:val="auto"/>
              </w:rPr>
            </w:pPr>
            <w:r>
              <w:rPr>
                <w:rFonts w:ascii="Arial" w:cs="Arial" w:eastAsia="Arial" w:hAnsi="Arial"/>
                <w:sz w:val="12"/>
                <w:szCs w:val="12"/>
                <w:color w:val="auto"/>
              </w:rPr>
              <w:t>5,993,750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5,967,542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5,394,375</w:t>
            </w:r>
          </w:p>
        </w:tc>
        <w:tc>
          <w:tcPr>
            <w:tcW w:w="12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(10)</w:t>
            </w:r>
          </w:p>
        </w:tc>
        <w:tc>
          <w:tcPr>
            <w:tcW w:w="118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6"/>
              </w:rPr>
              <w:t>11/04/2020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7.28%</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6,190,820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6,110,093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6,067,004</w:t>
            </w:r>
          </w:p>
        </w:tc>
        <w:tc>
          <w:tcPr>
            <w:tcW w:w="12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Idera, Inc.</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04/09/2021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6.50%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L+550</w:t>
            </w:r>
          </w:p>
        </w:tc>
        <w:tc>
          <w:tcPr>
            <w:tcW w:w="660" w:type="dxa"/>
            <w:vAlign w:val="bottom"/>
          </w:tcPr>
          <w:p>
            <w:pPr>
              <w:jc w:val="right"/>
              <w:spacing w:after="0"/>
              <w:rPr>
                <w:sz w:val="20"/>
                <w:szCs w:val="20"/>
                <w:color w:val="auto"/>
              </w:rPr>
            </w:pPr>
            <w:r>
              <w:rPr>
                <w:rFonts w:ascii="Arial" w:cs="Arial" w:eastAsia="Arial" w:hAnsi="Arial"/>
                <w:sz w:val="12"/>
                <w:szCs w:val="12"/>
                <w:color w:val="auto"/>
              </w:rPr>
              <w:t>7,902,489</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7,316,024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7,902,489</w:t>
            </w:r>
          </w:p>
        </w:tc>
        <w:tc>
          <w:tcPr>
            <w:tcW w:w="12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(10)</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05/01/2019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7,966,987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7,922,798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7,887,317</w:t>
            </w:r>
          </w:p>
        </w:tc>
        <w:tc>
          <w:tcPr>
            <w:tcW w:w="12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(6), (10), (11)</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10/12/2021</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8.00%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E+000</w:t>
            </w:r>
          </w:p>
        </w:tc>
        <w:tc>
          <w:tcPr>
            <w:tcW w:w="660" w:type="dxa"/>
            <w:vAlign w:val="bottom"/>
          </w:tcPr>
          <w:p>
            <w:pPr>
              <w:jc w:val="right"/>
              <w:spacing w:after="0"/>
              <w:rPr>
                <w:sz w:val="20"/>
                <w:szCs w:val="20"/>
                <w:color w:val="auto"/>
              </w:rPr>
            </w:pPr>
            <w:r>
              <w:rPr>
                <w:rFonts w:ascii="Arial" w:cs="Arial" w:eastAsia="Arial" w:hAnsi="Arial"/>
                <w:sz w:val="12"/>
                <w:szCs w:val="12"/>
                <w:color w:val="auto"/>
                <w:w w:val="87"/>
              </w:rPr>
              <w:t>€  17,281,934</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17,962,842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18,483,944</w:t>
            </w:r>
          </w:p>
        </w:tc>
        <w:tc>
          <w:tcPr>
            <w:tcW w:w="12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Imagine! Print Solutions, LLC</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03/30/2022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7.15%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5,944,962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5,889,938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5,989,550</w:t>
            </w:r>
          </w:p>
        </w:tc>
        <w:tc>
          <w:tcPr>
            <w:tcW w:w="12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Impact Sales, LLC</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8.15%</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L+700</w:t>
            </w:r>
          </w:p>
        </w:tc>
        <w:tc>
          <w:tcPr>
            <w:tcW w:w="660" w:type="dxa"/>
            <w:vAlign w:val="bottom"/>
          </w:tcPr>
          <w:p>
            <w:pPr>
              <w:jc w:val="right"/>
              <w:spacing w:after="0"/>
              <w:rPr>
                <w:sz w:val="20"/>
                <w:szCs w:val="20"/>
                <w:color w:val="auto"/>
              </w:rPr>
            </w:pPr>
            <w:r>
              <w:rPr>
                <w:rFonts w:ascii="Arial" w:cs="Arial" w:eastAsia="Arial" w:hAnsi="Arial"/>
                <w:sz w:val="12"/>
                <w:szCs w:val="12"/>
                <w:color w:val="auto"/>
              </w:rPr>
              <w:t>11,737,500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11,737,500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11,678,813</w:t>
            </w:r>
          </w:p>
        </w:tc>
        <w:tc>
          <w:tcPr>
            <w:tcW w:w="12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Impact Sales, LLC </w:t>
            </w:r>
            <w:r>
              <w:rPr>
                <w:rFonts w:ascii="Arial" w:cs="Arial" w:eastAsia="Arial" w:hAnsi="Arial"/>
                <w:sz w:val="9"/>
                <w:szCs w:val="9"/>
                <w:color w:val="auto"/>
              </w:rPr>
              <w:t>(8), (9)</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3,234,375</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(16,172)</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(6), (10)</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7.90%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L+675</w:t>
            </w:r>
          </w:p>
        </w:tc>
        <w:tc>
          <w:tcPr>
            <w:tcW w:w="660" w:type="dxa"/>
            <w:vAlign w:val="bottom"/>
          </w:tcPr>
          <w:p>
            <w:pPr>
              <w:jc w:val="right"/>
              <w:spacing w:after="0"/>
              <w:rPr>
                <w:sz w:val="20"/>
                <w:szCs w:val="20"/>
                <w:color w:val="auto"/>
              </w:rPr>
            </w:pPr>
            <w:r>
              <w:rPr>
                <w:rFonts w:ascii="Arial" w:cs="Arial" w:eastAsia="Arial" w:hAnsi="Arial"/>
                <w:sz w:val="12"/>
                <w:szCs w:val="12"/>
                <w:color w:val="auto"/>
              </w:rPr>
              <w:t>3,390,618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3,340,899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3,390,618</w:t>
            </w:r>
          </w:p>
        </w:tc>
        <w:tc>
          <w:tcPr>
            <w:tcW w:w="12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(6), (8), (10)</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53,097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53,097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53,097</w:t>
            </w:r>
          </w:p>
        </w:tc>
        <w:tc>
          <w:tcPr>
            <w:tcW w:w="12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(6), (8), (9), (10)</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477,876</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Instant Web, LLC, Term Loan A</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03/28/2019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5.65%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L+450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7,631,729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7,454,996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7,631,729</w:t>
            </w:r>
          </w:p>
        </w:tc>
        <w:tc>
          <w:tcPr>
            <w:tcW w:w="12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Instant Web, LLC, Term Loan B</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03/28/2019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12.15%</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L+1,100</w:t>
            </w:r>
          </w:p>
        </w:tc>
        <w:tc>
          <w:tcPr>
            <w:tcW w:w="660" w:type="dxa"/>
            <w:vAlign w:val="bottom"/>
          </w:tcPr>
          <w:p>
            <w:pPr>
              <w:jc w:val="right"/>
              <w:spacing w:after="0"/>
              <w:rPr>
                <w:sz w:val="20"/>
                <w:szCs w:val="20"/>
                <w:color w:val="auto"/>
              </w:rPr>
            </w:pPr>
            <w:r>
              <w:rPr>
                <w:rFonts w:ascii="Arial" w:cs="Arial" w:eastAsia="Arial" w:hAnsi="Arial"/>
                <w:sz w:val="12"/>
                <w:szCs w:val="12"/>
                <w:color w:val="auto"/>
              </w:rPr>
              <w:t>4,500,000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4,468,097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4,500,000</w:t>
            </w:r>
          </w:p>
        </w:tc>
        <w:tc>
          <w:tcPr>
            <w:tcW w:w="12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Interior Specialists, Inc.</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06/30/2020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6,594,078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6,548,164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6,660,019</w:t>
            </w:r>
          </w:p>
        </w:tc>
        <w:tc>
          <w:tcPr>
            <w:tcW w:w="12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Inventus Power, Inc.</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04/30/2020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7.50%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L+650</w:t>
            </w:r>
          </w:p>
        </w:tc>
        <w:tc>
          <w:tcPr>
            <w:tcW w:w="660" w:type="dxa"/>
            <w:vAlign w:val="bottom"/>
          </w:tcPr>
          <w:p>
            <w:pPr>
              <w:jc w:val="right"/>
              <w:spacing w:after="0"/>
              <w:rPr>
                <w:sz w:val="20"/>
                <w:szCs w:val="20"/>
                <w:color w:val="auto"/>
              </w:rPr>
            </w:pPr>
            <w:r>
              <w:rPr>
                <w:rFonts w:ascii="Arial" w:cs="Arial" w:eastAsia="Arial" w:hAnsi="Arial"/>
                <w:sz w:val="12"/>
                <w:szCs w:val="12"/>
                <w:color w:val="auto"/>
              </w:rPr>
              <w:t>4,726,503</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4,697,578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4,584,708</w:t>
            </w:r>
          </w:p>
        </w:tc>
        <w:tc>
          <w:tcPr>
            <w:tcW w:w="12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Jackson Hewitt Inc.</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07/30/2020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Consumer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8.04%</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L+700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4,830,235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4,630,500</w:t>
            </w:r>
          </w:p>
        </w:tc>
        <w:tc>
          <w:tcPr>
            <w:tcW w:w="12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02/19/2021</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10.00%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L+900</w:t>
            </w:r>
          </w:p>
        </w:tc>
        <w:tc>
          <w:tcPr>
            <w:tcW w:w="660" w:type="dxa"/>
            <w:vAlign w:val="bottom"/>
          </w:tcPr>
          <w:p>
            <w:pPr>
              <w:jc w:val="right"/>
              <w:spacing w:after="0"/>
              <w:rPr>
                <w:sz w:val="20"/>
                <w:szCs w:val="20"/>
                <w:color w:val="auto"/>
              </w:rPr>
            </w:pPr>
            <w:r>
              <w:rPr>
                <w:rFonts w:ascii="Arial" w:cs="Arial" w:eastAsia="Arial" w:hAnsi="Arial"/>
                <w:sz w:val="12"/>
                <w:szCs w:val="12"/>
                <w:color w:val="auto"/>
              </w:rPr>
              <w:t>4,002,471</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3,932,553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3,948,828</w:t>
            </w:r>
          </w:p>
        </w:tc>
        <w:tc>
          <w:tcPr>
            <w:tcW w:w="12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KHC Holdings, Inc.</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7.15%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12,343,750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12,162,958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12,343,750</w:t>
            </w:r>
          </w:p>
        </w:tc>
        <w:tc>
          <w:tcPr>
            <w:tcW w:w="12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(9)</w:t>
            </w:r>
          </w:p>
        </w:tc>
        <w:tc>
          <w:tcPr>
            <w:tcW w:w="1180" w:type="dxa"/>
            <w:vAlign w:val="bottom"/>
          </w:tcPr>
          <w:p>
            <w:pPr>
              <w:jc w:val="center"/>
              <w:ind w:right="18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1,209,677</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Lago Resort &amp; Casino, LLC</w:t>
            </w:r>
          </w:p>
        </w:tc>
        <w:tc>
          <w:tcPr>
            <w:tcW w:w="118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L+950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10,024,705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10,187,250</w:t>
            </w:r>
          </w:p>
        </w:tc>
        <w:tc>
          <w:tcPr>
            <w:tcW w:w="12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382"/>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Maturity</w:t>
            </w:r>
          </w:p>
        </w:tc>
        <w:tc>
          <w:tcPr>
            <w:tcW w:w="120" w:type="dxa"/>
            <w:vAlign w:val="bottom"/>
            <w:tcBorders>
              <w:bottom w:val="single" w:sz="8" w:color="CCECFF"/>
            </w:tcBorders>
          </w:tcPr>
          <w:p>
            <w:pPr>
              <w:spacing w:after="0"/>
              <w:rPr>
                <w:sz w:val="12"/>
                <w:szCs w:val="12"/>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30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 xml:space="preserve">Index </w:t>
            </w:r>
            <w:r>
              <w:rPr>
                <w:rFonts w:ascii="Arial" w:cs="Arial" w:eastAsia="Arial" w:hAnsi="Arial"/>
                <w:sz w:val="9"/>
                <w:szCs w:val="9"/>
                <w:b w:val="1"/>
                <w:bCs w:val="1"/>
                <w:color w:val="auto"/>
              </w:rPr>
              <w:t>(1)</w:t>
            </w: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CECFF"/>
            </w:tcBorders>
          </w:tcPr>
          <w:p>
            <w:pPr>
              <w:spacing w:after="0"/>
              <w:rPr>
                <w:sz w:val="12"/>
                <w:szCs w:val="12"/>
                <w:color w:val="auto"/>
              </w:rPr>
            </w:pPr>
          </w:p>
        </w:tc>
      </w:tr>
      <w:tr>
        <w:trPr>
          <w:trHeight w:val="142"/>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11/30/2018</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6.50</w:t>
            </w:r>
          </w:p>
        </w:tc>
        <w:tc>
          <w:tcPr>
            <w:tcW w:w="300" w:type="dxa"/>
            <w:vAlign w:val="bottom"/>
            <w:shd w:val="clear" w:color="auto" w:fill="CCECFF"/>
          </w:tcPr>
          <w:p>
            <w:pPr>
              <w:jc w:val="right"/>
              <w:ind w:right="142"/>
              <w:spacing w:after="0" w:line="136" w:lineRule="exact"/>
              <w:rPr>
                <w:sz w:val="20"/>
                <w:szCs w:val="20"/>
                <w:color w:val="auto"/>
              </w:rPr>
            </w:pPr>
            <w:r>
              <w:rPr>
                <w:rFonts w:ascii="Arial" w:cs="Arial" w:eastAsia="Arial" w:hAnsi="Arial"/>
                <w:sz w:val="12"/>
                <w:szCs w:val="12"/>
                <w:color w:val="auto"/>
                <w:w w:val="74"/>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5,376,431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5,345,690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4,506,148</w:t>
            </w:r>
          </w:p>
        </w:tc>
        <w:tc>
          <w:tcPr>
            <w:tcW w:w="100" w:type="dxa"/>
            <w:vAlign w:val="bottom"/>
            <w:shd w:val="clear" w:color="auto" w:fill="CCECFF"/>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Lombart Brothers, Inc.</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04/13/2022</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7.90%</w:t>
            </w:r>
          </w:p>
        </w:tc>
        <w:tc>
          <w:tcPr>
            <w:tcW w:w="680" w:type="dxa"/>
            <w:vAlign w:val="bottom"/>
          </w:tcPr>
          <w:p>
            <w:pPr>
              <w:jc w:val="right"/>
              <w:spacing w:after="0"/>
              <w:rPr>
                <w:sz w:val="20"/>
                <w:szCs w:val="20"/>
                <w:color w:val="auto"/>
              </w:rPr>
            </w:pPr>
            <w:r>
              <w:rPr>
                <w:rFonts w:ascii="Arial" w:cs="Arial" w:eastAsia="Arial" w:hAnsi="Arial"/>
                <w:sz w:val="12"/>
                <w:szCs w:val="12"/>
                <w:color w:val="auto"/>
              </w:rPr>
              <w:t>L+675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6,276,319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6,194,719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6,307,701</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(9)</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04/13/2022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1,238,938</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Long’s Drugs Incorporated</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08/19/2021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6.26%</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4,975,000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4,932,118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4,925,250</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01/15/2021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1"/>
              </w:rPr>
              <w:t>Retail</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10.02%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9,297,716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9,188,511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9,483,670</w:t>
            </w:r>
          </w:p>
        </w:tc>
        <w:tc>
          <w:tcPr>
            <w:tcW w:w="100" w:type="dxa"/>
            <w:vAlign w:val="bottom"/>
            <w:shd w:val="clear" w:color="auto" w:fill="CCECFF"/>
          </w:tcPr>
          <w:p>
            <w:pPr>
              <w:spacing w:after="0"/>
              <w:rPr>
                <w:sz w:val="12"/>
                <w:szCs w:val="12"/>
                <w:color w:val="auto"/>
              </w:rPr>
            </w:pPr>
          </w:p>
        </w:tc>
      </w:tr>
      <w:tr>
        <w:trPr>
          <w:trHeight w:val="149"/>
        </w:trPr>
        <w:tc>
          <w:tcPr>
            <w:tcW w:w="3140" w:type="dxa"/>
            <w:vAlign w:val="bottom"/>
            <w:gridSpan w:val="2"/>
          </w:tcPr>
          <w:p>
            <w:pPr>
              <w:spacing w:after="0"/>
              <w:rPr>
                <w:sz w:val="20"/>
                <w:szCs w:val="20"/>
                <w:color w:val="auto"/>
              </w:rPr>
            </w:pPr>
            <w:r>
              <w:rPr>
                <w:rFonts w:ascii="Arial" w:cs="Arial" w:eastAsia="Arial" w:hAnsi="Arial"/>
                <w:sz w:val="12"/>
                <w:szCs w:val="12"/>
                <w:color w:val="auto"/>
              </w:rPr>
              <w:t>Marketplace Events LLC</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01/27/2021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6.40%</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3,394,404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3,347,386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3,394,404</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(11)</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P+275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C$  17,157,469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12,021,879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12,865,048</w:t>
            </w:r>
          </w:p>
        </w:tc>
        <w:tc>
          <w:tcPr>
            <w:tcW w:w="100" w:type="dxa"/>
            <w:vAlign w:val="bottom"/>
            <w:shd w:val="clear" w:color="auto" w:fill="CCECFF"/>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(9)</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01/27/2021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1,703,163</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Mission Critical Electronics, Inc. </w:t>
            </w:r>
            <w:r>
              <w:rPr>
                <w:rFonts w:ascii="Arial" w:cs="Arial" w:eastAsia="Arial" w:hAnsi="Arial"/>
                <w:sz w:val="9"/>
                <w:szCs w:val="9"/>
                <w:color w:val="auto"/>
              </w:rPr>
              <w:t>(8)</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09/28/2022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6.15%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4,096,025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4,058,256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4,070,280</w:t>
            </w:r>
          </w:p>
        </w:tc>
        <w:tc>
          <w:tcPr>
            <w:tcW w:w="100" w:type="dxa"/>
            <w:vAlign w:val="bottom"/>
            <w:shd w:val="clear" w:color="auto" w:fill="CCECFF"/>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(9)</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09/28/2021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883,392</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(9,969)</w:t>
            </w: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Montreign Operating Company,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01/24/2023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9.31%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22,794,872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23,278,160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23,222,276</w:t>
            </w:r>
          </w:p>
        </w:tc>
        <w:tc>
          <w:tcPr>
            <w:tcW w:w="100" w:type="dxa"/>
            <w:vAlign w:val="bottom"/>
            <w:shd w:val="clear" w:color="auto" w:fill="CCECFF"/>
          </w:tcPr>
          <w:p>
            <w:pPr>
              <w:spacing w:after="0"/>
              <w:rPr>
                <w:sz w:val="12"/>
                <w:szCs w:val="12"/>
                <w:color w:val="auto"/>
              </w:rPr>
            </w:pPr>
          </w:p>
        </w:tc>
      </w:tr>
      <w:tr>
        <w:trPr>
          <w:trHeight w:val="149"/>
        </w:trPr>
        <w:tc>
          <w:tcPr>
            <w:tcW w:w="3140" w:type="dxa"/>
            <w:vAlign w:val="bottom"/>
            <w:gridSpan w:val="2"/>
          </w:tcPr>
          <w:p>
            <w:pPr>
              <w:spacing w:after="0"/>
              <w:rPr>
                <w:sz w:val="20"/>
                <w:szCs w:val="20"/>
                <w:color w:val="auto"/>
              </w:rPr>
            </w:pPr>
            <w:r>
              <w:rPr>
                <w:rFonts w:ascii="Arial" w:cs="Arial" w:eastAsia="Arial" w:hAnsi="Arial"/>
                <w:sz w:val="12"/>
                <w:szCs w:val="12"/>
                <w:color w:val="auto"/>
              </w:rPr>
              <w:t>Morphe, LLC</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02/10/2023</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7.03%</w:t>
            </w:r>
          </w:p>
        </w:tc>
        <w:tc>
          <w:tcPr>
            <w:tcW w:w="680" w:type="dxa"/>
            <w:vAlign w:val="bottom"/>
          </w:tcPr>
          <w:p>
            <w:pPr>
              <w:jc w:val="right"/>
              <w:spacing w:after="0"/>
              <w:rPr>
                <w:sz w:val="20"/>
                <w:szCs w:val="20"/>
                <w:color w:val="auto"/>
              </w:rPr>
            </w:pPr>
            <w:r>
              <w:rPr>
                <w:rFonts w:ascii="Arial" w:cs="Arial" w:eastAsia="Arial" w:hAnsi="Arial"/>
                <w:sz w:val="12"/>
                <w:szCs w:val="12"/>
                <w:color w:val="auto"/>
              </w:rPr>
              <w:t>L+600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19,454,802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19,700,000</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New Trident HoldCorp, Inc.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07/31/2019</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8,767,647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8,728,341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7,759,368</w:t>
            </w:r>
          </w:p>
        </w:tc>
        <w:tc>
          <w:tcPr>
            <w:tcW w:w="100" w:type="dxa"/>
            <w:vAlign w:val="bottom"/>
            <w:shd w:val="clear" w:color="auto" w:fill="CCECFF"/>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One Sixty Over Ninety, LLC</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03/03/2022</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10.22%</w:t>
            </w:r>
          </w:p>
        </w:tc>
        <w:tc>
          <w:tcPr>
            <w:tcW w:w="680" w:type="dxa"/>
            <w:vAlign w:val="bottom"/>
          </w:tcPr>
          <w:p>
            <w:pPr>
              <w:jc w:val="right"/>
              <w:spacing w:after="0"/>
              <w:rPr>
                <w:sz w:val="20"/>
                <w:szCs w:val="20"/>
                <w:color w:val="auto"/>
              </w:rPr>
            </w:pPr>
            <w:r>
              <w:rPr>
                <w:rFonts w:ascii="Arial" w:cs="Arial" w:eastAsia="Arial" w:hAnsi="Arial"/>
                <w:sz w:val="12"/>
                <w:szCs w:val="12"/>
                <w:color w:val="auto"/>
              </w:rPr>
              <w:t>L+925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8,750,000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8,576,547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8,575,000</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08/19/2022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9,042,275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8,984,329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9,042,275</w:t>
            </w:r>
          </w:p>
        </w:tc>
        <w:tc>
          <w:tcPr>
            <w:tcW w:w="100" w:type="dxa"/>
            <w:vAlign w:val="bottom"/>
            <w:shd w:val="clear" w:color="auto" w:fill="CCECFF"/>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 (9)</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08/19/2022</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923,545</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Precyse Acquisition Corp.</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10/20/2022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4,964,987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4,900,279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4,980,528</w:t>
            </w:r>
          </w:p>
        </w:tc>
        <w:tc>
          <w:tcPr>
            <w:tcW w:w="100" w:type="dxa"/>
            <w:vAlign w:val="bottom"/>
            <w:shd w:val="clear" w:color="auto" w:fill="CCECFF"/>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Premier Dental Services, Inc.</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11/01/2018</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Consumer Services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7.50%</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7,528,230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7,482,942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7,490,588</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Profile Products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01/31/2023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6.15%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10,268,064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10,173,630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10,268,064</w:t>
            </w:r>
          </w:p>
        </w:tc>
        <w:tc>
          <w:tcPr>
            <w:tcW w:w="100" w:type="dxa"/>
            <w:vAlign w:val="bottom"/>
            <w:shd w:val="clear" w:color="auto" w:fill="CCECFF"/>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Profile Products LLC </w:t>
            </w:r>
            <w:r>
              <w:rPr>
                <w:rFonts w:ascii="Arial" w:cs="Arial" w:eastAsia="Arial" w:hAnsi="Arial"/>
                <w:sz w:val="9"/>
                <w:szCs w:val="9"/>
                <w:color w:val="auto"/>
              </w:rPr>
              <w:t>(8), (9)</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01/31/2019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573,770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01/31/2022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P+400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327,065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327,065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327,065</w:t>
            </w:r>
          </w:p>
        </w:tc>
        <w:tc>
          <w:tcPr>
            <w:tcW w:w="100" w:type="dxa"/>
            <w:vAlign w:val="bottom"/>
            <w:shd w:val="clear" w:color="auto" w:fill="CCECFF"/>
          </w:tcPr>
          <w:p>
            <w:pPr>
              <w:spacing w:after="0"/>
              <w:rPr>
                <w:sz w:val="12"/>
                <w:szCs w:val="12"/>
                <w:color w:val="auto"/>
              </w:rPr>
            </w:pPr>
          </w:p>
        </w:tc>
      </w:tr>
      <w:tr>
        <w:trPr>
          <w:trHeight w:val="149"/>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(9)</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01/31/2022</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2,131,951</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PT Network,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11/30/2021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7.56%</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8,489,400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8,417,909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8,489,400</w:t>
            </w:r>
          </w:p>
        </w:tc>
        <w:tc>
          <w:tcPr>
            <w:tcW w:w="100" w:type="dxa"/>
            <w:vAlign w:val="bottom"/>
            <w:shd w:val="clear" w:color="auto" w:fill="CCECFF"/>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(8), (9)</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11/30/2021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2,291,100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Quick Weight Loss Centers,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08/23/2021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5.81%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9,750,000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9,619,877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9,750,000</w:t>
            </w:r>
          </w:p>
        </w:tc>
        <w:tc>
          <w:tcPr>
            <w:tcW w:w="100" w:type="dxa"/>
            <w:vAlign w:val="bottom"/>
            <w:shd w:val="clear" w:color="auto" w:fill="CCECFF"/>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Research Now Group, Inc.</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03/18/2021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5.65%</w:t>
            </w:r>
          </w:p>
        </w:tc>
        <w:tc>
          <w:tcPr>
            <w:tcW w:w="680" w:type="dxa"/>
            <w:vAlign w:val="bottom"/>
          </w:tcPr>
          <w:p>
            <w:pPr>
              <w:jc w:val="right"/>
              <w:spacing w:after="0"/>
              <w:rPr>
                <w:sz w:val="20"/>
                <w:szCs w:val="20"/>
                <w:color w:val="auto"/>
              </w:rPr>
            </w:pPr>
            <w:r>
              <w:rPr>
                <w:rFonts w:ascii="Arial" w:cs="Arial" w:eastAsia="Arial" w:hAnsi="Arial"/>
                <w:sz w:val="12"/>
                <w:szCs w:val="12"/>
                <w:color w:val="auto"/>
              </w:rPr>
              <w:t>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6,877,500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6,853,529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6,748,547</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Robertshaw US Holding Corp.</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06/18/2019</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8.50%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4,235,958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4,220,194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4,221,230</w:t>
            </w:r>
          </w:p>
        </w:tc>
        <w:tc>
          <w:tcPr>
            <w:tcW w:w="100" w:type="dxa"/>
            <w:vAlign w:val="bottom"/>
            <w:shd w:val="clear" w:color="auto" w:fill="CCECFF"/>
          </w:tcPr>
          <w:p>
            <w:pPr>
              <w:spacing w:after="0"/>
              <w:rPr>
                <w:sz w:val="12"/>
                <w:szCs w:val="12"/>
                <w:color w:val="auto"/>
              </w:rPr>
            </w:pPr>
          </w:p>
        </w:tc>
      </w:tr>
      <w:tr>
        <w:trPr>
          <w:trHeight w:val="149"/>
        </w:trPr>
        <w:tc>
          <w:tcPr>
            <w:tcW w:w="3140" w:type="dxa"/>
            <w:vAlign w:val="bottom"/>
            <w:gridSpan w:val="2"/>
          </w:tcPr>
          <w:p>
            <w:pPr>
              <w:spacing w:after="0"/>
              <w:rPr>
                <w:sz w:val="20"/>
                <w:szCs w:val="20"/>
                <w:color w:val="auto"/>
              </w:rPr>
            </w:pPr>
            <w:r>
              <w:rPr>
                <w:rFonts w:ascii="Arial" w:cs="Arial" w:eastAsia="Arial" w:hAnsi="Arial"/>
                <w:sz w:val="12"/>
                <w:szCs w:val="12"/>
                <w:color w:val="auto"/>
              </w:rPr>
              <w:t>Ryan, LLC</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08/07/2020</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6.75%</w:t>
            </w:r>
          </w:p>
        </w:tc>
        <w:tc>
          <w:tcPr>
            <w:tcW w:w="680" w:type="dxa"/>
            <w:vAlign w:val="bottom"/>
          </w:tcPr>
          <w:p>
            <w:pPr>
              <w:jc w:val="right"/>
              <w:spacing w:after="0"/>
              <w:rPr>
                <w:sz w:val="20"/>
                <w:szCs w:val="20"/>
                <w:color w:val="auto"/>
              </w:rPr>
            </w:pPr>
            <w:r>
              <w:rPr>
                <w:rFonts w:ascii="Arial" w:cs="Arial" w:eastAsia="Arial" w:hAnsi="Arial"/>
                <w:sz w:val="12"/>
                <w:szCs w:val="12"/>
                <w:color w:val="auto"/>
              </w:rPr>
              <w:t>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3,981,623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3,937,806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3,931,853</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Salient CRGT Inc.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02/28/2022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19,604,187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19,650,000</w:t>
            </w:r>
          </w:p>
        </w:tc>
        <w:tc>
          <w:tcPr>
            <w:tcW w:w="100" w:type="dxa"/>
            <w:vAlign w:val="bottom"/>
            <w:shd w:val="clear" w:color="auto" w:fill="CCECFF"/>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Snak Club, LLC</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07/19/2021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6.00%</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4,906,245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4,841,003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4,906,245</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07/19/2021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416,667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416,667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416,667</w:t>
            </w:r>
          </w:p>
        </w:tc>
        <w:tc>
          <w:tcPr>
            <w:tcW w:w="100" w:type="dxa"/>
            <w:vAlign w:val="bottom"/>
            <w:shd w:val="clear" w:color="auto" w:fill="CCECFF"/>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 (9)</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07/19/2021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83,333</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Softvision,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05/21/2021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6.58%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9,138,889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9,059,711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9,138,889</w:t>
            </w:r>
          </w:p>
        </w:tc>
        <w:tc>
          <w:tcPr>
            <w:tcW w:w="100" w:type="dxa"/>
            <w:vAlign w:val="bottom"/>
            <w:shd w:val="clear" w:color="auto" w:fill="CCECFF"/>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Sotera Defense Solutions, Inc.</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04/21/2017</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9.00%</w:t>
            </w:r>
          </w:p>
        </w:tc>
        <w:tc>
          <w:tcPr>
            <w:tcW w:w="680" w:type="dxa"/>
            <w:vAlign w:val="bottom"/>
          </w:tcPr>
          <w:p>
            <w:pPr>
              <w:jc w:val="right"/>
              <w:spacing w:after="0"/>
              <w:rPr>
                <w:sz w:val="20"/>
                <w:szCs w:val="20"/>
                <w:color w:val="auto"/>
              </w:rPr>
            </w:pPr>
            <w:r>
              <w:rPr>
                <w:rFonts w:ascii="Arial" w:cs="Arial" w:eastAsia="Arial" w:hAnsi="Arial"/>
                <w:sz w:val="12"/>
                <w:szCs w:val="12"/>
                <w:color w:val="auto"/>
              </w:rPr>
              <w:t>L+750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5,668,843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5,663,421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5,583,810</w:t>
            </w:r>
          </w:p>
        </w:tc>
        <w:tc>
          <w:tcPr>
            <w:tcW w:w="100" w:type="dxa"/>
            <w:vAlign w:val="bottom"/>
          </w:tcPr>
          <w:p>
            <w:pPr>
              <w:spacing w:after="0"/>
              <w:rPr>
                <w:sz w:val="12"/>
                <w:szCs w:val="12"/>
                <w:color w:val="auto"/>
              </w:rPr>
            </w:pPr>
          </w:p>
        </w:tc>
      </w:tr>
      <w:tr>
        <w:trPr>
          <w:trHeight w:val="149"/>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Sundial Group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10/19/2021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7,125,000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7,024,211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7,196,250</w:t>
            </w:r>
          </w:p>
        </w:tc>
        <w:tc>
          <w:tcPr>
            <w:tcW w:w="100" w:type="dxa"/>
            <w:vAlign w:val="bottom"/>
            <w:shd w:val="clear" w:color="auto" w:fill="CCECFF"/>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Survey Sampling International, LLC</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12/16/2020</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6.15%</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7,408,749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7,363,545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7,408,749</w:t>
            </w:r>
          </w:p>
        </w:tc>
        <w:tc>
          <w:tcPr>
            <w:tcW w:w="100" w:type="dxa"/>
            <w:vAlign w:val="bottom"/>
          </w:tcPr>
          <w:p>
            <w:pPr>
              <w:spacing w:after="0"/>
              <w:rPr>
                <w:sz w:val="12"/>
                <w:szCs w:val="12"/>
                <w:color w:val="auto"/>
              </w:rPr>
            </w:pPr>
          </w:p>
        </w:tc>
      </w:tr>
      <w:tr>
        <w:trPr>
          <w:trHeight w:val="149"/>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Tensar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07/09/2021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5.90%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4,822,723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4,790,592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4,416,795</w:t>
            </w:r>
          </w:p>
        </w:tc>
        <w:tc>
          <w:tcPr>
            <w:tcW w:w="100" w:type="dxa"/>
            <w:vAlign w:val="bottom"/>
            <w:shd w:val="clear" w:color="auto" w:fill="CCECFF"/>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The Infosoft Group, LLC</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12/02/2021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6.40%</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14,906,250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14,765,327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14,906,250</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(10)</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07/20/2021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3,076,833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3,049,786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3,076,833</w:t>
            </w:r>
          </w:p>
        </w:tc>
        <w:tc>
          <w:tcPr>
            <w:tcW w:w="100" w:type="dxa"/>
            <w:vAlign w:val="bottom"/>
            <w:shd w:val="clear" w:color="auto" w:fill="CCECFF"/>
          </w:tcPr>
          <w:p>
            <w:pPr>
              <w:spacing w:after="0"/>
              <w:rPr>
                <w:sz w:val="12"/>
                <w:szCs w:val="12"/>
                <w:color w:val="auto"/>
              </w:rPr>
            </w:pPr>
          </w:p>
        </w:tc>
      </w:tr>
      <w:tr>
        <w:trPr>
          <w:trHeight w:val="149"/>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(10)</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07/20/2021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6.00%</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5,956,072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5,903,824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5,956,072</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(9), (10)</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07/20/2021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1,418,484</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TOMS Shoes, LLC</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11/02/2020</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6.55%</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1,960,000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1,831,556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1,290,660</w:t>
            </w:r>
          </w:p>
        </w:tc>
        <w:tc>
          <w:tcPr>
            <w:tcW w:w="100" w:type="dxa"/>
            <w:vAlign w:val="bottom"/>
          </w:tcPr>
          <w:p>
            <w:pPr>
              <w:spacing w:after="0"/>
              <w:rPr>
                <w:sz w:val="12"/>
                <w:szCs w:val="12"/>
                <w:color w:val="auto"/>
              </w:rPr>
            </w:pPr>
          </w:p>
        </w:tc>
      </w:tr>
      <w:tr>
        <w:trPr>
          <w:trHeight w:val="149"/>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12/28/2020</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12.23%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L+1,125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9,352,467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9,203,255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9,352,467</w:t>
            </w:r>
          </w:p>
        </w:tc>
        <w:tc>
          <w:tcPr>
            <w:tcW w:w="100" w:type="dxa"/>
            <w:vAlign w:val="bottom"/>
            <w:shd w:val="clear" w:color="auto" w:fill="CCECFF"/>
          </w:tcPr>
          <w:p>
            <w:pPr>
              <w:spacing w:after="0"/>
              <w:rPr>
                <w:sz w:val="12"/>
                <w:szCs w:val="12"/>
                <w:color w:val="auto"/>
              </w:rPr>
            </w:pPr>
          </w:p>
        </w:tc>
      </w:tr>
      <w:tr>
        <w:trPr>
          <w:trHeight w:val="155"/>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3"/>
                <w:szCs w:val="13"/>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11.23%</w:t>
            </w:r>
          </w:p>
        </w:tc>
        <w:tc>
          <w:tcPr>
            <w:tcW w:w="680" w:type="dxa"/>
            <w:vAlign w:val="bottom"/>
          </w:tcPr>
          <w:p>
            <w:pPr>
              <w:jc w:val="right"/>
              <w:spacing w:after="0"/>
              <w:rPr>
                <w:sz w:val="20"/>
                <w:szCs w:val="20"/>
                <w:color w:val="auto"/>
              </w:rPr>
            </w:pPr>
            <w:r>
              <w:rPr>
                <w:rFonts w:ascii="Arial" w:cs="Arial" w:eastAsia="Arial" w:hAnsi="Arial"/>
                <w:sz w:val="12"/>
                <w:szCs w:val="12"/>
                <w:color w:val="auto"/>
              </w:rPr>
              <w:t>P+750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258,272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258,272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258,272</w:t>
            </w:r>
          </w:p>
        </w:tc>
        <w:tc>
          <w:tcPr>
            <w:tcW w:w="100" w:type="dxa"/>
            <w:vAlign w:val="bottom"/>
          </w:tcPr>
          <w:p>
            <w:pPr>
              <w:spacing w:after="0"/>
              <w:rPr>
                <w:sz w:val="13"/>
                <w:szCs w:val="13"/>
                <w:color w:val="auto"/>
              </w:rPr>
            </w:pPr>
          </w:p>
        </w:tc>
      </w:tr>
      <w:tr>
        <w:trPr>
          <w:trHeight w:val="142"/>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02"/>
              <w:spacing w:after="0"/>
              <w:rPr>
                <w:sz w:val="20"/>
                <w:szCs w:val="20"/>
                <w:color w:val="auto"/>
              </w:rPr>
            </w:pPr>
            <w:r>
              <w:rPr>
                <w:rFonts w:ascii="Arial" w:cs="Arial" w:eastAsia="Arial" w:hAnsi="Arial"/>
                <w:sz w:val="12"/>
                <w:szCs w:val="12"/>
                <w:color w:val="auto"/>
              </w:rPr>
              <w:t>(PIK 1.00%)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01/14/2019</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9.65%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599,702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570,070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611,696</w:t>
            </w:r>
          </w:p>
        </w:tc>
        <w:tc>
          <w:tcPr>
            <w:tcW w:w="100" w:type="dxa"/>
            <w:vAlign w:val="bottom"/>
            <w:shd w:val="clear" w:color="auto" w:fill="CCECFF"/>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(9)</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151,090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Universal Fiber Systems,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10/04/2021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6.53%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8,917,343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8,869,107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8,917,343</w:t>
            </w:r>
          </w:p>
        </w:tc>
        <w:tc>
          <w:tcPr>
            <w:tcW w:w="100" w:type="dxa"/>
            <w:vAlign w:val="bottom"/>
            <w:shd w:val="clear" w:color="auto" w:fill="CCECFF"/>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U.S. Anesthesia Partners, Inc.</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12/31/2019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6.00%</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12,337,500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12,245,147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12,337,500</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08/13/2021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10.15%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3,074,219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3,074,219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3,043,476</w:t>
            </w:r>
          </w:p>
        </w:tc>
        <w:tc>
          <w:tcPr>
            <w:tcW w:w="100" w:type="dxa"/>
            <w:vAlign w:val="bottom"/>
            <w:shd w:val="clear" w:color="auto" w:fill="CCECFF"/>
          </w:tcPr>
          <w:p>
            <w:pPr>
              <w:spacing w:after="0"/>
              <w:rPr>
                <w:sz w:val="12"/>
                <w:szCs w:val="12"/>
                <w:color w:val="auto"/>
              </w:rPr>
            </w:pPr>
          </w:p>
        </w:tc>
      </w:tr>
      <w:tr>
        <w:trPr>
          <w:trHeight w:val="149"/>
        </w:trPr>
        <w:tc>
          <w:tcPr>
            <w:tcW w:w="3140" w:type="dxa"/>
            <w:vAlign w:val="bottom"/>
            <w:gridSpan w:val="2"/>
          </w:tcPr>
          <w:p>
            <w:pPr>
              <w:spacing w:after="0"/>
              <w:rPr>
                <w:sz w:val="20"/>
                <w:szCs w:val="20"/>
                <w:color w:val="auto"/>
              </w:rPr>
            </w:pPr>
            <w:r>
              <w:rPr>
                <w:rFonts w:ascii="Arial" w:cs="Arial" w:eastAsia="Arial" w:hAnsi="Arial"/>
                <w:sz w:val="12"/>
                <w:szCs w:val="12"/>
                <w:color w:val="auto"/>
              </w:rPr>
              <w:t>Veterinary Specialists of North America, LLC</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6.27%</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11,241,688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11,133,472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11,212,341</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(8), (9)</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07/15/2021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2,850,000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(7,440)</w:t>
            </w:r>
          </w:p>
        </w:tc>
      </w:tr>
      <w:tr>
        <w:trPr>
          <w:trHeight w:val="146"/>
        </w:trPr>
        <w:tc>
          <w:tcPr>
            <w:tcW w:w="3140" w:type="dxa"/>
            <w:vAlign w:val="bottom"/>
            <w:gridSpan w:val="2"/>
          </w:tcPr>
          <w:p>
            <w:pPr>
              <w:spacing w:after="0"/>
              <w:rPr>
                <w:sz w:val="20"/>
                <w:szCs w:val="20"/>
                <w:color w:val="auto"/>
              </w:rPr>
            </w:pPr>
            <w:r>
              <w:rPr>
                <w:rFonts w:ascii="Arial" w:cs="Arial" w:eastAsia="Arial" w:hAnsi="Arial"/>
                <w:sz w:val="12"/>
                <w:szCs w:val="12"/>
                <w:color w:val="auto"/>
                <w:w w:val="99"/>
              </w:rPr>
              <w:t xml:space="preserve">Veterinary Specialists of North America, LLC (Revolver) </w:t>
            </w:r>
            <w:r>
              <w:rPr>
                <w:rFonts w:ascii="Arial" w:cs="Arial" w:eastAsia="Arial" w:hAnsi="Arial"/>
                <w:sz w:val="9"/>
                <w:szCs w:val="9"/>
                <w:color w:val="auto"/>
                <w:w w:val="99"/>
              </w:rPr>
              <w:t>(8),</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880,000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(2,297)</w:t>
            </w:r>
          </w:p>
        </w:tc>
      </w:tr>
      <w:tr>
        <w:trPr>
          <w:trHeight w:val="124"/>
        </w:trPr>
        <w:tc>
          <w:tcPr>
            <w:tcW w:w="3020" w:type="dxa"/>
            <w:vAlign w:val="bottom"/>
          </w:tcPr>
          <w:p>
            <w:pPr>
              <w:spacing w:after="0"/>
              <w:rPr>
                <w:sz w:val="20"/>
                <w:szCs w:val="20"/>
                <w:color w:val="auto"/>
              </w:rPr>
            </w:pPr>
            <w:r>
              <w:rPr>
                <w:rFonts w:ascii="Arial" w:cs="Arial" w:eastAsia="Arial" w:hAnsi="Arial"/>
                <w:sz w:val="10"/>
                <w:szCs w:val="10"/>
                <w:color w:val="auto"/>
              </w:rPr>
              <w:t>(9)</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VIP Cinema Holdings, Inc.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03/01/2023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12,437,602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12,593,750</w:t>
            </w:r>
          </w:p>
        </w:tc>
        <w:tc>
          <w:tcPr>
            <w:tcW w:w="100" w:type="dxa"/>
            <w:vAlign w:val="bottom"/>
            <w:shd w:val="clear" w:color="auto" w:fill="CCECFF"/>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Vistage Worldwide, Inc.</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08/19/2021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6.50%</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5,092,831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5,053,008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5,105,563</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Winchester Electronics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06/30/2022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7,734,621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7,670,058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7,773,294</w:t>
            </w:r>
          </w:p>
        </w:tc>
        <w:tc>
          <w:tcPr>
            <w:tcW w:w="100" w:type="dxa"/>
            <w:vAlign w:val="bottom"/>
            <w:shd w:val="clear" w:color="auto" w:fill="CCECFF"/>
          </w:tcPr>
          <w:p>
            <w:pPr>
              <w:spacing w:after="0"/>
              <w:rPr>
                <w:sz w:val="12"/>
                <w:szCs w:val="12"/>
                <w:color w:val="auto"/>
              </w:rPr>
            </w:pPr>
          </w:p>
        </w:tc>
      </w:tr>
      <w:tr>
        <w:trPr>
          <w:trHeight w:val="149"/>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(8), (9)</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06/30/2022</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708,333</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3,542</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Worley Claims Services,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10/30/2020</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Banking, Finance, Insurance and Real Estate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7,279,315</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7,228,473</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7,097,333</w:t>
            </w:r>
          </w:p>
        </w:tc>
        <w:tc>
          <w:tcPr>
            <w:tcW w:w="100" w:type="dxa"/>
            <w:vAlign w:val="bottom"/>
            <w:shd w:val="clear" w:color="auto" w:fill="CCECFF"/>
          </w:tcPr>
          <w:p>
            <w:pPr>
              <w:spacing w:after="0"/>
              <w:rPr>
                <w:sz w:val="12"/>
                <w:szCs w:val="12"/>
                <w:color w:val="auto"/>
              </w:rPr>
            </w:pPr>
          </w:p>
        </w:tc>
      </w:tr>
      <w:tr>
        <w:trPr>
          <w:trHeight w:val="142"/>
        </w:trPr>
        <w:tc>
          <w:tcPr>
            <w:tcW w:w="314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680,718,108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682,258,069</w:t>
            </w:r>
          </w:p>
        </w:tc>
        <w:tc>
          <w:tcPr>
            <w:tcW w:w="100" w:type="dxa"/>
            <w:vAlign w:val="bottom"/>
          </w:tcPr>
          <w:p>
            <w:pPr>
              <w:spacing w:after="0"/>
              <w:rPr>
                <w:sz w:val="12"/>
                <w:szCs w:val="12"/>
                <w:color w:val="auto"/>
              </w:rPr>
            </w:pPr>
          </w:p>
        </w:tc>
      </w:tr>
      <w:tr>
        <w:trPr>
          <w:trHeight w:val="142"/>
        </w:trPr>
        <w:tc>
          <w:tcPr>
            <w:tcW w:w="314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Debt—7.3%</w:t>
            </w:r>
          </w:p>
        </w:tc>
        <w:tc>
          <w:tcPr>
            <w:tcW w:w="64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266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2"/>
                <w:szCs w:val="12"/>
                <w:color w:val="auto"/>
              </w:rPr>
              <w:t xml:space="preserve">Affinion Group, Inc. </w:t>
            </w:r>
            <w:r>
              <w:rPr>
                <w:rFonts w:ascii="Arial" w:cs="Arial" w:eastAsia="Arial" w:hAnsi="Arial"/>
                <w:sz w:val="9"/>
                <w:szCs w:val="9"/>
                <w:color w:val="auto"/>
              </w:rPr>
              <w:t>(8)</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10/31/2018</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8.50%</w:t>
            </w:r>
          </w:p>
        </w:tc>
        <w:tc>
          <w:tcPr>
            <w:tcW w:w="680" w:type="dxa"/>
            <w:vAlign w:val="bottom"/>
          </w:tcPr>
          <w:p>
            <w:pPr>
              <w:jc w:val="right"/>
              <w:spacing w:after="0"/>
              <w:rPr>
                <w:sz w:val="20"/>
                <w:szCs w:val="20"/>
                <w:color w:val="auto"/>
              </w:rPr>
            </w:pPr>
            <w:r>
              <w:rPr>
                <w:rFonts w:ascii="Arial" w:cs="Arial" w:eastAsia="Arial" w:hAnsi="Arial"/>
                <w:sz w:val="12"/>
                <w:szCs w:val="12"/>
                <w:color w:val="auto"/>
              </w:rPr>
              <w:t>L+700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955,064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978,570</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12/31/2020</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11.65%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1,973,926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2,020,000</w:t>
            </w:r>
          </w:p>
        </w:tc>
        <w:tc>
          <w:tcPr>
            <w:tcW w:w="100" w:type="dxa"/>
            <w:vAlign w:val="bottom"/>
            <w:shd w:val="clear" w:color="auto" w:fill="CCECFF"/>
          </w:tcPr>
          <w:p>
            <w:pPr>
              <w:spacing w:after="0"/>
              <w:rPr>
                <w:sz w:val="12"/>
                <w:szCs w:val="12"/>
                <w:color w:val="auto"/>
              </w:rPr>
            </w:pPr>
          </w:p>
        </w:tc>
      </w:tr>
      <w:tr>
        <w:trPr>
          <w:trHeight w:val="156"/>
        </w:trPr>
        <w:tc>
          <w:tcPr>
            <w:tcW w:w="3140" w:type="dxa"/>
            <w:vAlign w:val="bottom"/>
            <w:gridSpan w:val="2"/>
          </w:tcPr>
          <w:p>
            <w:pPr>
              <w:spacing w:after="0"/>
              <w:rPr>
                <w:sz w:val="20"/>
                <w:szCs w:val="20"/>
                <w:color w:val="auto"/>
              </w:rPr>
            </w:pPr>
            <w:r>
              <w:rPr>
                <w:rFonts w:ascii="Arial" w:cs="Arial" w:eastAsia="Arial" w:hAnsi="Arial"/>
                <w:sz w:val="12"/>
                <w:szCs w:val="12"/>
                <w:color w:val="auto"/>
              </w:rPr>
              <w:t>Howard Berger Co. LLC</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09/30/2020</w:t>
            </w:r>
          </w:p>
        </w:tc>
        <w:tc>
          <w:tcPr>
            <w:tcW w:w="120" w:type="dxa"/>
            <w:vAlign w:val="bottom"/>
          </w:tcPr>
          <w:p>
            <w:pPr>
              <w:spacing w:after="0"/>
              <w:rPr>
                <w:sz w:val="13"/>
                <w:szCs w:val="13"/>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11.15%</w:t>
            </w:r>
          </w:p>
        </w:tc>
        <w:tc>
          <w:tcPr>
            <w:tcW w:w="680" w:type="dxa"/>
            <w:vAlign w:val="bottom"/>
          </w:tcPr>
          <w:p>
            <w:pPr>
              <w:jc w:val="right"/>
              <w:spacing w:after="0"/>
              <w:rPr>
                <w:sz w:val="20"/>
                <w:szCs w:val="20"/>
                <w:color w:val="auto"/>
              </w:rPr>
            </w:pPr>
            <w:r>
              <w:rPr>
                <w:rFonts w:ascii="Arial" w:cs="Arial" w:eastAsia="Arial" w:hAnsi="Arial"/>
                <w:sz w:val="12"/>
                <w:szCs w:val="12"/>
                <w:color w:val="auto"/>
              </w:rPr>
              <w:t>L+1,000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11,150,000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10,711,992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10,146,500</w:t>
            </w:r>
          </w:p>
        </w:tc>
        <w:tc>
          <w:tcPr>
            <w:tcW w:w="100" w:type="dxa"/>
            <w:vAlign w:val="bottom"/>
          </w:tcPr>
          <w:p>
            <w:pPr>
              <w:spacing w:after="0"/>
              <w:rPr>
                <w:sz w:val="13"/>
                <w:szCs w:val="13"/>
                <w:color w:val="auto"/>
              </w:rPr>
            </w:pPr>
          </w:p>
        </w:tc>
      </w:tr>
      <w:tr>
        <w:trPr>
          <w:trHeight w:val="141"/>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02"/>
              <w:spacing w:after="0"/>
              <w:rPr>
                <w:sz w:val="20"/>
                <w:szCs w:val="20"/>
                <w:color w:val="auto"/>
              </w:rPr>
            </w:pPr>
            <w:r>
              <w:rPr>
                <w:rFonts w:ascii="Arial" w:cs="Arial" w:eastAsia="Arial" w:hAnsi="Arial"/>
                <w:sz w:val="12"/>
                <w:szCs w:val="12"/>
                <w:color w:val="auto"/>
              </w:rPr>
              <w:t>(PIK 5.32%)</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MailSouth, Inc.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10/22/2021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11.50%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3,775,000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3,709,264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3,812,750</w:t>
            </w:r>
          </w:p>
        </w:tc>
        <w:tc>
          <w:tcPr>
            <w:tcW w:w="100" w:type="dxa"/>
            <w:vAlign w:val="bottom"/>
            <w:shd w:val="clear" w:color="auto" w:fill="CCECFF"/>
          </w:tcPr>
          <w:p>
            <w:pPr>
              <w:spacing w:after="0"/>
              <w:rPr>
                <w:sz w:val="12"/>
                <w:szCs w:val="12"/>
                <w:color w:val="auto"/>
              </w:rPr>
            </w:pPr>
          </w:p>
        </w:tc>
      </w:tr>
      <w:tr>
        <w:trPr>
          <w:trHeight w:val="149"/>
        </w:trPr>
        <w:tc>
          <w:tcPr>
            <w:tcW w:w="3140" w:type="dxa"/>
            <w:vAlign w:val="bottom"/>
            <w:gridSpan w:val="2"/>
          </w:tcPr>
          <w:p>
            <w:pPr>
              <w:spacing w:after="0"/>
              <w:rPr>
                <w:sz w:val="20"/>
                <w:szCs w:val="20"/>
                <w:color w:val="auto"/>
              </w:rPr>
            </w:pPr>
            <w:r>
              <w:rPr>
                <w:rFonts w:ascii="Arial" w:cs="Arial" w:eastAsia="Arial" w:hAnsi="Arial"/>
                <w:sz w:val="12"/>
                <w:szCs w:val="12"/>
                <w:color w:val="auto"/>
              </w:rPr>
              <w:t>Novitex Acquisition, LLC</w:t>
            </w:r>
          </w:p>
        </w:tc>
        <w:tc>
          <w:tcPr>
            <w:tcW w:w="640" w:type="dxa"/>
            <w:vAlign w:val="bottom"/>
          </w:tcPr>
          <w:p>
            <w:pPr>
              <w:jc w:val="center"/>
              <w:spacing w:after="0"/>
              <w:rPr>
                <w:sz w:val="20"/>
                <w:szCs w:val="20"/>
                <w:color w:val="auto"/>
              </w:rPr>
            </w:pPr>
            <w:r>
              <w:rPr>
                <w:rFonts w:ascii="Arial" w:cs="Arial" w:eastAsia="Arial" w:hAnsi="Arial"/>
                <w:sz w:val="12"/>
                <w:szCs w:val="12"/>
                <w:color w:val="auto"/>
                <w:w w:val="86"/>
              </w:rPr>
              <w:t>07/07/2021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12.32%</w:t>
            </w:r>
          </w:p>
        </w:tc>
        <w:tc>
          <w:tcPr>
            <w:tcW w:w="680" w:type="dxa"/>
            <w:vAlign w:val="bottom"/>
          </w:tcPr>
          <w:p>
            <w:pPr>
              <w:jc w:val="right"/>
              <w:spacing w:after="0"/>
              <w:rPr>
                <w:sz w:val="20"/>
                <w:szCs w:val="20"/>
                <w:color w:val="auto"/>
              </w:rPr>
            </w:pPr>
            <w:r>
              <w:rPr>
                <w:rFonts w:ascii="Arial" w:cs="Arial" w:eastAsia="Arial" w:hAnsi="Arial"/>
                <w:sz w:val="12"/>
                <w:szCs w:val="12"/>
                <w:color w:val="auto"/>
              </w:rPr>
              <w:t>L+1,100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11,900,000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11,769,634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12,019,000</w:t>
            </w:r>
          </w:p>
        </w:tc>
        <w:tc>
          <w:tcPr>
            <w:tcW w:w="100" w:type="dxa"/>
            <w:vAlign w:val="bottom"/>
          </w:tcPr>
          <w:p>
            <w:pPr>
              <w:spacing w:after="0"/>
              <w:rPr>
                <w:sz w:val="12"/>
                <w:szCs w:val="12"/>
                <w:color w:val="auto"/>
              </w:rPr>
            </w:pPr>
          </w:p>
        </w:tc>
      </w:tr>
      <w:tr>
        <w:trPr>
          <w:trHeight w:val="148"/>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(10)</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08/01/2017</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Energy: Oil and Gas</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2,812,500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2,790,249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1,546,875</w:t>
            </w:r>
          </w:p>
        </w:tc>
        <w:tc>
          <w:tcPr>
            <w:tcW w:w="100" w:type="dxa"/>
            <w:vAlign w:val="bottom"/>
            <w:shd w:val="clear" w:color="auto" w:fill="CCECFF"/>
          </w:tcPr>
          <w:p>
            <w:pPr>
              <w:spacing w:after="0"/>
              <w:rPr>
                <w:sz w:val="12"/>
                <w:szCs w:val="12"/>
                <w:color w:val="auto"/>
              </w:rPr>
            </w:pPr>
          </w:p>
        </w:tc>
      </w:tr>
      <w:tr>
        <w:trPr>
          <w:trHeight w:val="149"/>
        </w:trPr>
        <w:tc>
          <w:tcPr>
            <w:tcW w:w="314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Veritext Corp. (f/k/a VT Buyer Acquisition Corp.)</w:t>
            </w:r>
          </w:p>
        </w:tc>
        <w:tc>
          <w:tcPr>
            <w:tcW w:w="640" w:type="dxa"/>
            <w:vAlign w:val="bottom"/>
            <w:tcBorders>
              <w:bottom w:val="single" w:sz="8" w:color="CCECFF"/>
            </w:tcBorders>
          </w:tcPr>
          <w:p>
            <w:pPr>
              <w:jc w:val="center"/>
              <w:spacing w:after="0"/>
              <w:rPr>
                <w:sz w:val="20"/>
                <w:szCs w:val="20"/>
                <w:color w:val="auto"/>
              </w:rPr>
            </w:pPr>
            <w:r>
              <w:rPr>
                <w:rFonts w:ascii="Arial" w:cs="Arial" w:eastAsia="Arial" w:hAnsi="Arial"/>
                <w:sz w:val="12"/>
                <w:szCs w:val="12"/>
                <w:color w:val="auto"/>
                <w:w w:val="86"/>
              </w:rPr>
              <w:t>01/30/2023</w:t>
            </w:r>
          </w:p>
        </w:tc>
        <w:tc>
          <w:tcPr>
            <w:tcW w:w="120" w:type="dxa"/>
            <w:vAlign w:val="bottom"/>
            <w:tcBorders>
              <w:bottom w:val="single" w:sz="8" w:color="CCECFF"/>
            </w:tcBorders>
          </w:tcPr>
          <w:p>
            <w:pPr>
              <w:spacing w:after="0"/>
              <w:rPr>
                <w:sz w:val="12"/>
                <w:szCs w:val="12"/>
                <w:color w:val="auto"/>
              </w:rPr>
            </w:pPr>
          </w:p>
        </w:tc>
        <w:tc>
          <w:tcPr>
            <w:tcW w:w="28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tcBorders>
              <w:bottom w:val="single" w:sz="8" w:color="CCECFF"/>
            </w:tcBorders>
            <w:gridSpan w:val="2"/>
          </w:tcPr>
          <w:p>
            <w:pPr>
              <w:jc w:val="right"/>
              <w:ind w:right="142"/>
              <w:spacing w:after="0"/>
              <w:rPr>
                <w:sz w:val="20"/>
                <w:szCs w:val="20"/>
                <w:color w:val="auto"/>
              </w:rPr>
            </w:pPr>
            <w:r>
              <w:rPr>
                <w:rFonts w:ascii="Arial" w:cs="Arial" w:eastAsia="Arial" w:hAnsi="Arial"/>
                <w:sz w:val="12"/>
                <w:szCs w:val="12"/>
                <w:color w:val="auto"/>
              </w:rPr>
              <w:t>10.15%</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L+900</w:t>
            </w:r>
          </w:p>
        </w:tc>
        <w:tc>
          <w:tcPr>
            <w:tcW w:w="900" w:type="dxa"/>
            <w:vAlign w:val="bottom"/>
            <w:tcBorders>
              <w:bottom w:val="single" w:sz="8" w:color="CCECFF"/>
            </w:tcBorders>
            <w:gridSpan w:val="2"/>
          </w:tcPr>
          <w:p>
            <w:pPr>
              <w:jc w:val="right"/>
              <w:spacing w:after="0"/>
              <w:rPr>
                <w:sz w:val="20"/>
                <w:szCs w:val="20"/>
                <w:color w:val="auto"/>
              </w:rPr>
            </w:pPr>
            <w:r>
              <w:rPr>
                <w:rFonts w:ascii="Arial" w:cs="Arial" w:eastAsia="Arial" w:hAnsi="Arial"/>
                <w:sz w:val="12"/>
                <w:szCs w:val="12"/>
                <w:color w:val="auto"/>
              </w:rPr>
              <w:t>2,690,625</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2,619,111</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2,636,813</w:t>
            </w:r>
          </w:p>
        </w:tc>
        <w:tc>
          <w:tcPr>
            <w:tcW w:w="100" w:type="dxa"/>
            <w:vAlign w:val="bottom"/>
            <w:tcBorders>
              <w:bottom w:val="single" w:sz="8" w:color="CCECFF"/>
            </w:tcBorders>
          </w:tcPr>
          <w:p>
            <w:pPr>
              <w:spacing w:after="0"/>
              <w:rPr>
                <w:sz w:val="12"/>
                <w:szCs w:val="12"/>
                <w:color w:val="auto"/>
              </w:rPr>
            </w:pPr>
          </w:p>
        </w:tc>
      </w:tr>
      <w:tr>
        <w:trPr>
          <w:trHeight w:val="142"/>
        </w:trPr>
        <w:tc>
          <w:tcPr>
            <w:tcW w:w="31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34,529,240</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33,160,508</w:t>
            </w:r>
          </w:p>
        </w:tc>
        <w:tc>
          <w:tcPr>
            <w:tcW w:w="10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 xml:space="preserve">Index </w:t>
            </w:r>
            <w:r>
              <w:rPr>
                <w:rFonts w:ascii="Arial" w:cs="Arial" w:eastAsia="Arial" w:hAnsi="Arial"/>
                <w:sz w:val="9"/>
                <w:szCs w:val="9"/>
                <w:b w:val="1"/>
                <w:bCs w:val="1"/>
                <w:color w:val="auto"/>
              </w:rPr>
              <w:t>(1)</w:t>
            </w: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300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rPr>
              <w:t xml:space="preserve">Subordinated Debt/Corporate Notes—1.8% </w:t>
            </w:r>
            <w:r>
              <w:rPr>
                <w:rFonts w:ascii="Arial" w:cs="Arial" w:eastAsia="Arial" w:hAnsi="Arial"/>
                <w:sz w:val="9"/>
                <w:szCs w:val="9"/>
                <w:b w:val="1"/>
                <w:bCs w:val="1"/>
                <w:color w:val="auto"/>
              </w:rPr>
              <w:t>(8)</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26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00" w:type="dxa"/>
            <w:vAlign w:val="bottom"/>
          </w:tcPr>
          <w:p>
            <w:pPr>
              <w:spacing w:after="0"/>
              <w:rPr>
                <w:sz w:val="20"/>
                <w:szCs w:val="20"/>
                <w:color w:val="auto"/>
              </w:rPr>
            </w:pPr>
            <w:r>
              <w:rPr>
                <w:rFonts w:ascii="Arial" w:cs="Arial" w:eastAsia="Arial" w:hAnsi="Arial"/>
                <w:sz w:val="12"/>
                <w:szCs w:val="12"/>
                <w:color w:val="auto"/>
              </w:rPr>
              <w:t xml:space="preserve">Affinion International Holdings Limited </w:t>
            </w:r>
            <w:r>
              <w:rPr>
                <w:rFonts w:ascii="Arial" w:cs="Arial" w:eastAsia="Arial" w:hAnsi="Arial"/>
                <w:sz w:val="9"/>
                <w:szCs w:val="9"/>
                <w:color w:val="auto"/>
              </w:rPr>
              <w:t>(5), (6), (10)</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07/30/2018</w:t>
            </w:r>
          </w:p>
        </w:tc>
        <w:tc>
          <w:tcPr>
            <w:tcW w:w="240" w:type="dxa"/>
            <w:vAlign w:val="bottom"/>
          </w:tcPr>
          <w:p>
            <w:pPr>
              <w:spacing w:after="0"/>
              <w:rPr>
                <w:sz w:val="13"/>
                <w:szCs w:val="13"/>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7.50%</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1,157,978</w:t>
            </w:r>
          </w:p>
        </w:tc>
        <w:tc>
          <w:tcPr>
            <w:tcW w:w="240" w:type="dxa"/>
            <w:vAlign w:val="bottom"/>
          </w:tcPr>
          <w:p>
            <w:pPr>
              <w:spacing w:after="0"/>
              <w:rPr>
                <w:sz w:val="13"/>
                <w:szCs w:val="13"/>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1,080,596</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1,123,239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(PIK 4.00%)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12/31/2021</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2"/>
              </w:rPr>
              <w:t>Metals and Mining</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17.00%</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370,370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370,370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370,370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17.00%)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Credit Infonet,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10/26/2020</w:t>
            </w:r>
          </w:p>
        </w:tc>
        <w:tc>
          <w:tcPr>
            <w:tcW w:w="240" w:type="dxa"/>
            <w:vAlign w:val="bottom"/>
          </w:tcPr>
          <w:p>
            <w:pPr>
              <w:spacing w:after="0"/>
              <w:rPr>
                <w:sz w:val="13"/>
                <w:szCs w:val="13"/>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13.00%</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2,083,184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2,043,434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2,065,255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(PIK 0.75%)</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Sonny's Enterprises,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06/01/2023</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11.00%</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4,659,240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4,726,250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UniTek Global Services,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07/15/2019</w:t>
            </w:r>
          </w:p>
        </w:tc>
        <w:tc>
          <w:tcPr>
            <w:tcW w:w="240" w:type="dxa"/>
            <w:vAlign w:val="bottom"/>
          </w:tcPr>
          <w:p>
            <w:pPr>
              <w:spacing w:after="0"/>
              <w:rPr>
                <w:sz w:val="13"/>
                <w:szCs w:val="13"/>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15.00%</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158,355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158,355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161,522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0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96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(PIK 15.00%)</w:t>
            </w: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8,311,995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8,446,636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Equity—0.3% </w:t>
            </w:r>
            <w:r>
              <w:rPr>
                <w:rFonts w:ascii="Arial" w:cs="Arial" w:eastAsia="Arial" w:hAnsi="Arial"/>
                <w:sz w:val="9"/>
                <w:szCs w:val="9"/>
                <w:b w:val="1"/>
                <w:bCs w:val="1"/>
                <w:color w:val="auto"/>
              </w:rPr>
              <w:t>(7), (8)</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13.50%</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1,047,317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670,283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1,410,905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 xml:space="preserve">Common Equity/Warrants—1.4% </w:t>
            </w:r>
            <w:r>
              <w:rPr>
                <w:rFonts w:ascii="Arial" w:cs="Arial" w:eastAsia="Arial" w:hAnsi="Arial"/>
                <w:sz w:val="9"/>
                <w:szCs w:val="9"/>
                <w:b w:val="1"/>
                <w:bCs w:val="1"/>
                <w:color w:val="auto"/>
              </w:rPr>
              <w:t>(7), (8)</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99,029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3,514,572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2,069,165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Affinion Group Holdings, Inc., Series C and Series D</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4,298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1,186,649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4,567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American Gilsonite Company</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2"/>
              </w:rPr>
              <w:t>Metals and Mining</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215,182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215,182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Corfin InvestCo, L.P.</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350,852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(9)</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e.l.f. Beauty, Inc.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55,399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148,368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1,540,477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 (Interior Specialists,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58,044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160,442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Gauge InfosoftCoInvest, LLC (The Infosoft Group, LLC)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Media: Broadcasting and Subscription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609,851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Patriot National,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Banking, Finance, Insurance and Real Estate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27,995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33,465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color w:val="auto"/>
              </w:rPr>
              <w:t>TPC Broadband Investors, LP</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524,119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524,119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524,119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000" w:type="dxa"/>
            <w:vAlign w:val="bottom"/>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(12)</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TPC Broadband Investors,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475,881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3000" w:type="dxa"/>
            <w:vAlign w:val="bottom"/>
            <w:shd w:val="clear" w:color="auto" w:fill="CCECFF"/>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(9), (12)</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149,617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698,476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Common Equity/Warrants</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264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6,474,929</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6,206,596</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730,704,555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731,482,714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Equivalents—9.7%</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BlackRock Federal FD Instl 30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42,216,027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42,216,027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1,750,279</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1,758,026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43,966,306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43,974,053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Equivalents—170.0%</w:t>
            </w: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26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774,670,861</w:t>
            </w: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775,456,767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Assets—(70.0)%</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(319,230,077)</w:t>
            </w:r>
          </w:p>
        </w:tc>
        <w:tc>
          <w:tcPr>
            <w:tcW w:w="0" w:type="dxa"/>
            <w:vAlign w:val="bottom"/>
          </w:tcPr>
          <w:p>
            <w:pPr>
              <w:spacing w:after="0"/>
              <w:rPr>
                <w:sz w:val="1"/>
                <w:szCs w:val="1"/>
                <w:color w:val="auto"/>
              </w:rPr>
            </w:pPr>
          </w:p>
        </w:tc>
      </w:tr>
      <w:tr>
        <w:trPr>
          <w:trHeight w:val="148"/>
        </w:trPr>
        <w:tc>
          <w:tcPr>
            <w:tcW w:w="30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26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456,226,690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599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76" w:lineRule="exact"/>
        <w:rPr>
          <w:sz w:val="20"/>
          <w:szCs w:val="20"/>
          <w:color w:val="auto"/>
        </w:rPr>
      </w:pPr>
    </w:p>
    <w:p>
      <w:pPr>
        <w:ind w:left="500" w:right="80" w:hanging="492"/>
        <w:spacing w:after="0" w:line="360" w:lineRule="auto"/>
        <w:tabs>
          <w:tab w:leader="none" w:pos="500" w:val="left"/>
        </w:tabs>
        <w:numPr>
          <w:ilvl w:val="0"/>
          <w:numId w:val="3"/>
        </w:numPr>
        <w:rPr>
          <w:rFonts w:ascii="Arial" w:cs="Arial" w:eastAsia="Arial" w:hAnsi="Arial"/>
          <w:sz w:val="9"/>
          <w:szCs w:val="9"/>
          <w:color w:val="auto"/>
        </w:rPr>
      </w:pPr>
      <w:r>
        <w:rPr>
          <w:rFonts w:ascii="Arial" w:cs="Arial" w:eastAsia="Arial" w:hAnsi="Arial"/>
          <w:sz w:val="9"/>
          <w:szCs w:val="9"/>
          <w:color w:val="auto"/>
        </w:rPr>
        <w:t>Represents floating rate instruments that accrue interest at a predetermined spread relative to an index, typically the applicable London Interbank Offered Rate, or LIBOR or “L,” the Euro Interbank Offered Rate, or EURIBOR or “E,” or Prime rate, or “P.” All securities are subject to a LIBOR or Prime rate floor where a spread is provided, unless noted. The spread provided includes payment-in-kind, or PIK, interest and other fee rates, if any.</w:t>
      </w:r>
    </w:p>
    <w:p>
      <w:pPr>
        <w:ind w:left="500" w:hanging="492"/>
        <w:spacing w:after="0"/>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500" w:right="120" w:hanging="492"/>
        <w:spacing w:after="0" w:line="252" w:lineRule="auto"/>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500" w:right="60" w:hanging="492"/>
        <w:spacing w:after="0" w:line="252" w:lineRule="auto"/>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500" w:right="240" w:hanging="492"/>
        <w:spacing w:after="0" w:line="252" w:lineRule="auto"/>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20" w:lineRule="exact"/>
        <w:rPr>
          <w:rFonts w:ascii="Arial" w:cs="Arial" w:eastAsia="Arial" w:hAnsi="Arial"/>
          <w:sz w:val="12"/>
          <w:szCs w:val="12"/>
          <w:color w:val="auto"/>
        </w:rPr>
      </w:pPr>
    </w:p>
    <w:p>
      <w:pPr>
        <w:ind w:left="500" w:hanging="492"/>
        <w:spacing w:after="0"/>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500" w:hanging="492"/>
        <w:spacing w:after="0"/>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500" w:hanging="492"/>
        <w:spacing w:after="0"/>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500" w:hanging="492"/>
        <w:spacing w:after="0"/>
        <w:tabs>
          <w:tab w:leader="none" w:pos="50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500" w:right="140" w:hanging="492"/>
        <w:spacing w:after="0" w:line="252" w:lineRule="auto"/>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2017, qualifying assets represent 93% of our total assets and non-qualifying assets represent 7% of our total assets.</w:t>
      </w:r>
    </w:p>
    <w:p>
      <w:pPr>
        <w:spacing w:after="0" w:line="20" w:lineRule="exact"/>
        <w:rPr>
          <w:rFonts w:ascii="Arial" w:cs="Arial" w:eastAsia="Arial" w:hAnsi="Arial"/>
          <w:sz w:val="12"/>
          <w:szCs w:val="12"/>
          <w:color w:val="auto"/>
        </w:rPr>
      </w:pPr>
    </w:p>
    <w:p>
      <w:pPr>
        <w:ind w:left="500" w:hanging="492"/>
        <w:spacing w:after="0"/>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Canadian Dollars (C$) or in Euros (€) as denoted.</w:t>
      </w:r>
    </w:p>
    <w:p>
      <w:pPr>
        <w:spacing w:after="0" w:line="37" w:lineRule="exact"/>
        <w:rPr>
          <w:rFonts w:ascii="Arial" w:cs="Arial" w:eastAsia="Arial" w:hAnsi="Arial"/>
          <w:sz w:val="12"/>
          <w:szCs w:val="12"/>
          <w:color w:val="auto"/>
        </w:rPr>
      </w:pPr>
    </w:p>
    <w:p>
      <w:pPr>
        <w:ind w:left="500" w:hanging="492"/>
        <w:spacing w:after="0"/>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2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29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80" w:type="dxa"/>
            <w:vAlign w:val="bottom"/>
          </w:tcPr>
          <w:p>
            <w:pPr>
              <w:jc w:val="center"/>
              <w:ind w:right="102"/>
              <w:spacing w:after="0"/>
              <w:rPr>
                <w:sz w:val="20"/>
                <w:szCs w:val="20"/>
                <w:color w:val="auto"/>
              </w:rPr>
            </w:pPr>
            <w:r>
              <w:rPr>
                <w:rFonts w:ascii="Arial" w:cs="Arial" w:eastAsia="Arial" w:hAnsi="Arial"/>
                <w:sz w:val="12"/>
                <w:szCs w:val="12"/>
                <w:b w:val="1"/>
                <w:bCs w:val="1"/>
                <w:color w:val="auto"/>
                <w:w w:val="94"/>
              </w:rPr>
              <w:t>Maturity</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 xml:space="preserve">Index </w:t>
            </w:r>
            <w:r>
              <w:rPr>
                <w:rFonts w:ascii="Arial" w:cs="Arial" w:eastAsia="Arial" w:hAnsi="Arial"/>
                <w:sz w:val="9"/>
                <w:szCs w:val="9"/>
                <w:b w:val="1"/>
                <w:bCs w:val="1"/>
                <w:color w:val="auto"/>
              </w:rPr>
              <w:t>(1)</w:t>
            </w:r>
          </w:p>
        </w:tc>
        <w:tc>
          <w:tcPr>
            <w:tcW w:w="68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2"/>
                <w:szCs w:val="12"/>
                <w:color w:val="auto"/>
              </w:rPr>
            </w:pPr>
          </w:p>
        </w:tc>
        <w:tc>
          <w:tcPr>
            <w:tcW w:w="68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r>
      <w:tr>
        <w:trPr>
          <w:trHeight w:val="142"/>
        </w:trPr>
        <w:tc>
          <w:tcPr>
            <w:tcW w:w="422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0"/>
              </w:rPr>
              <w:t xml:space="preserve">Investments in Non-Controlled, Non-Affiliated Portfolio Companies—159.3% </w:t>
            </w:r>
            <w:r>
              <w:rPr>
                <w:rFonts w:ascii="Arial" w:cs="Arial" w:eastAsia="Arial" w:hAnsi="Arial"/>
                <w:sz w:val="9"/>
                <w:szCs w:val="9"/>
                <w:b w:val="1"/>
                <w:bCs w:val="1"/>
                <w:color w:val="auto"/>
                <w:w w:val="90"/>
              </w:rPr>
              <w:t>(3), (4)</w:t>
            </w:r>
          </w:p>
        </w:tc>
        <w:tc>
          <w:tcPr>
            <w:tcW w:w="24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b w:val="1"/>
                <w:bCs w:val="1"/>
                <w:color w:val="auto"/>
              </w:rPr>
              <w:t>First Lien Secured Debt—145.9%</w:t>
            </w:r>
          </w:p>
        </w:tc>
        <w:tc>
          <w:tcPr>
            <w:tcW w:w="12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Advanced Cable Communications,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08/09/2021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12,255,990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12,250,000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08/09/2021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(80,000)</w:t>
            </w: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ALG USA Holdings,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02/28/2019</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12,064,454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12,037,105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12,064,454</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(6), (11)</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04/04/2022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tcPr>
          <w:p>
            <w:pPr>
              <w:jc w:val="right"/>
              <w:spacing w:after="0"/>
              <w:rPr>
                <w:sz w:val="20"/>
                <w:szCs w:val="20"/>
                <w:color w:val="auto"/>
              </w:rPr>
            </w:pPr>
            <w:r>
              <w:rPr>
                <w:rFonts w:ascii="Arial" w:cs="Arial" w:eastAsia="Arial" w:hAnsi="Arial"/>
                <w:sz w:val="12"/>
                <w:szCs w:val="12"/>
                <w:color w:val="auto"/>
              </w:rPr>
              <w:t>3,943,925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3,925,777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3,946,410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American Bath Group,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10/02/2023</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2,970,000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2,992,500</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American Scaffold</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03/31/2022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L+650</w:t>
            </w:r>
          </w:p>
        </w:tc>
        <w:tc>
          <w:tcPr>
            <w:tcW w:w="680" w:type="dxa"/>
            <w:vAlign w:val="bottom"/>
          </w:tcPr>
          <w:p>
            <w:pPr>
              <w:jc w:val="right"/>
              <w:spacing w:after="0"/>
              <w:rPr>
                <w:sz w:val="20"/>
                <w:szCs w:val="20"/>
                <w:color w:val="auto"/>
              </w:rPr>
            </w:pPr>
            <w:r>
              <w:rPr>
                <w:rFonts w:ascii="Arial" w:cs="Arial" w:eastAsia="Arial" w:hAnsi="Arial"/>
                <w:sz w:val="12"/>
                <w:szCs w:val="12"/>
                <w:color w:val="auto"/>
              </w:rPr>
              <w:t>4,937,500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4,866,801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4,888,125</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AMF Bowling Centers,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09/19/2023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Retail</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14,850,608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14,931,300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AP Gaming I,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12/21/2020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9.25%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L+825</w:t>
            </w:r>
          </w:p>
        </w:tc>
        <w:tc>
          <w:tcPr>
            <w:tcW w:w="680" w:type="dxa"/>
            <w:vAlign w:val="bottom"/>
          </w:tcPr>
          <w:p>
            <w:pPr>
              <w:jc w:val="right"/>
              <w:spacing w:after="0"/>
              <w:rPr>
                <w:sz w:val="20"/>
                <w:szCs w:val="20"/>
                <w:color w:val="auto"/>
              </w:rPr>
            </w:pPr>
            <w:r>
              <w:rPr>
                <w:rFonts w:ascii="Arial" w:cs="Arial" w:eastAsia="Arial" w:hAnsi="Arial"/>
                <w:sz w:val="12"/>
                <w:szCs w:val="12"/>
                <w:color w:val="auto"/>
              </w:rPr>
              <w:t>6,534,878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6,462,308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6,220,419</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04/22/2022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9,787,810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9,825,375</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Azure Midstream Energy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11/15/2018</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8"/>
              </w:rPr>
              <w:t>Energy: Oil and Gas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L+650</w:t>
            </w:r>
          </w:p>
        </w:tc>
        <w:tc>
          <w:tcPr>
            <w:tcW w:w="680" w:type="dxa"/>
            <w:vAlign w:val="bottom"/>
          </w:tcPr>
          <w:p>
            <w:pPr>
              <w:jc w:val="right"/>
              <w:spacing w:after="0"/>
              <w:rPr>
                <w:sz w:val="20"/>
                <w:szCs w:val="20"/>
                <w:color w:val="auto"/>
              </w:rPr>
            </w:pPr>
            <w:r>
              <w:rPr>
                <w:rFonts w:ascii="Arial" w:cs="Arial" w:eastAsia="Arial" w:hAnsi="Arial"/>
                <w:sz w:val="12"/>
                <w:szCs w:val="12"/>
                <w:color w:val="auto"/>
              </w:rPr>
              <w:t>5,125,684</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5,042,414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4,228,689</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Blue Bird Body Company</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06/29/2020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3"/>
              </w:rPr>
              <w:t>Automotive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3,498,670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3,462,806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3,498,670</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Broder Bros., Co., Tranche A</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06/03/2021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L+575</w:t>
            </w:r>
          </w:p>
        </w:tc>
        <w:tc>
          <w:tcPr>
            <w:tcW w:w="680" w:type="dxa"/>
            <w:vAlign w:val="bottom"/>
          </w:tcPr>
          <w:p>
            <w:pPr>
              <w:jc w:val="right"/>
              <w:spacing w:after="0"/>
              <w:rPr>
                <w:sz w:val="20"/>
                <w:szCs w:val="20"/>
                <w:color w:val="auto"/>
              </w:rPr>
            </w:pPr>
            <w:r>
              <w:rPr>
                <w:rFonts w:ascii="Arial" w:cs="Arial" w:eastAsia="Arial" w:hAnsi="Arial"/>
                <w:sz w:val="12"/>
                <w:szCs w:val="12"/>
                <w:color w:val="auto"/>
              </w:rPr>
              <w:t>2,440,000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2,397,229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2,422,820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B</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06/03/2021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13.50%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L+1,225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2,460,000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2,415,653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2,442,679</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Camin Cargo Control,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06/30/2021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Transportation: Cargo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L+475</w:t>
            </w:r>
          </w:p>
        </w:tc>
        <w:tc>
          <w:tcPr>
            <w:tcW w:w="680" w:type="dxa"/>
            <w:vAlign w:val="bottom"/>
          </w:tcPr>
          <w:p>
            <w:pPr>
              <w:jc w:val="right"/>
              <w:spacing w:after="0"/>
              <w:rPr>
                <w:sz w:val="20"/>
                <w:szCs w:val="20"/>
                <w:color w:val="auto"/>
              </w:rPr>
            </w:pPr>
            <w:r>
              <w:rPr>
                <w:rFonts w:ascii="Arial" w:cs="Arial" w:eastAsia="Arial" w:hAnsi="Arial"/>
                <w:sz w:val="12"/>
                <w:szCs w:val="12"/>
                <w:color w:val="auto"/>
              </w:rPr>
              <w:t>2,468,750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2,448,157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2,370,000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CareCentrix,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07/08/2021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4,847,215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4,863,375</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07/02/2020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L+700</w:t>
            </w:r>
          </w:p>
        </w:tc>
        <w:tc>
          <w:tcPr>
            <w:tcW w:w="680" w:type="dxa"/>
            <w:vAlign w:val="bottom"/>
          </w:tcPr>
          <w:p>
            <w:pPr>
              <w:jc w:val="right"/>
              <w:spacing w:after="0"/>
              <w:rPr>
                <w:sz w:val="20"/>
                <w:szCs w:val="20"/>
                <w:color w:val="auto"/>
              </w:rPr>
            </w:pPr>
            <w:r>
              <w:rPr>
                <w:rFonts w:ascii="Arial" w:cs="Arial" w:eastAsia="Arial" w:hAnsi="Arial"/>
                <w:sz w:val="12"/>
                <w:szCs w:val="12"/>
                <w:color w:val="auto"/>
              </w:rPr>
              <w:t>4,962,500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4,930,912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4,850,844</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CD&amp;R TZ Purchaser,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07/21/2023</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12,179,928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12,343,750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Charming Charlie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12/24/2019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Retail</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9.00%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tcPr>
          <w:p>
            <w:pPr>
              <w:jc w:val="right"/>
              <w:spacing w:after="0"/>
              <w:rPr>
                <w:sz w:val="20"/>
                <w:szCs w:val="20"/>
                <w:color w:val="auto"/>
              </w:rPr>
            </w:pPr>
            <w:r>
              <w:rPr>
                <w:rFonts w:ascii="Arial" w:cs="Arial" w:eastAsia="Arial" w:hAnsi="Arial"/>
                <w:sz w:val="12"/>
                <w:szCs w:val="12"/>
                <w:color w:val="auto"/>
              </w:rPr>
              <w:t>4,098,750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4,061,551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3,750,357</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Chicken Soup for the Soul Publishing,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01/08/2019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4,828,571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4,801,254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4,732,000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Corfin Industries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10.75%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L+975</w:t>
            </w:r>
          </w:p>
        </w:tc>
        <w:tc>
          <w:tcPr>
            <w:tcW w:w="680" w:type="dxa"/>
            <w:vAlign w:val="bottom"/>
          </w:tcPr>
          <w:p>
            <w:pPr>
              <w:jc w:val="right"/>
              <w:spacing w:after="0"/>
              <w:rPr>
                <w:sz w:val="20"/>
                <w:szCs w:val="20"/>
                <w:color w:val="auto"/>
              </w:rPr>
            </w:pPr>
            <w:r>
              <w:rPr>
                <w:rFonts w:ascii="Arial" w:cs="Arial" w:eastAsia="Arial" w:hAnsi="Arial"/>
                <w:sz w:val="12"/>
                <w:szCs w:val="12"/>
                <w:color w:val="auto"/>
              </w:rPr>
              <w:t>6,272,600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6,163,749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6,272,600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(10)</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518,033</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CRGT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12/21/2020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L+650</w:t>
            </w:r>
          </w:p>
        </w:tc>
        <w:tc>
          <w:tcPr>
            <w:tcW w:w="680" w:type="dxa"/>
            <w:vAlign w:val="bottom"/>
          </w:tcPr>
          <w:p>
            <w:pPr>
              <w:jc w:val="right"/>
              <w:spacing w:after="0"/>
              <w:rPr>
                <w:sz w:val="20"/>
                <w:szCs w:val="20"/>
                <w:color w:val="auto"/>
              </w:rPr>
            </w:pPr>
            <w:r>
              <w:rPr>
                <w:rFonts w:ascii="Arial" w:cs="Arial" w:eastAsia="Arial" w:hAnsi="Arial"/>
                <w:sz w:val="12"/>
                <w:szCs w:val="12"/>
                <w:color w:val="auto"/>
              </w:rPr>
              <w:t>10,531,671</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10,451,145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10,505,342</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Curo Health Services Holdings,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02/07/2022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1,970,000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1,953,997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1,970,000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DBI Holding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08/02/2021</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L+525</w:t>
            </w:r>
          </w:p>
        </w:tc>
        <w:tc>
          <w:tcPr>
            <w:tcW w:w="680" w:type="dxa"/>
            <w:vAlign w:val="bottom"/>
          </w:tcPr>
          <w:p>
            <w:pPr>
              <w:jc w:val="right"/>
              <w:spacing w:after="0"/>
              <w:rPr>
                <w:sz w:val="20"/>
                <w:szCs w:val="20"/>
                <w:color w:val="auto"/>
              </w:rPr>
            </w:pPr>
            <w:r>
              <w:rPr>
                <w:rFonts w:ascii="Arial" w:cs="Arial" w:eastAsia="Arial" w:hAnsi="Arial"/>
                <w:sz w:val="12"/>
                <w:szCs w:val="12"/>
                <w:color w:val="auto"/>
              </w:rPr>
              <w:t>10,000,000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9,900,163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9,900,000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DCS Business Services,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03/19/2018</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L+725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2,237,139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2,225,615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2,237,139</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DISA Global Solutions,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12/09/2020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L+450</w:t>
            </w:r>
          </w:p>
        </w:tc>
        <w:tc>
          <w:tcPr>
            <w:tcW w:w="680" w:type="dxa"/>
            <w:vAlign w:val="bottom"/>
          </w:tcPr>
          <w:p>
            <w:pPr>
              <w:jc w:val="right"/>
              <w:spacing w:after="0"/>
              <w:rPr>
                <w:sz w:val="20"/>
                <w:szCs w:val="20"/>
                <w:color w:val="auto"/>
              </w:rPr>
            </w:pPr>
            <w:r>
              <w:rPr>
                <w:rFonts w:ascii="Arial" w:cs="Arial" w:eastAsia="Arial" w:hAnsi="Arial"/>
                <w:sz w:val="12"/>
                <w:szCs w:val="12"/>
                <w:color w:val="auto"/>
              </w:rPr>
              <w:t>4,925,000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4,889,096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4,875,750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06/30/2020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L+475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4,687,500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4,659,016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4,687,500</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09/10/2020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L+475</w:t>
            </w:r>
          </w:p>
        </w:tc>
        <w:tc>
          <w:tcPr>
            <w:tcW w:w="680" w:type="dxa"/>
            <w:vAlign w:val="bottom"/>
          </w:tcPr>
          <w:p>
            <w:pPr>
              <w:jc w:val="right"/>
              <w:spacing w:after="0"/>
              <w:rPr>
                <w:sz w:val="20"/>
                <w:szCs w:val="20"/>
                <w:color w:val="auto"/>
              </w:rPr>
            </w:pPr>
            <w:r>
              <w:rPr>
                <w:rFonts w:ascii="Arial" w:cs="Arial" w:eastAsia="Arial" w:hAnsi="Arial"/>
                <w:sz w:val="12"/>
                <w:szCs w:val="12"/>
                <w:color w:val="auto"/>
              </w:rPr>
              <w:t>8,550,000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8,513,835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8,507,250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(10)</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09/10/2020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Education Networks of America,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05/06/2021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L+700</w:t>
            </w:r>
          </w:p>
        </w:tc>
        <w:tc>
          <w:tcPr>
            <w:tcW w:w="680" w:type="dxa"/>
            <w:vAlign w:val="bottom"/>
          </w:tcPr>
          <w:p>
            <w:pPr>
              <w:jc w:val="right"/>
              <w:spacing w:after="0"/>
              <w:rPr>
                <w:sz w:val="20"/>
                <w:szCs w:val="20"/>
                <w:color w:val="auto"/>
              </w:rPr>
            </w:pPr>
            <w:r>
              <w:rPr>
                <w:rFonts w:ascii="Arial" w:cs="Arial" w:eastAsia="Arial" w:hAnsi="Arial"/>
                <w:sz w:val="12"/>
                <w:szCs w:val="12"/>
                <w:color w:val="auto"/>
              </w:rPr>
              <w:t>8,641,304</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8,599,431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8,598,098</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Education Networks of America, Inc. (Revolver)</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05/06/2021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L+700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434,783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434,783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434,783</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(10)</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05/06/2021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869,565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06/15/2022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10,972,500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10,864,398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10,972,500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Emerging Markets Communications,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07/01/2021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L+575</w:t>
            </w:r>
          </w:p>
        </w:tc>
        <w:tc>
          <w:tcPr>
            <w:tcW w:w="680" w:type="dxa"/>
            <w:vAlign w:val="bottom"/>
          </w:tcPr>
          <w:p>
            <w:pPr>
              <w:jc w:val="right"/>
              <w:spacing w:after="0"/>
              <w:rPr>
                <w:sz w:val="20"/>
                <w:szCs w:val="20"/>
                <w:color w:val="auto"/>
              </w:rPr>
            </w:pPr>
            <w:r>
              <w:rPr>
                <w:rFonts w:ascii="Arial" w:cs="Arial" w:eastAsia="Arial" w:hAnsi="Arial"/>
                <w:sz w:val="12"/>
                <w:szCs w:val="12"/>
                <w:color w:val="auto"/>
              </w:rPr>
              <w:t>4,937,500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4,875,844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4,702,969</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FHC Health Systems,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12/23/2021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L+400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4,925,000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4,884,041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4,798,821</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GlobalLogic Holdings,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05/31/2019</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L+525</w:t>
            </w:r>
          </w:p>
        </w:tc>
        <w:tc>
          <w:tcPr>
            <w:tcW w:w="680" w:type="dxa"/>
            <w:vAlign w:val="bottom"/>
          </w:tcPr>
          <w:p>
            <w:pPr>
              <w:jc w:val="right"/>
              <w:spacing w:after="0"/>
              <w:rPr>
                <w:sz w:val="20"/>
                <w:szCs w:val="20"/>
                <w:color w:val="auto"/>
              </w:rPr>
            </w:pPr>
            <w:r>
              <w:rPr>
                <w:rFonts w:ascii="Arial" w:cs="Arial" w:eastAsia="Arial" w:hAnsi="Arial"/>
                <w:sz w:val="12"/>
                <w:szCs w:val="12"/>
                <w:color w:val="auto"/>
              </w:rPr>
              <w:t>3,890,000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3,867,640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3,880,275</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Greenway Health,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11/04/2020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6,807,500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6,765,938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6,620,294</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GTCR Valor Companies,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06/16/2023</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tcPr>
          <w:p>
            <w:pPr>
              <w:jc w:val="right"/>
              <w:spacing w:after="0"/>
              <w:rPr>
                <w:sz w:val="20"/>
                <w:szCs w:val="20"/>
                <w:color w:val="auto"/>
              </w:rPr>
            </w:pPr>
            <w:r>
              <w:rPr>
                <w:rFonts w:ascii="Arial" w:cs="Arial" w:eastAsia="Arial" w:hAnsi="Arial"/>
                <w:sz w:val="12"/>
                <w:szCs w:val="12"/>
                <w:color w:val="auto"/>
              </w:rPr>
              <w:t>7,481,250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7,191,975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7,116,539</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Harbortouch Payments,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05/31/2022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6,956,250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6,889,369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7,025,812</w:t>
            </w:r>
          </w:p>
        </w:tc>
        <w:tc>
          <w:tcPr>
            <w:tcW w:w="120" w:type="dxa"/>
            <w:vAlign w:val="bottom"/>
            <w:shd w:val="clear" w:color="auto" w:fill="CCECFF"/>
          </w:tcPr>
          <w:p>
            <w:pPr>
              <w:spacing w:after="0"/>
              <w:rPr>
                <w:sz w:val="12"/>
                <w:szCs w:val="12"/>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color w:val="auto"/>
              </w:rPr>
              <w:t>Highline Aftermarket Acquisition,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04/01/2022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L+475</w:t>
            </w:r>
          </w:p>
        </w:tc>
        <w:tc>
          <w:tcPr>
            <w:tcW w:w="680" w:type="dxa"/>
            <w:vAlign w:val="bottom"/>
          </w:tcPr>
          <w:p>
            <w:pPr>
              <w:jc w:val="right"/>
              <w:spacing w:after="0"/>
              <w:rPr>
                <w:sz w:val="20"/>
                <w:szCs w:val="20"/>
                <w:color w:val="auto"/>
              </w:rPr>
            </w:pPr>
            <w:r>
              <w:rPr>
                <w:rFonts w:ascii="Arial" w:cs="Arial" w:eastAsia="Arial" w:hAnsi="Arial"/>
                <w:sz w:val="12"/>
                <w:szCs w:val="12"/>
                <w:color w:val="auto"/>
              </w:rPr>
              <w:t>7,312,500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7,244,146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7,275,937</w:t>
            </w:r>
          </w:p>
        </w:tc>
        <w:tc>
          <w:tcPr>
            <w:tcW w:w="120" w:type="dxa"/>
            <w:vAlign w:val="bottom"/>
          </w:tcPr>
          <w:p>
            <w:pPr>
              <w:spacing w:after="0"/>
              <w:rPr>
                <w:sz w:val="12"/>
                <w:szCs w:val="12"/>
                <w:color w:val="auto"/>
              </w:rPr>
            </w:pPr>
          </w:p>
        </w:tc>
      </w:tr>
      <w:tr>
        <w:trPr>
          <w:trHeight w:val="141"/>
        </w:trPr>
        <w:tc>
          <w:tcPr>
            <w:tcW w:w="2940" w:type="dxa"/>
            <w:vAlign w:val="bottom"/>
          </w:tcPr>
          <w:p>
            <w:pPr>
              <w:ind w:left="100"/>
              <w:spacing w:after="0"/>
              <w:rPr>
                <w:sz w:val="20"/>
                <w:szCs w:val="20"/>
                <w:color w:val="auto"/>
              </w:rPr>
            </w:pPr>
            <w:r>
              <w:rPr>
                <w:rFonts w:ascii="Arial" w:cs="Arial" w:eastAsia="Arial" w:hAnsi="Arial"/>
                <w:sz w:val="12"/>
                <w:szCs w:val="12"/>
                <w:color w:val="auto"/>
              </w:rPr>
              <w:t>(f/k/a DYK Prime Acquisition, LLC)</w:t>
            </w:r>
          </w:p>
        </w:tc>
        <w:tc>
          <w:tcPr>
            <w:tcW w:w="12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Hollander Sleep Products,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10/21/2020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1,165,886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1,153,016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1,142,569</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Hostway Corporation</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12/13/2019</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L+475</w:t>
            </w:r>
          </w:p>
        </w:tc>
        <w:tc>
          <w:tcPr>
            <w:tcW w:w="680" w:type="dxa"/>
            <w:vAlign w:val="bottom"/>
          </w:tcPr>
          <w:p>
            <w:pPr>
              <w:jc w:val="right"/>
              <w:spacing w:after="0"/>
              <w:rPr>
                <w:sz w:val="20"/>
                <w:szCs w:val="20"/>
                <w:color w:val="auto"/>
              </w:rPr>
            </w:pPr>
            <w:r>
              <w:rPr>
                <w:rFonts w:ascii="Arial" w:cs="Arial" w:eastAsia="Arial" w:hAnsi="Arial"/>
                <w:sz w:val="12"/>
                <w:szCs w:val="12"/>
                <w:color w:val="auto"/>
              </w:rPr>
              <w:t>2,624,730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2,610,592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2,183,890</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08/05/2019</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6,256,250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6,218,559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5,505,500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(11)</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11/04/2020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L+625</w:t>
            </w:r>
          </w:p>
        </w:tc>
        <w:tc>
          <w:tcPr>
            <w:tcW w:w="680" w:type="dxa"/>
            <w:vAlign w:val="bottom"/>
          </w:tcPr>
          <w:p>
            <w:pPr>
              <w:jc w:val="right"/>
              <w:spacing w:after="0"/>
              <w:rPr>
                <w:sz w:val="20"/>
                <w:szCs w:val="20"/>
                <w:color w:val="auto"/>
              </w:rPr>
            </w:pPr>
            <w:r>
              <w:rPr>
                <w:rFonts w:ascii="Arial" w:cs="Arial" w:eastAsia="Arial" w:hAnsi="Arial"/>
                <w:sz w:val="12"/>
                <w:szCs w:val="12"/>
                <w:color w:val="auto"/>
              </w:rPr>
              <w:t>6,225,820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6,133,990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6,225,820</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Idera,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04/09/2021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7,942,494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7,293,179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7,684,363</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(11)</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05/01/2019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tcPr>
          <w:p>
            <w:pPr>
              <w:jc w:val="right"/>
              <w:spacing w:after="0"/>
              <w:rPr>
                <w:sz w:val="20"/>
                <w:szCs w:val="20"/>
                <w:color w:val="auto"/>
              </w:rPr>
            </w:pPr>
            <w:r>
              <w:rPr>
                <w:rFonts w:ascii="Arial" w:cs="Arial" w:eastAsia="Arial" w:hAnsi="Arial"/>
                <w:sz w:val="12"/>
                <w:szCs w:val="12"/>
                <w:color w:val="auto"/>
              </w:rPr>
              <w:t>8,676,097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8,614,521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8,242,292</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Imagine! Print Solutions,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03/30/2022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5,974,987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5,914,562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6,027,269</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Instant Web, LLC, Term Loan A</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03/28/2019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L+450</w:t>
            </w:r>
          </w:p>
        </w:tc>
        <w:tc>
          <w:tcPr>
            <w:tcW w:w="680" w:type="dxa"/>
            <w:vAlign w:val="bottom"/>
          </w:tcPr>
          <w:p>
            <w:pPr>
              <w:jc w:val="right"/>
              <w:spacing w:after="0"/>
              <w:rPr>
                <w:sz w:val="20"/>
                <w:szCs w:val="20"/>
                <w:color w:val="auto"/>
              </w:rPr>
            </w:pPr>
            <w:r>
              <w:rPr>
                <w:rFonts w:ascii="Arial" w:cs="Arial" w:eastAsia="Arial" w:hAnsi="Arial"/>
                <w:sz w:val="12"/>
                <w:szCs w:val="12"/>
                <w:color w:val="auto"/>
              </w:rPr>
              <w:t>5,277,938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5,235,239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5,277,938</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Instant Web, LLC, Term Loan B</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03/28/2019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12.00%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L+1,100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4,460,571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4,500,000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Interior Specialists,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06/30/2020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9.00%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tcPr>
          <w:p>
            <w:pPr>
              <w:jc w:val="right"/>
              <w:spacing w:after="0"/>
              <w:rPr>
                <w:sz w:val="20"/>
                <w:szCs w:val="20"/>
                <w:color w:val="auto"/>
              </w:rPr>
            </w:pPr>
            <w:r>
              <w:rPr>
                <w:rFonts w:ascii="Arial" w:cs="Arial" w:eastAsia="Arial" w:hAnsi="Arial"/>
                <w:sz w:val="12"/>
                <w:szCs w:val="12"/>
                <w:color w:val="auto"/>
              </w:rPr>
              <w:t>6,662,719</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6,609,864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6,662,719</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Inventus Power, Inc. (f/k/a ICC-Nexergy,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04/30/2020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4,882,266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4,846,935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4,686,976</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Jackson Hewitt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07/30/2020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Consumer Services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L+700</w:t>
            </w:r>
          </w:p>
        </w:tc>
        <w:tc>
          <w:tcPr>
            <w:tcW w:w="680" w:type="dxa"/>
            <w:vAlign w:val="bottom"/>
          </w:tcPr>
          <w:p>
            <w:pPr>
              <w:jc w:val="right"/>
              <w:spacing w:after="0"/>
              <w:rPr>
                <w:sz w:val="20"/>
                <w:szCs w:val="20"/>
                <w:color w:val="auto"/>
              </w:rPr>
            </w:pPr>
            <w:r>
              <w:rPr>
                <w:rFonts w:ascii="Arial" w:cs="Arial" w:eastAsia="Arial" w:hAnsi="Arial"/>
                <w:sz w:val="12"/>
                <w:szCs w:val="12"/>
                <w:color w:val="auto"/>
              </w:rPr>
              <w:t>4,900,000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4,820,995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4,753,000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02/19/2021</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4,002,471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3,932,760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3,925,841</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Kendra Scott,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07/17/2020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Retail</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tcPr>
          <w:p>
            <w:pPr>
              <w:jc w:val="right"/>
              <w:spacing w:after="0"/>
              <w:rPr>
                <w:sz w:val="20"/>
                <w:szCs w:val="20"/>
                <w:color w:val="auto"/>
              </w:rPr>
            </w:pPr>
            <w:r>
              <w:rPr>
                <w:rFonts w:ascii="Arial" w:cs="Arial" w:eastAsia="Arial" w:hAnsi="Arial"/>
                <w:sz w:val="12"/>
                <w:szCs w:val="12"/>
                <w:color w:val="auto"/>
              </w:rPr>
              <w:t>2,850,000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2,827,307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2,821,500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KHC Holdings,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10/31/2022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12,406,250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12,210,683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12,344,219</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(10)</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10/30/2020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1,209,677</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Lago Resort &amp; Casino,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03/07/2022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L+950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10,174,500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9,984,965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9,971,010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Lanyon Solutions,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11/13/2020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L+450</w:t>
            </w:r>
          </w:p>
        </w:tc>
        <w:tc>
          <w:tcPr>
            <w:tcW w:w="680" w:type="dxa"/>
            <w:vAlign w:val="bottom"/>
          </w:tcPr>
          <w:p>
            <w:pPr>
              <w:jc w:val="right"/>
              <w:spacing w:after="0"/>
              <w:rPr>
                <w:sz w:val="20"/>
                <w:szCs w:val="20"/>
                <w:color w:val="auto"/>
              </w:rPr>
            </w:pPr>
            <w:r>
              <w:rPr>
                <w:rFonts w:ascii="Arial" w:cs="Arial" w:eastAsia="Arial" w:hAnsi="Arial"/>
                <w:sz w:val="12"/>
                <w:szCs w:val="12"/>
                <w:color w:val="auto"/>
              </w:rPr>
              <w:t>1,945,020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1,940,066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1,930,432</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11/30/2018</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5,407,864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5,371,524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5,272,668</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Lindblad Expeditions, Inc. </w:t>
            </w:r>
            <w:r>
              <w:rPr>
                <w:rFonts w:ascii="Arial" w:cs="Arial" w:eastAsia="Arial" w:hAnsi="Arial"/>
                <w:sz w:val="9"/>
                <w:szCs w:val="9"/>
                <w:color w:val="auto"/>
              </w:rPr>
              <w:t>(6), (11)</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05/10/2021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L+450</w:t>
            </w:r>
          </w:p>
        </w:tc>
        <w:tc>
          <w:tcPr>
            <w:tcW w:w="680" w:type="dxa"/>
            <w:vAlign w:val="bottom"/>
          </w:tcPr>
          <w:p>
            <w:pPr>
              <w:jc w:val="right"/>
              <w:spacing w:after="0"/>
              <w:rPr>
                <w:sz w:val="20"/>
                <w:szCs w:val="20"/>
                <w:color w:val="auto"/>
              </w:rPr>
            </w:pPr>
            <w:r>
              <w:rPr>
                <w:rFonts w:ascii="Arial" w:cs="Arial" w:eastAsia="Arial" w:hAnsi="Arial"/>
                <w:sz w:val="12"/>
                <w:szCs w:val="12"/>
                <w:color w:val="auto"/>
              </w:rPr>
              <w:t>2,186,607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2,177,539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2,186,607</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Lindblad Maritime Enterprises, Ltd. </w:t>
            </w:r>
            <w:r>
              <w:rPr>
                <w:rFonts w:ascii="Arial" w:cs="Arial" w:eastAsia="Arial" w:hAnsi="Arial"/>
                <w:sz w:val="9"/>
                <w:szCs w:val="9"/>
                <w:color w:val="auto"/>
              </w:rPr>
              <w:t>(6), (11)</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05/10/2021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L+450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282,143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280,973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282,143</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Lombart Brothers,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04/13/2022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L+675</w:t>
            </w:r>
          </w:p>
        </w:tc>
        <w:tc>
          <w:tcPr>
            <w:tcW w:w="680" w:type="dxa"/>
            <w:vAlign w:val="bottom"/>
          </w:tcPr>
          <w:p>
            <w:pPr>
              <w:jc w:val="right"/>
              <w:spacing w:after="0"/>
              <w:rPr>
                <w:sz w:val="20"/>
                <w:szCs w:val="20"/>
                <w:color w:val="auto"/>
              </w:rPr>
            </w:pPr>
            <w:r>
              <w:rPr>
                <w:rFonts w:ascii="Arial" w:cs="Arial" w:eastAsia="Arial" w:hAnsi="Arial"/>
                <w:sz w:val="12"/>
                <w:szCs w:val="12"/>
                <w:color w:val="auto"/>
              </w:rPr>
              <w:t>5,985,000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5,901,046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6,014,925</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176,991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176,991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176,991</w:t>
            </w:r>
          </w:p>
        </w:tc>
        <w:tc>
          <w:tcPr>
            <w:tcW w:w="12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 xml:space="preserve">Index </w:t>
            </w:r>
            <w:r>
              <w:rPr>
                <w:rFonts w:ascii="Arial" w:cs="Arial" w:eastAsia="Arial" w:hAnsi="Arial"/>
                <w:sz w:val="9"/>
                <w:szCs w:val="9"/>
                <w:b w:val="1"/>
                <w:bCs w:val="1"/>
                <w:color w:val="auto"/>
              </w:rPr>
              <w:t>(1)</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04/13/2022</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1,061,947</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Long’s Drugs Incorporated</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08/19/2021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6.25%</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4,951,874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4,950,000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01/15/2021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Retail</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9,542,392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9,417,467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9,542,392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LTI Holdings,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04/18/2022</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5.25%</w:t>
            </w:r>
          </w:p>
        </w:tc>
        <w:tc>
          <w:tcPr>
            <w:tcW w:w="680" w:type="dxa"/>
            <w:vAlign w:val="bottom"/>
          </w:tcPr>
          <w:p>
            <w:pPr>
              <w:jc w:val="right"/>
              <w:spacing w:after="0"/>
              <w:rPr>
                <w:sz w:val="20"/>
                <w:szCs w:val="20"/>
                <w:color w:val="auto"/>
              </w:rPr>
            </w:pPr>
            <w:r>
              <w:rPr>
                <w:rFonts w:ascii="Arial" w:cs="Arial" w:eastAsia="Arial" w:hAnsi="Arial"/>
                <w:sz w:val="12"/>
                <w:szCs w:val="12"/>
                <w:color w:val="auto"/>
              </w:rPr>
              <w:t>L+425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5,431,250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4,973,326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5,254,734</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Marketplace Events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01/27/2021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1,362,530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1,342,162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1,342,092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(12)</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01/27/2021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6.25%</w:t>
            </w:r>
          </w:p>
        </w:tc>
        <w:tc>
          <w:tcPr>
            <w:tcW w:w="680" w:type="dxa"/>
            <w:vAlign w:val="bottom"/>
          </w:tcPr>
          <w:p>
            <w:pPr>
              <w:jc w:val="right"/>
              <w:spacing w:after="0"/>
              <w:rPr>
                <w:sz w:val="20"/>
                <w:szCs w:val="20"/>
                <w:color w:val="auto"/>
              </w:rPr>
            </w:pPr>
            <w:r>
              <w:rPr>
                <w:rFonts w:ascii="Arial" w:cs="Arial" w:eastAsia="Arial" w:hAnsi="Arial"/>
                <w:sz w:val="12"/>
                <w:szCs w:val="12"/>
                <w:color w:val="auto"/>
              </w:rPr>
              <w:t>P+275</w:t>
            </w:r>
          </w:p>
        </w:tc>
        <w:tc>
          <w:tcPr>
            <w:tcW w:w="340" w:type="dxa"/>
            <w:vAlign w:val="bottom"/>
            <w:gridSpan w:val="2"/>
          </w:tcPr>
          <w:p>
            <w:pPr>
              <w:ind w:left="160"/>
              <w:spacing w:after="0"/>
              <w:rPr>
                <w:sz w:val="20"/>
                <w:szCs w:val="20"/>
                <w:color w:val="auto"/>
              </w:rPr>
            </w:pPr>
            <w:r>
              <w:rPr>
                <w:rFonts w:ascii="Arial" w:cs="Arial" w:eastAsia="Arial" w:hAnsi="Arial"/>
                <w:sz w:val="12"/>
                <w:szCs w:val="12"/>
                <w:color w:val="auto"/>
                <w:w w:val="85"/>
              </w:rPr>
              <w:t>C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17,244,188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12,065,652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13,078,215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01/27/2021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P+275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1,090,024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1,090,024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1,090,024</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(10)</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01/27/2021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613,139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Mission Critical Electronics, Inc. </w:t>
            </w:r>
            <w:r>
              <w:rPr>
                <w:rFonts w:ascii="Arial" w:cs="Arial" w:eastAsia="Arial" w:hAnsi="Arial"/>
                <w:sz w:val="9"/>
                <w:szCs w:val="9"/>
                <w:color w:val="auto"/>
              </w:rPr>
              <w:t>(8)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09/28/2022</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4,116,608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4,075,499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4,075,442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(10)</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09/28/2021</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883,392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New Trident HoldCorp,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07/31/2019</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8,817,647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8,767,669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8,288,588</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08/19/2022</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6.00%</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6,268,657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6,205,970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6,205,970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w w:val="98"/>
              </w:rPr>
              <w:t xml:space="preserve">Pathway Partners Vet Management Company LLC </w:t>
            </w:r>
            <w:r>
              <w:rPr>
                <w:rFonts w:ascii="Arial" w:cs="Arial" w:eastAsia="Arial" w:hAnsi="Arial"/>
                <w:sz w:val="9"/>
                <w:szCs w:val="9"/>
                <w:color w:val="auto"/>
                <w:w w:val="98"/>
              </w:rPr>
              <w:t>(8), (10)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08/19/2022</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3,731,343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Polycom,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09/27/2023</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7.50%</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5,760,000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5,775,000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Precyse Acquisition Corp.</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10/20/2022</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3,932,956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4,014,938</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Premier Dental Services, Inc.</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11/01/2018</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Consumer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7.50%</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7,528,230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7,473,587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7,490,588</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Profile Products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05/20/2021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7,281,762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7,222,561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7,281,762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(10)</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05/20/2020</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2,459,016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Quick Weight Loss Centers,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08/23/2021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9,852,456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Research Now Group,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03/18/2021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5.50%</w:t>
            </w:r>
          </w:p>
        </w:tc>
        <w:tc>
          <w:tcPr>
            <w:tcW w:w="680" w:type="dxa"/>
            <w:vAlign w:val="bottom"/>
          </w:tcPr>
          <w:p>
            <w:pPr>
              <w:jc w:val="right"/>
              <w:spacing w:after="0"/>
              <w:rPr>
                <w:sz w:val="20"/>
                <w:szCs w:val="20"/>
                <w:color w:val="auto"/>
              </w:rPr>
            </w:pPr>
            <w:r>
              <w:rPr>
                <w:rFonts w:ascii="Arial" w:cs="Arial" w:eastAsia="Arial" w:hAnsi="Arial"/>
                <w:sz w:val="12"/>
                <w:szCs w:val="12"/>
                <w:color w:val="auto"/>
              </w:rPr>
              <w:t>L+450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6,895,000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6,867,800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6,688,150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Robertshaw US Holding Corp.</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06/18/2019</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4,252,830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4,233,671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4,258,699</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Ryan,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08/07/2020</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6.75%</w:t>
            </w:r>
          </w:p>
        </w:tc>
        <w:tc>
          <w:tcPr>
            <w:tcW w:w="680" w:type="dxa"/>
            <w:vAlign w:val="bottom"/>
          </w:tcPr>
          <w:p>
            <w:pPr>
              <w:jc w:val="right"/>
              <w:spacing w:after="0"/>
              <w:rPr>
                <w:sz w:val="20"/>
                <w:szCs w:val="20"/>
                <w:color w:val="auto"/>
              </w:rPr>
            </w:pPr>
            <w:r>
              <w:rPr>
                <w:rFonts w:ascii="Arial" w:cs="Arial" w:eastAsia="Arial" w:hAnsi="Arial"/>
                <w:sz w:val="12"/>
                <w:szCs w:val="12"/>
                <w:color w:val="auto"/>
              </w:rPr>
              <w:t>L+575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4,218,750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4,166,413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4,163,400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Sensus USA,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04/05/2023</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3"/>
              </w:rPr>
              <w:t>Utilities: Water</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9,692,511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9,999,938</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Snak Club,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07/19/2021</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6.00%</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4,968,748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4,896,623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4,919,060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07/19/2021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Software Paradigms International Group,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05/21/2021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9,875,000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9,781,596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9,825,625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Sotera Defense Solutions,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04/21/2017</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5,668,843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5,614,696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5,640,499</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Sundial Group Holdings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10/19/2021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7.25%</w:t>
            </w:r>
          </w:p>
        </w:tc>
        <w:tc>
          <w:tcPr>
            <w:tcW w:w="680" w:type="dxa"/>
            <w:vAlign w:val="bottom"/>
          </w:tcPr>
          <w:p>
            <w:pPr>
              <w:jc w:val="right"/>
              <w:spacing w:after="0"/>
              <w:rPr>
                <w:sz w:val="20"/>
                <w:szCs w:val="20"/>
                <w:color w:val="auto"/>
              </w:rPr>
            </w:pPr>
            <w:r>
              <w:rPr>
                <w:rFonts w:ascii="Arial" w:cs="Arial" w:eastAsia="Arial" w:hAnsi="Arial"/>
                <w:sz w:val="12"/>
                <w:szCs w:val="12"/>
                <w:color w:val="auto"/>
              </w:rPr>
              <w:t>L+625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7,312,500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7,200,786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7,312,500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Survey Sampling International,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12/16/2020</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7,446,562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7,395,200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7,409,329</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Systems Maintenance Services Holding,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10/18/2019</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5.00%</w:t>
            </w:r>
          </w:p>
        </w:tc>
        <w:tc>
          <w:tcPr>
            <w:tcW w:w="680" w:type="dxa"/>
            <w:vAlign w:val="bottom"/>
          </w:tcPr>
          <w:p>
            <w:pPr>
              <w:jc w:val="right"/>
              <w:spacing w:after="0"/>
              <w:rPr>
                <w:sz w:val="20"/>
                <w:szCs w:val="20"/>
                <w:color w:val="auto"/>
              </w:rPr>
            </w:pPr>
            <w:r>
              <w:rPr>
                <w:rFonts w:ascii="Arial" w:cs="Arial" w:eastAsia="Arial" w:hAnsi="Arial"/>
                <w:sz w:val="12"/>
                <w:szCs w:val="12"/>
                <w:color w:val="auto"/>
              </w:rPr>
              <w:t>L+400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5,850,000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5,834,217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5,733,000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Tensar Corporation</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07/09/2021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4,822,723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4,786,985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4,071,198</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(11)</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07/20/2021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3,092,295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3,062,366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3,061,372</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(11)</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07/20/2021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5,986,002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5,928,120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5,926,142</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(10), (11)</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07/20/2021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1,418,484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(7,092)</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TOMS Shoes, LLC</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11/02/2020</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1,970,000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1,825,559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1,576,000</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Triad Manufacturing,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12/28/2020</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11.27%</w:t>
            </w:r>
          </w:p>
        </w:tc>
        <w:tc>
          <w:tcPr>
            <w:tcW w:w="680" w:type="dxa"/>
            <w:vAlign w:val="bottom"/>
          </w:tcPr>
          <w:p>
            <w:pPr>
              <w:jc w:val="right"/>
              <w:spacing w:after="0"/>
              <w:rPr>
                <w:sz w:val="20"/>
                <w:szCs w:val="20"/>
                <w:color w:val="auto"/>
              </w:rPr>
            </w:pPr>
            <w:r>
              <w:rPr>
                <w:rFonts w:ascii="Arial" w:cs="Arial" w:eastAsia="Arial" w:hAnsi="Arial"/>
                <w:sz w:val="12"/>
                <w:szCs w:val="12"/>
                <w:color w:val="auto"/>
              </w:rPr>
              <w:t>L+1,075</w:t>
            </w:r>
          </w:p>
        </w:tc>
        <w:tc>
          <w:tcPr>
            <w:tcW w:w="24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10,306,936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10,124,477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10,306,936</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01/14/2019</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256,971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256,971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256,971</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01/14/2019</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8.50%</w:t>
            </w:r>
          </w:p>
        </w:tc>
        <w:tc>
          <w:tcPr>
            <w:tcW w:w="680" w:type="dxa"/>
            <w:vAlign w:val="bottom"/>
          </w:tcPr>
          <w:p>
            <w:pPr>
              <w:jc w:val="right"/>
              <w:spacing w:after="0"/>
              <w:rPr>
                <w:sz w:val="20"/>
                <w:szCs w:val="20"/>
                <w:color w:val="auto"/>
              </w:rPr>
            </w:pPr>
            <w:r>
              <w:rPr>
                <w:rFonts w:ascii="Arial" w:cs="Arial" w:eastAsia="Arial" w:hAnsi="Arial"/>
                <w:sz w:val="12"/>
                <w:szCs w:val="12"/>
                <w:color w:val="auto"/>
              </w:rPr>
              <w:t>L+750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599,702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562,432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590,706</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01/14/2019</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151,090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Universal Fiber Systems,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10/04/2021</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4,962,500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4,919,423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4,937,688</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U.S. Anesthesia Partners,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12/31/2019</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9,818,407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9,850,500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08/13/2021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10.00%</w:t>
            </w:r>
          </w:p>
        </w:tc>
        <w:tc>
          <w:tcPr>
            <w:tcW w:w="680" w:type="dxa"/>
            <w:vAlign w:val="bottom"/>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3,089,844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3,089,844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3,089,844</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Vistage Worldwide,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08/19/2021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4,792,831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4,752,002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4,792,831</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Winchester Electronics Corporation</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06/30/2022</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7.50%</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7,773,579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7,703,094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7,668,171</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06/30/2022</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708,333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(9,605)</w:t>
            </w:r>
          </w:p>
        </w:tc>
      </w:tr>
      <w:tr>
        <w:trPr>
          <w:trHeight w:val="149"/>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Worley Claims Services, LLC</w:t>
            </w:r>
          </w:p>
        </w:tc>
        <w:tc>
          <w:tcPr>
            <w:tcW w:w="660" w:type="dxa"/>
            <w:vAlign w:val="bottom"/>
            <w:tcBorders>
              <w:bottom w:val="single" w:sz="8" w:color="CCECFF"/>
            </w:tcBorders>
            <w:gridSpan w:val="2"/>
          </w:tcPr>
          <w:p>
            <w:pPr>
              <w:jc w:val="center"/>
              <w:ind w:left="62"/>
              <w:spacing w:after="0"/>
              <w:rPr>
                <w:sz w:val="20"/>
                <w:szCs w:val="20"/>
                <w:color w:val="auto"/>
              </w:rPr>
            </w:pPr>
            <w:r>
              <w:rPr>
                <w:rFonts w:ascii="Arial" w:cs="Arial" w:eastAsia="Arial" w:hAnsi="Arial"/>
                <w:sz w:val="12"/>
                <w:szCs w:val="12"/>
                <w:color w:val="auto"/>
                <w:w w:val="89"/>
              </w:rPr>
              <w:t>10/30/2020</w:t>
            </w:r>
          </w:p>
        </w:tc>
        <w:tc>
          <w:tcPr>
            <w:tcW w:w="220" w:type="dxa"/>
            <w:vAlign w:val="bottom"/>
            <w:tcBorders>
              <w:bottom w:val="single" w:sz="8" w:color="CCECFF"/>
            </w:tcBorders>
          </w:tcPr>
          <w:p>
            <w:pPr>
              <w:spacing w:after="0"/>
              <w:rPr>
                <w:sz w:val="12"/>
                <w:szCs w:val="12"/>
                <w:color w:val="auto"/>
              </w:rPr>
            </w:pPr>
          </w:p>
        </w:tc>
        <w:tc>
          <w:tcPr>
            <w:tcW w:w="278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7"/>
              </w:rPr>
              <w:t>Banking, Finance, Insurance and Real Estate</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9.00%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7,316,440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7,259,010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7,316,440</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549,736,982</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548,410,095</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Second Lien Secured Debt—9.7%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Affinion Group, Inc. </w:t>
            </w:r>
            <w:r>
              <w:rPr>
                <w:rFonts w:ascii="Arial" w:cs="Arial" w:eastAsia="Arial" w:hAnsi="Arial"/>
                <w:sz w:val="9"/>
                <w:szCs w:val="9"/>
                <w:color w:val="auto"/>
              </w:rPr>
              <w:t>(8)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10/31/2018</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942,276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879,170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09/01/2017</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92"/>
              </w:rPr>
              <w:t>Metals and Mining</w:t>
            </w: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700,000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12/31/2020</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1,971,030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2,020,000</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Howard Berger Co.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09/30/2020</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11.00%</w:t>
            </w:r>
          </w:p>
        </w:tc>
        <w:tc>
          <w:tcPr>
            <w:tcW w:w="680" w:type="dxa"/>
            <w:vAlign w:val="bottom"/>
          </w:tcPr>
          <w:p>
            <w:pPr>
              <w:jc w:val="right"/>
              <w:spacing w:after="0"/>
              <w:rPr>
                <w:sz w:val="20"/>
                <w:szCs w:val="20"/>
                <w:color w:val="auto"/>
              </w:rPr>
            </w:pPr>
            <w:r>
              <w:rPr>
                <w:rFonts w:ascii="Arial" w:cs="Arial" w:eastAsia="Arial" w:hAnsi="Arial"/>
                <w:sz w:val="12"/>
                <w:szCs w:val="12"/>
                <w:color w:val="auto"/>
              </w:rPr>
              <w:t>L+1,000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10,511,818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9,900,000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10/22/2021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3,703,724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3,775,000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Novitex Acquisition,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07/07/2021</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12.25%</w:t>
            </w:r>
          </w:p>
        </w:tc>
        <w:tc>
          <w:tcPr>
            <w:tcW w:w="680" w:type="dxa"/>
            <w:vAlign w:val="bottom"/>
          </w:tcPr>
          <w:p>
            <w:pPr>
              <w:jc w:val="right"/>
              <w:spacing w:after="0"/>
              <w:rPr>
                <w:sz w:val="20"/>
                <w:szCs w:val="20"/>
                <w:color w:val="auto"/>
              </w:rPr>
            </w:pPr>
            <w:r>
              <w:rPr>
                <w:rFonts w:ascii="Arial" w:cs="Arial" w:eastAsia="Arial" w:hAnsi="Arial"/>
                <w:sz w:val="12"/>
                <w:szCs w:val="12"/>
                <w:color w:val="auto"/>
              </w:rPr>
              <w:t>L+1,100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10,914,618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11,000,000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10/02/2020</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4,872,042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4,826,926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4,853,772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(11)</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08/01/2017</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Energy: Oil and Gas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12.50%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2,812,500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2,756,732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1,631,250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VT Buyer Acquisition Corp.</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01/30/2023</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1,837,500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1,777,304</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1,837,500</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38,404,428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36,596,692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Subordinated Debt/Corporate Notes—0.8% </w:t>
            </w:r>
            <w:r>
              <w:rPr>
                <w:rFonts w:ascii="Arial" w:cs="Arial" w:eastAsia="Arial" w:hAnsi="Arial"/>
                <w:sz w:val="9"/>
                <w:szCs w:val="9"/>
                <w:b w:val="1"/>
                <w:bCs w:val="1"/>
                <w:color w:val="auto"/>
              </w:rPr>
              <w:t>(8)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Affinion International Holdings Limited </w:t>
            </w:r>
            <w:r>
              <w:rPr>
                <w:rFonts w:ascii="Arial" w:cs="Arial" w:eastAsia="Arial" w:hAnsi="Arial"/>
                <w:sz w:val="9"/>
                <w:szCs w:val="9"/>
                <w:color w:val="auto"/>
              </w:rPr>
              <w:t>(5), (6), (11)</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07/30/2018</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1,135,273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1,030,320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1,035,937</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20" w:type="dxa"/>
            <w:vAlign w:val="bottom"/>
          </w:tcPr>
          <w:p>
            <w:pPr>
              <w:spacing w:after="0"/>
              <w:rPr>
                <w:sz w:val="20"/>
                <w:szCs w:val="20"/>
                <w:color w:val="auto"/>
              </w:rPr>
            </w:pPr>
            <w:r>
              <w:rPr>
                <w:rFonts w:ascii="Arial" w:cs="Arial" w:eastAsia="Arial" w:hAnsi="Arial"/>
                <w:sz w:val="12"/>
                <w:szCs w:val="12"/>
                <w:color w:val="auto"/>
              </w:rPr>
              <w:t>Credit Infonet,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10/26/2018</w:t>
            </w:r>
          </w:p>
        </w:tc>
        <w:tc>
          <w:tcPr>
            <w:tcW w:w="220" w:type="dxa"/>
            <w:vAlign w:val="bottom"/>
          </w:tcPr>
          <w:p>
            <w:pPr>
              <w:spacing w:after="0"/>
              <w:rPr>
                <w:sz w:val="13"/>
                <w:szCs w:val="13"/>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13.00%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2,069,078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2,050,767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1,975,969</w:t>
            </w:r>
          </w:p>
        </w:tc>
        <w:tc>
          <w:tcPr>
            <w:tcW w:w="100" w:type="dxa"/>
            <w:vAlign w:val="bottom"/>
          </w:tcPr>
          <w:p>
            <w:pPr>
              <w:spacing w:after="0"/>
              <w:rPr>
                <w:sz w:val="13"/>
                <w:szCs w:val="13"/>
                <w:color w:val="auto"/>
              </w:rPr>
            </w:pPr>
          </w:p>
        </w:tc>
      </w:tr>
      <w:tr>
        <w:trPr>
          <w:trHeight w:val="142"/>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1.75%)</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07/15/2019</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146,996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146,996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148,466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15.00%)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3,228,083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3,160,372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tcBorders>
              <w:bottom w:val="single" w:sz="8" w:color="CCECFF"/>
            </w:tcBorders>
          </w:tcPr>
          <w:p>
            <w:pPr>
              <w:spacing w:after="0"/>
              <w:rPr>
                <w:sz w:val="12"/>
                <w:szCs w:val="12"/>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13.50%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1,047,317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670,283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1,319,308</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Equity/Warrants—2.5%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2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99,029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3,514,572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3,700,216</w:t>
            </w:r>
          </w:p>
        </w:tc>
        <w:tc>
          <w:tcPr>
            <w:tcW w:w="100" w:type="dxa"/>
            <w:vAlign w:val="bottom"/>
          </w:tcPr>
          <w:p>
            <w:pPr>
              <w:spacing w:after="0"/>
              <w:rPr>
                <w:sz w:val="13"/>
                <w:szCs w:val="13"/>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2"/>
              </w:rPr>
              <w:t>Current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Par /</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Maturity</w:t>
            </w: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40" w:type="dxa"/>
            <w:vAlign w:val="bottom"/>
            <w:tcBorders>
              <w:bottom w:val="single" w:sz="8" w:color="CCECFF"/>
            </w:tcBorders>
          </w:tcPr>
          <w:p>
            <w:pPr>
              <w:spacing w:after="0"/>
              <w:rPr>
                <w:sz w:val="12"/>
                <w:szCs w:val="12"/>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w w:val="88"/>
              </w:rPr>
              <w:t>Coupon</w:t>
            </w: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 xml:space="preserve">Index </w:t>
            </w:r>
            <w:r>
              <w:rPr>
                <w:rFonts w:ascii="Arial" w:cs="Arial" w:eastAsia="Arial" w:hAnsi="Arial"/>
                <w:sz w:val="9"/>
                <w:szCs w:val="9"/>
                <w:b w:val="1"/>
                <w:bCs w:val="1"/>
                <w:color w:val="auto"/>
              </w:rPr>
              <w:t>(1)</w:t>
            </w: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220" w:type="dxa"/>
            <w:vAlign w:val="bottom"/>
            <w:tcBorders>
              <w:bottom w:val="single" w:sz="8" w:color="CCECFF"/>
            </w:tcBorders>
          </w:tcPr>
          <w:p>
            <w:pPr>
              <w:spacing w:after="0"/>
              <w:rPr>
                <w:sz w:val="12"/>
                <w:szCs w:val="12"/>
                <w:color w:val="auto"/>
              </w:rPr>
            </w:pPr>
          </w:p>
        </w:tc>
        <w:tc>
          <w:tcPr>
            <w:tcW w:w="7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(2)</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540" w:type="dxa"/>
            <w:vAlign w:val="bottom"/>
            <w:shd w:val="clear" w:color="auto" w:fill="CCECFF"/>
          </w:tcPr>
          <w:p>
            <w:pPr>
              <w:spacing w:after="0"/>
              <w:rPr>
                <w:sz w:val="12"/>
                <w:szCs w:val="12"/>
                <w:color w:val="auto"/>
              </w:rPr>
            </w:pPr>
          </w:p>
        </w:tc>
        <w:tc>
          <w:tcPr>
            <w:tcW w:w="3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1,186,649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20,096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2"/>
                <w:szCs w:val="12"/>
                <w:color w:val="auto"/>
              </w:rPr>
              <w:t>Corfin InvestCo, L.P.</w:t>
            </w: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54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621,550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(10)</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540" w:type="dxa"/>
            <w:vAlign w:val="bottom"/>
            <w:shd w:val="clear" w:color="auto" w:fill="CCECFF"/>
          </w:tcPr>
          <w:p>
            <w:pPr>
              <w:spacing w:after="0"/>
              <w:rPr>
                <w:sz w:val="12"/>
                <w:szCs w:val="12"/>
                <w:color w:val="auto"/>
              </w:rPr>
            </w:pPr>
          </w:p>
        </w:tc>
        <w:tc>
          <w:tcPr>
            <w:tcW w:w="3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2"/>
                <w:szCs w:val="12"/>
                <w:color w:val="auto"/>
              </w:rPr>
              <w:t>e.l.f. Beauty, Inc. (f/k/a J.A. Cosmetics US, Inc.)</w:t>
            </w: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54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110,399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295,670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2,957,767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Faraday Holdings, LLC (Interior Specialists, Inc.)</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540" w:type="dxa"/>
            <w:vAlign w:val="bottom"/>
            <w:shd w:val="clear" w:color="auto" w:fill="CCECFF"/>
          </w:tcPr>
          <w:p>
            <w:pPr>
              <w:spacing w:after="0"/>
              <w:rPr>
                <w:sz w:val="12"/>
                <w:szCs w:val="12"/>
                <w:color w:val="auto"/>
              </w:rPr>
            </w:pPr>
          </w:p>
        </w:tc>
        <w:tc>
          <w:tcPr>
            <w:tcW w:w="3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58,044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94,560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2"/>
                <w:szCs w:val="12"/>
                <w:color w:val="auto"/>
              </w:rPr>
              <w:t>Patriot National, Inc.</w:t>
            </w: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Banking, Finance, Insurance and Real Estate</w:t>
            </w:r>
          </w:p>
        </w:tc>
        <w:tc>
          <w:tcPr>
            <w:tcW w:w="54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11,867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27,995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106,922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TPC Broadband Investors, LP</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540" w:type="dxa"/>
            <w:vAlign w:val="bottom"/>
            <w:shd w:val="clear" w:color="auto" w:fill="CCECFF"/>
          </w:tcPr>
          <w:p>
            <w:pPr>
              <w:spacing w:after="0"/>
              <w:rPr>
                <w:sz w:val="12"/>
                <w:szCs w:val="12"/>
                <w:color w:val="auto"/>
              </w:rPr>
            </w:pPr>
          </w:p>
        </w:tc>
        <w:tc>
          <w:tcPr>
            <w:tcW w:w="3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430,666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430,666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430,666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60" w:type="dxa"/>
            <w:vAlign w:val="bottom"/>
            <w:gridSpan w:val="2"/>
            <w:shd w:val="clear" w:color="auto" w:fill="CCECFF"/>
          </w:tcPr>
          <w:p>
            <w:pPr>
              <w:ind w:left="100"/>
              <w:spacing w:after="0"/>
              <w:rPr>
                <w:sz w:val="20"/>
                <w:szCs w:val="20"/>
                <w:color w:val="auto"/>
              </w:rPr>
            </w:pPr>
            <w:r>
              <w:rPr>
                <w:rFonts w:ascii="Arial" w:cs="Arial" w:eastAsia="Arial" w:hAnsi="Arial"/>
                <w:sz w:val="12"/>
                <w:szCs w:val="12"/>
                <w:color w:val="auto"/>
              </w:rPr>
              <w:t>(Advanced Cable Communications, LLC)</w:t>
            </w: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2"/>
          </w:tcPr>
          <w:p>
            <w:pPr>
              <w:spacing w:after="0"/>
              <w:rPr>
                <w:sz w:val="20"/>
                <w:szCs w:val="20"/>
                <w:color w:val="auto"/>
              </w:rPr>
            </w:pPr>
            <w:r>
              <w:rPr>
                <w:rFonts w:ascii="Arial" w:cs="Arial" w:eastAsia="Arial" w:hAnsi="Arial"/>
                <w:sz w:val="12"/>
                <w:szCs w:val="12"/>
                <w:color w:val="auto"/>
              </w:rPr>
              <w:t>TPC Broadband Investors, LP</w:t>
            </w: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54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569,334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3160" w:type="dxa"/>
            <w:vAlign w:val="bottom"/>
            <w:gridSpan w:val="2"/>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540" w:type="dxa"/>
            <w:vAlign w:val="bottom"/>
            <w:shd w:val="clear" w:color="auto" w:fill="CCECFF"/>
          </w:tcPr>
          <w:p>
            <w:pPr>
              <w:spacing w:after="0"/>
              <w:rPr>
                <w:sz w:val="12"/>
                <w:szCs w:val="12"/>
                <w:color w:val="auto"/>
              </w:rPr>
            </w:pPr>
          </w:p>
        </w:tc>
        <w:tc>
          <w:tcPr>
            <w:tcW w:w="3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149,617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892,276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Vestcom Parent Holdings, Inc.</w:t>
            </w: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2"/>
                <w:szCs w:val="12"/>
                <w:color w:val="auto"/>
              </w:rPr>
              <w:t>—</w:t>
            </w:r>
          </w:p>
        </w:tc>
        <w:tc>
          <w:tcPr>
            <w:tcW w:w="28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540" w:type="dxa"/>
            <w:vAlign w:val="bottom"/>
            <w:tcBorders>
              <w:bottom w:val="single" w:sz="8" w:color="CCECFF"/>
            </w:tcBorders>
          </w:tcPr>
          <w:p>
            <w:pPr>
              <w:spacing w:after="0"/>
              <w:rPr>
                <w:sz w:val="12"/>
                <w:szCs w:val="12"/>
                <w:color w:val="auto"/>
              </w:rPr>
            </w:pPr>
          </w:p>
        </w:tc>
        <w:tc>
          <w:tcPr>
            <w:tcW w:w="3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15,179</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56,895</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577,005</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Common Equity/Warrants</w:t>
            </w: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5,870,491</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9,401,058</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6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597,910,267</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598,887,525</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Equivalents—7.7%</w:t>
            </w: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gridSpan w:val="4"/>
          </w:tcPr>
          <w:p>
            <w:pPr>
              <w:spacing w:after="0"/>
              <w:rPr>
                <w:sz w:val="20"/>
                <w:szCs w:val="20"/>
                <w:color w:val="auto"/>
              </w:rPr>
            </w:pPr>
            <w:r>
              <w:rPr>
                <w:rFonts w:ascii="Arial" w:cs="Arial" w:eastAsia="Arial" w:hAnsi="Arial"/>
                <w:sz w:val="12"/>
                <w:szCs w:val="12"/>
                <w:color w:val="auto"/>
                <w:w w:val="95"/>
              </w:rPr>
              <w:t>BlackRock Liquidity Funds, Temp Cash and Temp Fund, Institutional Shares</w:t>
            </w: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6"/>
              </w:rPr>
              <w:t>28,212,041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28,212,041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BNY Mellon Cash Reserve and Cash</w:t>
            </w: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691,318</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698,932</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5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28,903,359</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28,910,973</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Equivalents—167.0%</w:t>
            </w:r>
          </w:p>
        </w:tc>
        <w:tc>
          <w:tcPr>
            <w:tcW w:w="5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6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6"/>
              </w:rPr>
              <w:t>626,813,626</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627,798,498</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Assets—(67.0)%</w:t>
            </w: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6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w w:val="93"/>
              </w:rPr>
              <w:t>(251,891,670)</w:t>
            </w:r>
          </w:p>
        </w:tc>
        <w:tc>
          <w:tcPr>
            <w:tcW w:w="0" w:type="dxa"/>
            <w:vAlign w:val="bottom"/>
          </w:tcPr>
          <w:p>
            <w:pPr>
              <w:spacing w:after="0"/>
              <w:rPr>
                <w:sz w:val="1"/>
                <w:szCs w:val="1"/>
                <w:color w:val="auto"/>
              </w:rPr>
            </w:pPr>
          </w:p>
        </w:tc>
      </w:tr>
      <w:tr>
        <w:trPr>
          <w:trHeight w:val="148"/>
        </w:trPr>
        <w:tc>
          <w:tcPr>
            <w:tcW w:w="316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5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6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375,906,828</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63" w:lineRule="exact"/>
        <w:rPr>
          <w:sz w:val="20"/>
          <w:szCs w:val="20"/>
          <w:color w:val="auto"/>
        </w:rPr>
      </w:pPr>
    </w:p>
    <w:p>
      <w:pPr>
        <w:ind w:left="500" w:right="40" w:hanging="492"/>
        <w:spacing w:after="0" w:line="252" w:lineRule="auto"/>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500" w:hanging="492"/>
        <w:spacing w:after="0"/>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500" w:right="120" w:hanging="492"/>
        <w:spacing w:after="0" w:line="252" w:lineRule="auto"/>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500" w:right="60" w:hanging="492"/>
        <w:spacing w:after="0" w:line="252" w:lineRule="auto"/>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500" w:hanging="492"/>
        <w:spacing w:after="0"/>
        <w:tabs>
          <w:tab w:leader="none" w:pos="50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500" w:hanging="492"/>
        <w:spacing w:after="0"/>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500" w:hanging="492"/>
        <w:spacing w:after="0"/>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500" w:hanging="492"/>
        <w:spacing w:after="0"/>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500" w:hanging="492"/>
        <w:spacing w:after="0"/>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spacing w:after="0" w:line="37" w:lineRule="exact"/>
        <w:rPr>
          <w:rFonts w:ascii="Arial" w:cs="Arial" w:eastAsia="Arial" w:hAnsi="Arial"/>
          <w:sz w:val="12"/>
          <w:szCs w:val="12"/>
          <w:color w:val="auto"/>
        </w:rPr>
      </w:pPr>
    </w:p>
    <w:p>
      <w:pPr>
        <w:ind w:left="500" w:hanging="492"/>
        <w:spacing w:after="0"/>
        <w:tabs>
          <w:tab w:leader="none" w:pos="50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500" w:right="140" w:hanging="492"/>
        <w:spacing w:after="0" w:line="252" w:lineRule="auto"/>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 w:lineRule="exact"/>
        <w:rPr>
          <w:rFonts w:ascii="Arial" w:cs="Arial" w:eastAsia="Arial" w:hAnsi="Arial"/>
          <w:sz w:val="12"/>
          <w:szCs w:val="12"/>
          <w:color w:val="auto"/>
        </w:rPr>
      </w:pPr>
    </w:p>
    <w:p>
      <w:pPr>
        <w:ind w:left="500" w:hanging="492"/>
        <w:spacing w:after="0"/>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Canadian Dollars.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06"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Our investment objectives are to generate current income and capital appreciation while seeking to preserve capital. We seek to achieve our investment objective by investing primarily in loans bearing a variable-rate of interest, or Floating Rate Loans, and other investments made to U.S. middle-market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debt, or first lien loans, will represent at least 65% of our overall portfolio. We generally expect to invest up to 35% of our overall portfolio opportunistically in other types of investments, including mezzanine debt, which we define as second lien secured and subordinated debt, and, to a lesser extent, equity investments.</w:t>
      </w:r>
    </w:p>
    <w:p>
      <w:pPr>
        <w:spacing w:after="0" w:line="111" w:lineRule="exact"/>
        <w:rPr>
          <w:sz w:val="20"/>
          <w:szCs w:val="20"/>
          <w:color w:val="auto"/>
        </w:rPr>
      </w:pPr>
    </w:p>
    <w:p>
      <w:pPr>
        <w:jc w:val="both"/>
        <w:ind w:right="300" w:firstLine="438"/>
        <w:spacing w:after="0" w:line="238" w:lineRule="auto"/>
        <w:rPr>
          <w:sz w:val="20"/>
          <w:szCs w:val="20"/>
          <w:color w:val="auto"/>
        </w:rPr>
      </w:pPr>
      <w:r>
        <w:rPr>
          <w:rFonts w:ascii="Arial" w:cs="Arial" w:eastAsia="Arial" w:hAnsi="Arial"/>
          <w:sz w:val="14"/>
          <w:szCs w:val="14"/>
          <w:color w:val="auto"/>
        </w:rPr>
        <w:t>In February 2017, we completed a follow-on public offering of 5,750,000 shares of common stock, which resulted in proceeds to us of $14.08 per share, including the exercise of the underwriters’ option to purchase additional shares, for gross proceeds of $81.0 million and net proceeds of $80.5 million after offering expenses. Our Investment Adviser paid $5.0 million in connection with this offering, which included the sales load and an additional supplemental payment.</w:t>
      </w:r>
    </w:p>
    <w:p>
      <w:pPr>
        <w:spacing w:after="0" w:line="115" w:lineRule="exact"/>
        <w:rPr>
          <w:sz w:val="20"/>
          <w:szCs w:val="20"/>
          <w:color w:val="auto"/>
        </w:rPr>
      </w:pPr>
    </w:p>
    <w:p>
      <w:pPr>
        <w:ind w:right="220" w:firstLine="438"/>
        <w:spacing w:after="0" w:line="290" w:lineRule="auto"/>
        <w:rPr>
          <w:sz w:val="20"/>
          <w:szCs w:val="20"/>
          <w:color w:val="auto"/>
        </w:rPr>
      </w:pPr>
      <w:r>
        <w:rPr>
          <w:rFonts w:ascii="Arial" w:cs="Arial" w:eastAsia="Arial" w:hAnsi="Arial"/>
          <w:sz w:val="13"/>
          <w:szCs w:val="13"/>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84"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$350 million at LIBOR plus 200 basis points during the revolving period. The Credit Facility is secured by all of the assets held by Funding I. See Note 9.</w:t>
      </w:r>
    </w:p>
    <w:p>
      <w:pPr>
        <w:spacing w:after="0" w:line="107"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1"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00" w:right="300" w:hanging="447"/>
        <w:spacing w:after="0" w:line="253"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00" w:hanging="447"/>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ind w:left="900" w:right="100" w:hanging="447"/>
        <w:spacing w:after="0" w:line="253"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4" w:name="page15"/>
    <w:bookmarkEnd w:id="14"/>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900" w:right="340"/>
        <w:spacing w:after="0" w:line="253" w:lineRule="auto"/>
        <w:rPr>
          <w:sz w:val="20"/>
          <w:szCs w:val="20"/>
          <w:color w:val="auto"/>
        </w:rPr>
      </w:pPr>
      <w:r>
        <w:rPr>
          <w:rFonts w:ascii="Arial" w:cs="Arial" w:eastAsia="Arial" w:hAnsi="Arial"/>
          <w:sz w:val="14"/>
          <w:szCs w:val="14"/>
          <w:color w:val="auto"/>
        </w:rPr>
        <w:t>preliminary valuations in light of their own independent assessment and also in light of any market quotations obtained from an independent pricing service, broker, dealer or market maker;</w:t>
      </w:r>
    </w:p>
    <w:p>
      <w:pPr>
        <w:spacing w:after="0" w:line="106" w:lineRule="exact"/>
        <w:rPr>
          <w:sz w:val="20"/>
          <w:szCs w:val="20"/>
          <w:color w:val="auto"/>
        </w:rPr>
      </w:pPr>
    </w:p>
    <w:p>
      <w:pPr>
        <w:ind w:left="900" w:right="340" w:hanging="447"/>
        <w:spacing w:after="0" w:line="238" w:lineRule="auto"/>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00" w:right="100" w:hanging="447"/>
        <w:spacing w:after="0" w:line="253" w:lineRule="auto"/>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2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and Credit Facility during the reporting period, including any reversal of previously recorded unrealized appreciation or depreciation, when gains or losses are realized.</w:t>
      </w:r>
    </w:p>
    <w:p>
      <w:pPr>
        <w:spacing w:after="0" w:line="117"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ind w:right="340" w:firstLine="438"/>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right="180" w:firstLine="434"/>
        <w:spacing w:after="0" w:line="228" w:lineRule="auto"/>
        <w:rPr>
          <w:sz w:val="20"/>
          <w:szCs w:val="20"/>
          <w:color w:val="auto"/>
        </w:rPr>
      </w:pPr>
      <w:r>
        <w:rPr>
          <w:rFonts w:ascii="Arial" w:cs="Arial" w:eastAsia="Arial" w:hAnsi="Arial"/>
          <w:sz w:val="14"/>
          <w:szCs w:val="14"/>
          <w:color w:val="auto"/>
        </w:rPr>
        <w:t>We have complied with the requirements of Subchapter M of the Code and expect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Although we generally do not incur federal income taxes as a RIC, we may elect to retain a portion of our calendar year income, which may result in the imposition of an excise tax, or we may incur taxes through our Taxable Subsidiaries. For both the three and six months ended March 31, 2017, we recorded a provision for taxes of $0.1 million pertaining to U.S. federal excise tax. For both the three and six months ended March 31, 2016, we did not record a provision for taxes.</w:t>
      </w:r>
    </w:p>
    <w:p>
      <w:pPr>
        <w:spacing w:after="0" w:line="117" w:lineRule="exact"/>
        <w:rPr>
          <w:sz w:val="20"/>
          <w:szCs w:val="20"/>
          <w:color w:val="auto"/>
        </w:rPr>
      </w:pPr>
    </w:p>
    <w:p>
      <w:pPr>
        <w:ind w:right="200" w:firstLine="438"/>
        <w:spacing w:after="0" w:line="264" w:lineRule="auto"/>
        <w:rPr>
          <w:sz w:val="20"/>
          <w:szCs w:val="20"/>
          <w:color w:val="auto"/>
        </w:rPr>
      </w:pPr>
      <w:r>
        <w:rPr>
          <w:rFonts w:ascii="Arial" w:cs="Arial" w:eastAsia="Arial" w:hAnsi="Arial"/>
          <w:sz w:val="13"/>
          <w:szCs w:val="13"/>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We did not have any material uncertain tax positions or any unrecognized tax benefits that met the recognition or measurement criteria of ASC 740-10-25 as of the periods presented herein.</w:t>
      </w:r>
    </w:p>
    <w:p>
      <w:pPr>
        <w:spacing w:after="0" w:line="101" w:lineRule="exact"/>
        <w:rPr>
          <w:sz w:val="20"/>
          <w:szCs w:val="20"/>
          <w:color w:val="auto"/>
        </w:rPr>
      </w:pPr>
    </w:p>
    <w:p>
      <w:pPr>
        <w:ind w:right="120" w:firstLine="438"/>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15"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460" w:hanging="204"/>
        <w:spacing w:after="0"/>
        <w:tabs>
          <w:tab w:leader="none" w:pos="46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rFonts w:ascii="Arial" w:cs="Arial" w:eastAsia="Arial" w:hAnsi="Arial"/>
          <w:sz w:val="14"/>
          <w:szCs w:val="14"/>
          <w:b w:val="1"/>
          <w:bCs w:val="1"/>
          <w:i w:val="1"/>
          <w:iCs w:val="1"/>
          <w:color w:val="auto"/>
        </w:rPr>
      </w:pPr>
    </w:p>
    <w:p>
      <w:pPr>
        <w:ind w:left="44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rFonts w:ascii="Arial" w:cs="Arial" w:eastAsia="Arial" w:hAnsi="Arial"/>
          <w:sz w:val="14"/>
          <w:szCs w:val="14"/>
          <w:b w:val="1"/>
          <w:bCs w:val="1"/>
          <w:i w:val="1"/>
          <w:iCs w:val="1"/>
          <w:color w:val="auto"/>
        </w:rPr>
      </w:pPr>
    </w:p>
    <w:p>
      <w:pPr>
        <w:ind w:left="1180" w:hanging="362"/>
        <w:spacing w:after="0"/>
        <w:tabs>
          <w:tab w:leader="none" w:pos="1180" w:val="left"/>
        </w:tabs>
        <w:numPr>
          <w:ilvl w:val="1"/>
          <w:numId w:val="7"/>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1"/>
          <w:numId w:val="7"/>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taxable subsidiaries in our Consolidated Financial Statements.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136"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of its assets and such assets are not intended to be available to the creditors of PennantPark Floating Rate Capital Ltd. or any of its affiliates.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40"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2017.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9" w:lineRule="exact"/>
        <w:rPr>
          <w:sz w:val="20"/>
          <w:szCs w:val="20"/>
          <w:color w:val="auto"/>
        </w:rPr>
      </w:pPr>
    </w:p>
    <w:p>
      <w:pPr>
        <w:ind w:right="40" w:firstLine="438"/>
        <w:spacing w:after="0" w:line="245"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2017, the Investment Adviser earned base management fees of $1.7 million and $3.3 million, respectively, from us. For the three and six months ended March 31, 2016, the Investment Adviser earned base management fees of $1.2 million and $2.3 million, respectively, from us.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39"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w:t>
      </w:r>
    </w:p>
    <w:p>
      <w:pPr>
        <w:spacing w:after="0" w:line="7" w:lineRule="exact"/>
        <w:rPr>
          <w:sz w:val="20"/>
          <w:szCs w:val="20"/>
          <w:color w:val="auto"/>
        </w:rPr>
      </w:pPr>
    </w:p>
    <w:p>
      <w:pPr>
        <w:jc w:val="both"/>
        <w:ind w:right="120"/>
        <w:spacing w:after="0" w:line="229" w:lineRule="auto"/>
        <w:rPr>
          <w:sz w:val="20"/>
          <w:szCs w:val="20"/>
          <w:color w:val="auto"/>
        </w:rPr>
      </w:pPr>
      <w:r>
        <w:rPr>
          <w:rFonts w:ascii="Arial" w:cs="Arial" w:eastAsia="Arial" w:hAnsi="Arial"/>
          <w:sz w:val="14"/>
          <w:szCs w:val="14"/>
          <w:color w:val="auto"/>
        </w:rPr>
        <w:t>2.9167% in any calendar quarter. These calculations are pro-rated for any share issuances or repurchases during the relevant quarter, if applicable. For the three and six months ended March 31, 2017, the Investment Adviser earned an incentive fee on net investment income as calculated under the Investment Management Agreement of $0.6 million and $1.4 million, respectively, from us. For the three and six months ended March 31, 2016, the Investment Adviser earned an incentive fee on net investment income as calculated under the Investment Management Agreement of $0.8 million and $0.8 million, respectively, from us.</w:t>
      </w:r>
    </w:p>
    <w:p>
      <w:pPr>
        <w:spacing w:after="0" w:line="116"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and six months ended March 31, 2017 and 2016, the Investment Adviser did not earn an incentive fee on capital gains, as calculated under the Investment Management Agreement (as described above).</w:t>
      </w:r>
    </w:p>
    <w:p>
      <w:pPr>
        <w:spacing w:after="0" w:line="107" w:lineRule="exact"/>
        <w:rPr>
          <w:sz w:val="20"/>
          <w:szCs w:val="20"/>
          <w:color w:val="auto"/>
        </w:rPr>
      </w:pPr>
    </w:p>
    <w:p>
      <w:pPr>
        <w:ind w:right="80" w:firstLine="438"/>
        <w:spacing w:after="0" w:line="228"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if any, will be realized in the future. For the three and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160"/>
        <w:spacing w:after="0" w:line="335" w:lineRule="auto"/>
        <w:rPr>
          <w:sz w:val="20"/>
          <w:szCs w:val="20"/>
          <w:color w:val="auto"/>
        </w:rPr>
      </w:pPr>
      <w:r>
        <w:rPr>
          <w:rFonts w:ascii="Arial" w:cs="Arial" w:eastAsia="Arial" w:hAnsi="Arial"/>
          <w:sz w:val="12"/>
          <w:szCs w:val="12"/>
          <w:color w:val="auto"/>
        </w:rPr>
        <w:t>six months ended March 31, 2017, the Investment Adviser accrued an incentive fee on our unrealized and realized capital gains as calculated under GAAP of $(0.1) million and $0.5 million, respectively. For the three and six months ended March 31, 2016, the Investment Adviser did not accrue an incentive fee on our unrealized and realized capital gains as calculated under GAAP.</w:t>
      </w:r>
    </w:p>
    <w:p>
      <w:pPr>
        <w:spacing w:after="0" w:line="60" w:lineRule="exact"/>
        <w:rPr>
          <w:sz w:val="20"/>
          <w:szCs w:val="20"/>
          <w:color w:val="auto"/>
        </w:rPr>
      </w:pPr>
    </w:p>
    <w:p>
      <w:pPr>
        <w:ind w:right="20" w:firstLine="438"/>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the directors who are not interested persons of us, in February 2017.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Statements of Operations. For the three and six months ended March 31, 2017, the Investment Adviser was reimbursed approximately $0.7 million and $1.0 million, respectively, from us, including expenses the Investment Adviser incurred on behalf of the Administrator, for services described above. For the three and six months ended March 31, 2016, the Investment Adviser was reimbursed approximately $0.3 million and $0.5 million, respectively, from us, including expenses the Investment Adviser incurred on behalf of the Administrator, for services described above.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160" w:firstLine="438"/>
        <w:spacing w:after="0" w:line="229" w:lineRule="auto"/>
        <w:rPr>
          <w:sz w:val="20"/>
          <w:szCs w:val="20"/>
          <w:color w:val="auto"/>
        </w:rPr>
      </w:pPr>
      <w:r>
        <w:rPr>
          <w:rFonts w:ascii="Arial" w:cs="Arial" w:eastAsia="Arial" w:hAnsi="Arial"/>
          <w:sz w:val="14"/>
          <w:szCs w:val="14"/>
          <w:color w:val="auto"/>
        </w:rPr>
        <w:t>Purchases of investments, including PIK interest, for the three and six months ended March 31, 2017 totaled $146.5 million and $271.3 million, respectively. For the same periods in the prior year, purchases of investments, including PIK interest, totaled $57.3 million and $156.5 million, respectively. Sales and repayments of investments for the three and six months ended March 31, 2017 totaled $71.5 million and $141.9 million, respectively. For the same periods in the prior year, sales and repayments of investments totaled $29.9 million and $56.8 million, respectively. For the three and six months ended March 31, 2017, the Company purchased $38.1 million and $38.1 million, respectively, and sold zero and $5.0 million in total investments, respectively, to an affiliated fund managed by our Investment Adviser in accordance with, and pursuant to procedures adopted under, Rule 17a-7 of the 1940 Act. Realized gains on those sales amounted to less than $0.1 million.</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182"/>
        </w:trPr>
        <w:tc>
          <w:tcPr>
            <w:tcW w:w="4460" w:type="dxa"/>
            <w:vAlign w:val="bottom"/>
            <w:gridSpan w:val="2"/>
          </w:tcPr>
          <w:p>
            <w:pPr>
              <w:spacing w:after="0"/>
              <w:rPr>
                <w:sz w:val="20"/>
                <w:szCs w:val="20"/>
                <w:color w:val="auto"/>
              </w:rPr>
            </w:pPr>
            <w:r>
              <w:rPr>
                <w:rFonts w:ascii="Arial" w:cs="Arial" w:eastAsia="Arial" w:hAnsi="Arial"/>
                <w:sz w:val="14"/>
                <w:szCs w:val="14"/>
                <w:color w:val="auto"/>
              </w:rPr>
              <w:t>Investments, cash and cash equivalents consisted of the following:</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4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Investment Classification</w:t>
            </w:r>
          </w:p>
        </w:tc>
        <w:tc>
          <w:tcPr>
            <w:tcW w:w="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March 31, 2017</w:t>
            </w: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260" w:type="dxa"/>
            <w:vAlign w:val="bottom"/>
            <w:tcBorders>
              <w:top w:val="single" w:sz="8" w:color="CCECFF"/>
            </w:tcBorders>
            <w:shd w:val="clear" w:color="auto" w:fill="CCECFF"/>
          </w:tcPr>
          <w:p>
            <w:pPr>
              <w:spacing w:after="0" w:line="142" w:lineRule="exact"/>
              <w:rPr>
                <w:sz w:val="20"/>
                <w:szCs w:val="20"/>
                <w:color w:val="auto"/>
              </w:rPr>
            </w:pPr>
            <w:r>
              <w:rPr>
                <w:rFonts w:ascii="Arial" w:cs="Arial" w:eastAsia="Arial" w:hAnsi="Arial"/>
                <w:sz w:val="14"/>
                <w:szCs w:val="14"/>
                <w:color w:val="auto"/>
              </w:rPr>
              <w:t>First lien</w:t>
            </w:r>
          </w:p>
        </w:tc>
        <w:tc>
          <w:tcPr>
            <w:tcW w:w="66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680,718,108</w:t>
            </w:r>
          </w:p>
        </w:tc>
        <w:tc>
          <w:tcPr>
            <w:tcW w:w="28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682,258,069</w:t>
            </w:r>
          </w:p>
        </w:tc>
        <w:tc>
          <w:tcPr>
            <w:tcW w:w="320" w:type="dxa"/>
            <w:vAlign w:val="bottom"/>
            <w:tcBorders>
              <w:top w:val="single" w:sz="8" w:color="CCECFF"/>
            </w:tcBorders>
            <w:shd w:val="clear" w:color="auto" w:fill="CCECFF"/>
          </w:tcPr>
          <w:p>
            <w:pPr>
              <w:spacing w:after="0"/>
              <w:rPr>
                <w:sz w:val="12"/>
                <w:szCs w:val="12"/>
                <w:color w:val="auto"/>
              </w:rPr>
            </w:pPr>
          </w:p>
        </w:tc>
        <w:tc>
          <w:tcPr>
            <w:tcW w:w="180" w:type="dxa"/>
            <w:vAlign w:val="bottom"/>
            <w:tcBorders>
              <w:top w:val="single" w:sz="8" w:color="auto"/>
            </w:tcBorders>
            <w:shd w:val="clear" w:color="auto" w:fill="CCEC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549,736,982</w:t>
            </w:r>
          </w:p>
        </w:tc>
        <w:tc>
          <w:tcPr>
            <w:tcW w:w="28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548,410,095</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4"/>
                <w:szCs w:val="14"/>
                <w:color w:val="auto"/>
              </w:rPr>
              <w:t>Second lien</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34,529,240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33,160,508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38,404,428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36,596,692</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6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8,311,995</w:t>
            </w:r>
          </w:p>
        </w:tc>
        <w:tc>
          <w:tcPr>
            <w:tcW w:w="2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8,446,636</w:t>
            </w:r>
          </w:p>
        </w:tc>
        <w:tc>
          <w:tcPr>
            <w:tcW w:w="3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3,228,083</w:t>
            </w:r>
          </w:p>
        </w:tc>
        <w:tc>
          <w:tcPr>
            <w:tcW w:w="2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3,160,372</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66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7,145,212</w:t>
            </w:r>
          </w:p>
        </w:tc>
        <w:tc>
          <w:tcPr>
            <w:tcW w:w="28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7,617,501</w:t>
            </w:r>
          </w:p>
        </w:tc>
        <w:tc>
          <w:tcPr>
            <w:tcW w:w="3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6,540,774</w:t>
            </w:r>
          </w:p>
        </w:tc>
        <w:tc>
          <w:tcPr>
            <w:tcW w:w="28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10,720,366</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260" w:type="dxa"/>
            <w:vAlign w:val="bottom"/>
            <w:shd w:val="clear" w:color="auto" w:fill="CCECFF"/>
          </w:tcPr>
          <w:p>
            <w:pPr>
              <w:spacing w:after="0" w:line="142" w:lineRule="exact"/>
              <w:rPr>
                <w:sz w:val="20"/>
                <w:szCs w:val="20"/>
                <w:color w:val="auto"/>
              </w:rPr>
            </w:pPr>
            <w:r>
              <w:rPr>
                <w:rFonts w:ascii="Arial" w:cs="Arial" w:eastAsia="Arial" w:hAnsi="Arial"/>
                <w:sz w:val="14"/>
                <w:szCs w:val="14"/>
                <w:color w:val="auto"/>
              </w:rPr>
              <w:t>Total investments</w:t>
            </w:r>
          </w:p>
        </w:tc>
        <w:tc>
          <w:tcPr>
            <w:tcW w:w="660" w:type="dxa"/>
            <w:vAlign w:val="bottom"/>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84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730,704,555</w:t>
            </w:r>
          </w:p>
        </w:tc>
        <w:tc>
          <w:tcPr>
            <w:tcW w:w="28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96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731,482,714</w:t>
            </w:r>
          </w:p>
        </w:tc>
        <w:tc>
          <w:tcPr>
            <w:tcW w:w="320" w:type="dxa"/>
            <w:vAlign w:val="bottom"/>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84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597,910,267</w:t>
            </w:r>
          </w:p>
        </w:tc>
        <w:tc>
          <w:tcPr>
            <w:tcW w:w="28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92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598,887,525</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260" w:type="dxa"/>
            <w:vAlign w:val="bottom"/>
            <w:tcBorders>
              <w:bottom w:val="single" w:sz="8" w:color="CCECFF"/>
            </w:tcBorders>
          </w:tcPr>
          <w:p>
            <w:pPr>
              <w:spacing w:after="0" w:line="142" w:lineRule="exact"/>
              <w:rPr>
                <w:sz w:val="20"/>
                <w:szCs w:val="20"/>
                <w:color w:val="auto"/>
              </w:rPr>
            </w:pPr>
            <w:r>
              <w:rPr>
                <w:rFonts w:ascii="Arial" w:cs="Arial" w:eastAsia="Arial" w:hAnsi="Arial"/>
                <w:sz w:val="14"/>
                <w:szCs w:val="14"/>
                <w:color w:val="auto"/>
              </w:rPr>
              <w:t>Cash and cash equivalents</w:t>
            </w:r>
          </w:p>
        </w:tc>
        <w:tc>
          <w:tcPr>
            <w:tcW w:w="660" w:type="dxa"/>
            <w:vAlign w:val="bottom"/>
            <w:tcBorders>
              <w:bottom w:val="single" w:sz="8" w:color="CCEC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43,966,306</w:t>
            </w:r>
          </w:p>
        </w:tc>
        <w:tc>
          <w:tcPr>
            <w:tcW w:w="28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43,974,053</w:t>
            </w:r>
          </w:p>
        </w:tc>
        <w:tc>
          <w:tcPr>
            <w:tcW w:w="320" w:type="dxa"/>
            <w:vAlign w:val="bottom"/>
            <w:tcBorders>
              <w:bottom w:val="single" w:sz="8" w:color="CCEC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28,903,359</w:t>
            </w:r>
          </w:p>
        </w:tc>
        <w:tc>
          <w:tcPr>
            <w:tcW w:w="28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28,910,973</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Total investments, cash and cash equivalents</w:t>
            </w:r>
          </w:p>
        </w:tc>
        <w:tc>
          <w:tcPr>
            <w:tcW w:w="820" w:type="dxa"/>
            <w:vAlign w:val="bottom"/>
            <w:gridSpan w:val="2"/>
            <w:shd w:val="clear" w:color="auto" w:fill="CCEC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774,670,861</w:t>
            </w:r>
          </w:p>
        </w:tc>
        <w:tc>
          <w:tcPr>
            <w:tcW w:w="420" w:type="dxa"/>
            <w:vAlign w:val="bottom"/>
            <w:gridSpan w:val="2"/>
            <w:shd w:val="clear" w:color="auto" w:fill="CCECFF"/>
          </w:tcPr>
          <w:p>
            <w:pPr>
              <w:jc w:val="right"/>
              <w:ind w:right="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775,456,767</w:t>
            </w:r>
          </w:p>
        </w:tc>
        <w:tc>
          <w:tcPr>
            <w:tcW w:w="500" w:type="dxa"/>
            <w:vAlign w:val="bottom"/>
            <w:gridSpan w:val="2"/>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626,813,626</w:t>
            </w:r>
          </w:p>
        </w:tc>
        <w:tc>
          <w:tcPr>
            <w:tcW w:w="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627,798,498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6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1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5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360" w:type="dxa"/>
            <w:vAlign w:val="bottom"/>
            <w:tcBorders>
              <w:bottom w:val="single" w:sz="8" w:color="CCECFF"/>
            </w:tcBorders>
          </w:tcPr>
          <w:p>
            <w:pPr>
              <w:spacing w:after="0"/>
              <w:rPr>
                <w:sz w:val="14"/>
                <w:szCs w:val="14"/>
                <w:color w:val="auto"/>
              </w:rPr>
            </w:pPr>
          </w:p>
        </w:tc>
        <w:tc>
          <w:tcPr>
            <w:tcW w:w="1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March 31, 2017</w:t>
            </w:r>
          </w:p>
        </w:tc>
        <w:tc>
          <w:tcPr>
            <w:tcW w:w="640" w:type="dxa"/>
            <w:vAlign w:val="bottom"/>
            <w:tcBorders>
              <w:bottom w:val="single" w:sz="8" w:color="CCECFF"/>
            </w:tcBorders>
          </w:tcPr>
          <w:p>
            <w:pPr>
              <w:spacing w:after="0"/>
              <w:rPr>
                <w:sz w:val="14"/>
                <w:szCs w:val="14"/>
                <w:color w:val="auto"/>
              </w:rPr>
            </w:pPr>
          </w:p>
        </w:tc>
        <w:tc>
          <w:tcPr>
            <w:tcW w:w="1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September 30, 2016</w:t>
            </w:r>
          </w:p>
        </w:tc>
        <w:tc>
          <w:tcPr>
            <w:tcW w:w="220" w:type="dxa"/>
            <w:vAlign w:val="bottom"/>
            <w:tcBorders>
              <w:bottom w:val="single" w:sz="8" w:color="CCECFF"/>
            </w:tcBorders>
          </w:tcPr>
          <w:p>
            <w:pPr>
              <w:spacing w:after="0"/>
              <w:rPr>
                <w:sz w:val="14"/>
                <w:szCs w:val="14"/>
                <w:color w:val="auto"/>
              </w:rPr>
            </w:pPr>
          </w:p>
        </w:tc>
      </w:tr>
      <w:tr>
        <w:trPr>
          <w:trHeight w:val="142"/>
        </w:trPr>
        <w:tc>
          <w:tcPr>
            <w:tcW w:w="5740" w:type="dxa"/>
            <w:vAlign w:val="bottom"/>
            <w:shd w:val="clear" w:color="auto" w:fill="CCECFF"/>
          </w:tcPr>
          <w:p>
            <w:pPr>
              <w:spacing w:after="0" w:line="142" w:lineRule="exact"/>
              <w:rPr>
                <w:sz w:val="20"/>
                <w:szCs w:val="20"/>
                <w:color w:val="auto"/>
              </w:rPr>
            </w:pPr>
            <w:r>
              <w:rPr>
                <w:rFonts w:ascii="Arial" w:cs="Arial" w:eastAsia="Arial" w:hAnsi="Arial"/>
                <w:sz w:val="14"/>
                <w:szCs w:val="14"/>
                <w:color w:val="auto"/>
              </w:rPr>
              <w:t>Healthcare and Pharmaceuticals</w:t>
            </w:r>
          </w:p>
        </w:tc>
        <w:tc>
          <w:tcPr>
            <w:tcW w:w="360" w:type="dxa"/>
            <w:vAlign w:val="bottom"/>
            <w:shd w:val="clear" w:color="auto" w:fill="CCECFF"/>
          </w:tcPr>
          <w:p>
            <w:pPr>
              <w:spacing w:after="0"/>
              <w:rPr>
                <w:sz w:val="12"/>
                <w:szCs w:val="12"/>
                <w:color w:val="auto"/>
              </w:rPr>
            </w:pPr>
          </w:p>
        </w:tc>
        <w:tc>
          <w:tcPr>
            <w:tcW w:w="2160" w:type="dxa"/>
            <w:vAlign w:val="bottom"/>
            <w:gridSpan w:val="2"/>
            <w:shd w:val="clear" w:color="auto" w:fill="CCECFF"/>
          </w:tcPr>
          <w:p>
            <w:pPr>
              <w:jc w:val="right"/>
              <w:ind w:right="540"/>
              <w:spacing w:after="0" w:line="142" w:lineRule="exact"/>
              <w:rPr>
                <w:sz w:val="20"/>
                <w:szCs w:val="20"/>
                <w:color w:val="auto"/>
              </w:rPr>
            </w:pPr>
            <w:r>
              <w:rPr>
                <w:rFonts w:ascii="Arial" w:cs="Arial" w:eastAsia="Arial" w:hAnsi="Arial"/>
                <w:sz w:val="14"/>
                <w:szCs w:val="14"/>
                <w:color w:val="auto"/>
              </w:rPr>
              <w:t>11%</w:t>
            </w:r>
          </w:p>
        </w:tc>
        <w:tc>
          <w:tcPr>
            <w:tcW w:w="1720" w:type="dxa"/>
            <w:vAlign w:val="bottom"/>
            <w:gridSpan w:val="2"/>
            <w:shd w:val="clear" w:color="auto" w:fill="CCECFF"/>
          </w:tcPr>
          <w:p>
            <w:pPr>
              <w:jc w:val="right"/>
              <w:ind w:right="100"/>
              <w:spacing w:after="0" w:line="142" w:lineRule="exact"/>
              <w:rPr>
                <w:sz w:val="20"/>
                <w:szCs w:val="20"/>
                <w:color w:val="auto"/>
              </w:rPr>
            </w:pPr>
            <w:r>
              <w:rPr>
                <w:rFonts w:ascii="Arial" w:cs="Arial" w:eastAsia="Arial" w:hAnsi="Arial"/>
                <w:sz w:val="14"/>
                <w:szCs w:val="14"/>
                <w:color w:val="auto"/>
              </w:rPr>
              <w:t>10%</w:t>
            </w:r>
          </w:p>
        </w:tc>
      </w:tr>
      <w:tr>
        <w:trPr>
          <w:trHeight w:val="162"/>
        </w:trPr>
        <w:tc>
          <w:tcPr>
            <w:tcW w:w="610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1520" w:type="dxa"/>
            <w:vAlign w:val="bottom"/>
          </w:tcPr>
          <w:p>
            <w:pPr>
              <w:jc w:val="right"/>
              <w:spacing w:after="0"/>
              <w:rPr>
                <w:sz w:val="20"/>
                <w:szCs w:val="20"/>
                <w:color w:val="auto"/>
              </w:rPr>
            </w:pPr>
            <w:r>
              <w:rPr>
                <w:rFonts w:ascii="Arial" w:cs="Arial" w:eastAsia="Arial" w:hAnsi="Arial"/>
                <w:sz w:val="14"/>
                <w:szCs w:val="14"/>
                <w:color w:val="auto"/>
              </w:rPr>
              <w:t>7</w:t>
            </w:r>
          </w:p>
        </w:tc>
        <w:tc>
          <w:tcPr>
            <w:tcW w:w="6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4"/>
                <w:szCs w:val="14"/>
                <w:color w:val="auto"/>
              </w:rPr>
            </w:pPr>
          </w:p>
        </w:tc>
      </w:tr>
      <w:tr>
        <w:trPr>
          <w:trHeight w:val="162"/>
        </w:trPr>
        <w:tc>
          <w:tcPr>
            <w:tcW w:w="61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Consumer Goods: Durable</w:t>
            </w: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6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CFF"/>
          </w:tcPr>
          <w:p>
            <w:pPr>
              <w:spacing w:after="0"/>
              <w:rPr>
                <w:sz w:val="14"/>
                <w:szCs w:val="14"/>
                <w:color w:val="auto"/>
              </w:rPr>
            </w:pPr>
          </w:p>
        </w:tc>
      </w:tr>
      <w:tr>
        <w:trPr>
          <w:trHeight w:val="162"/>
        </w:trPr>
        <w:tc>
          <w:tcPr>
            <w:tcW w:w="6100" w:type="dxa"/>
            <w:vAlign w:val="bottom"/>
            <w:gridSpan w:val="2"/>
          </w:tcPr>
          <w:p>
            <w:pPr>
              <w:spacing w:after="0"/>
              <w:rPr>
                <w:sz w:val="20"/>
                <w:szCs w:val="20"/>
                <w:color w:val="auto"/>
              </w:rPr>
            </w:pPr>
            <w:r>
              <w:rPr>
                <w:rFonts w:ascii="Arial" w:cs="Arial" w:eastAsia="Arial" w:hAnsi="Arial"/>
                <w:sz w:val="14"/>
                <w:szCs w:val="14"/>
                <w:color w:val="auto"/>
              </w:rPr>
              <w:t>High Tech Industries</w:t>
            </w:r>
          </w:p>
        </w:tc>
        <w:tc>
          <w:tcPr>
            <w:tcW w:w="1520" w:type="dxa"/>
            <w:vAlign w:val="bottom"/>
          </w:tcPr>
          <w:p>
            <w:pPr>
              <w:jc w:val="right"/>
              <w:spacing w:after="0"/>
              <w:rPr>
                <w:sz w:val="20"/>
                <w:szCs w:val="20"/>
                <w:color w:val="auto"/>
              </w:rPr>
            </w:pPr>
            <w:r>
              <w:rPr>
                <w:rFonts w:ascii="Arial" w:cs="Arial" w:eastAsia="Arial" w:hAnsi="Arial"/>
                <w:sz w:val="14"/>
                <w:szCs w:val="14"/>
                <w:color w:val="auto"/>
              </w:rPr>
              <w:t>7</w:t>
            </w:r>
          </w:p>
        </w:tc>
        <w:tc>
          <w:tcPr>
            <w:tcW w:w="6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r>
      <w:tr>
        <w:trPr>
          <w:trHeight w:val="162"/>
        </w:trPr>
        <w:tc>
          <w:tcPr>
            <w:tcW w:w="61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Hotel, Gaming and Leisure</w:t>
            </w: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6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CECFF"/>
          </w:tcPr>
          <w:p>
            <w:pPr>
              <w:spacing w:after="0"/>
              <w:rPr>
                <w:sz w:val="14"/>
                <w:szCs w:val="14"/>
                <w:color w:val="auto"/>
              </w:rPr>
            </w:pPr>
          </w:p>
        </w:tc>
      </w:tr>
      <w:tr>
        <w:trPr>
          <w:trHeight w:val="162"/>
        </w:trPr>
        <w:tc>
          <w:tcPr>
            <w:tcW w:w="6100" w:type="dxa"/>
            <w:vAlign w:val="bottom"/>
            <w:gridSpan w:val="2"/>
          </w:tcPr>
          <w:p>
            <w:pPr>
              <w:spacing w:after="0"/>
              <w:rPr>
                <w:sz w:val="20"/>
                <w:szCs w:val="20"/>
                <w:color w:val="auto"/>
              </w:rPr>
            </w:pPr>
            <w:r>
              <w:rPr>
                <w:rFonts w:ascii="Arial" w:cs="Arial" w:eastAsia="Arial" w:hAnsi="Arial"/>
                <w:sz w:val="14"/>
                <w:szCs w:val="14"/>
                <w:color w:val="auto"/>
              </w:rPr>
              <w:t>Consumer Goods: Non-Durable</w:t>
            </w:r>
          </w:p>
        </w:tc>
        <w:tc>
          <w:tcPr>
            <w:tcW w:w="1520" w:type="dxa"/>
            <w:vAlign w:val="bottom"/>
          </w:tcPr>
          <w:p>
            <w:pPr>
              <w:jc w:val="right"/>
              <w:spacing w:after="0"/>
              <w:rPr>
                <w:sz w:val="20"/>
                <w:szCs w:val="20"/>
                <w:color w:val="auto"/>
              </w:rPr>
            </w:pPr>
            <w:r>
              <w:rPr>
                <w:rFonts w:ascii="Arial" w:cs="Arial" w:eastAsia="Arial" w:hAnsi="Arial"/>
                <w:sz w:val="14"/>
                <w:szCs w:val="14"/>
                <w:color w:val="auto"/>
              </w:rPr>
              <w:t>6</w:t>
            </w:r>
          </w:p>
        </w:tc>
        <w:tc>
          <w:tcPr>
            <w:tcW w:w="6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r>
      <w:tr>
        <w:trPr>
          <w:trHeight w:val="162"/>
        </w:trPr>
        <w:tc>
          <w:tcPr>
            <w:tcW w:w="61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 Advertising, Printing and Publishing</w:t>
            </w: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6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CCECFF"/>
          </w:tcPr>
          <w:p>
            <w:pPr>
              <w:spacing w:after="0"/>
              <w:rPr>
                <w:sz w:val="14"/>
                <w:szCs w:val="14"/>
                <w:color w:val="auto"/>
              </w:rPr>
            </w:pPr>
          </w:p>
        </w:tc>
      </w:tr>
      <w:tr>
        <w:trPr>
          <w:trHeight w:val="162"/>
        </w:trPr>
        <w:tc>
          <w:tcPr>
            <w:tcW w:w="6100" w:type="dxa"/>
            <w:vAlign w:val="bottom"/>
            <w:gridSpan w:val="2"/>
          </w:tcPr>
          <w:p>
            <w:pPr>
              <w:spacing w:after="0"/>
              <w:rPr>
                <w:sz w:val="20"/>
                <w:szCs w:val="20"/>
                <w:color w:val="auto"/>
              </w:rPr>
            </w:pPr>
            <w:r>
              <w:rPr>
                <w:rFonts w:ascii="Arial" w:cs="Arial" w:eastAsia="Arial" w:hAnsi="Arial"/>
                <w:sz w:val="14"/>
                <w:szCs w:val="14"/>
                <w:color w:val="auto"/>
              </w:rPr>
              <w:t>Beverage, Food and Tobacco</w:t>
            </w:r>
          </w:p>
        </w:tc>
        <w:tc>
          <w:tcPr>
            <w:tcW w:w="1520" w:type="dxa"/>
            <w:vAlign w:val="bottom"/>
          </w:tcPr>
          <w:p>
            <w:pPr>
              <w:jc w:val="right"/>
              <w:spacing w:after="0"/>
              <w:rPr>
                <w:sz w:val="20"/>
                <w:szCs w:val="20"/>
                <w:color w:val="auto"/>
              </w:rPr>
            </w:pPr>
            <w:r>
              <w:rPr>
                <w:rFonts w:ascii="Arial" w:cs="Arial" w:eastAsia="Arial" w:hAnsi="Arial"/>
                <w:sz w:val="14"/>
                <w:szCs w:val="14"/>
                <w:color w:val="auto"/>
              </w:rPr>
              <w:t>5</w:t>
            </w:r>
          </w:p>
        </w:tc>
        <w:tc>
          <w:tcPr>
            <w:tcW w:w="6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r>
      <w:tr>
        <w:trPr>
          <w:trHeight w:val="162"/>
        </w:trPr>
        <w:tc>
          <w:tcPr>
            <w:tcW w:w="61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Capital Equipment</w:t>
            </w: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6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CFF"/>
          </w:tcPr>
          <w:p>
            <w:pPr>
              <w:spacing w:after="0"/>
              <w:rPr>
                <w:sz w:val="14"/>
                <w:szCs w:val="14"/>
                <w:color w:val="auto"/>
              </w:rPr>
            </w:pPr>
          </w:p>
        </w:tc>
      </w:tr>
      <w:tr>
        <w:trPr>
          <w:trHeight w:val="162"/>
        </w:trPr>
        <w:tc>
          <w:tcPr>
            <w:tcW w:w="6100" w:type="dxa"/>
            <w:vAlign w:val="bottom"/>
            <w:gridSpan w:val="2"/>
          </w:tcPr>
          <w:p>
            <w:pPr>
              <w:spacing w:after="0"/>
              <w:rPr>
                <w:sz w:val="20"/>
                <w:szCs w:val="20"/>
                <w:color w:val="auto"/>
              </w:rPr>
            </w:pPr>
            <w:r>
              <w:rPr>
                <w:rFonts w:ascii="Arial" w:cs="Arial" w:eastAsia="Arial" w:hAnsi="Arial"/>
                <w:sz w:val="14"/>
                <w:szCs w:val="14"/>
                <w:color w:val="auto"/>
              </w:rPr>
              <w:t>Chemicals, Plastics and Rubber</w:t>
            </w:r>
          </w:p>
        </w:tc>
        <w:tc>
          <w:tcPr>
            <w:tcW w:w="1520" w:type="dxa"/>
            <w:vAlign w:val="bottom"/>
          </w:tcPr>
          <w:p>
            <w:pPr>
              <w:jc w:val="right"/>
              <w:spacing w:after="0"/>
              <w:rPr>
                <w:sz w:val="20"/>
                <w:szCs w:val="20"/>
                <w:color w:val="auto"/>
              </w:rPr>
            </w:pPr>
            <w:r>
              <w:rPr>
                <w:rFonts w:ascii="Arial" w:cs="Arial" w:eastAsia="Arial" w:hAnsi="Arial"/>
                <w:sz w:val="14"/>
                <w:szCs w:val="14"/>
                <w:color w:val="auto"/>
              </w:rPr>
              <w:t>5</w:t>
            </w:r>
          </w:p>
        </w:tc>
        <w:tc>
          <w:tcPr>
            <w:tcW w:w="6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r>
      <w:tr>
        <w:trPr>
          <w:trHeight w:val="162"/>
        </w:trPr>
        <w:tc>
          <w:tcPr>
            <w:tcW w:w="61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Wholesale</w:t>
            </w: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6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CFF"/>
          </w:tcPr>
          <w:p>
            <w:pPr>
              <w:spacing w:after="0"/>
              <w:rPr>
                <w:sz w:val="14"/>
                <w:szCs w:val="14"/>
                <w:color w:val="auto"/>
              </w:rPr>
            </w:pPr>
          </w:p>
        </w:tc>
      </w:tr>
      <w:tr>
        <w:trPr>
          <w:trHeight w:val="162"/>
        </w:trPr>
        <w:tc>
          <w:tcPr>
            <w:tcW w:w="6100" w:type="dxa"/>
            <w:vAlign w:val="bottom"/>
            <w:gridSpan w:val="2"/>
          </w:tcPr>
          <w:p>
            <w:pPr>
              <w:spacing w:after="0"/>
              <w:rPr>
                <w:sz w:val="20"/>
                <w:szCs w:val="20"/>
                <w:color w:val="auto"/>
              </w:rPr>
            </w:pPr>
            <w:r>
              <w:rPr>
                <w:rFonts w:ascii="Arial" w:cs="Arial" w:eastAsia="Arial" w:hAnsi="Arial"/>
                <w:sz w:val="14"/>
                <w:szCs w:val="14"/>
                <w:color w:val="auto"/>
              </w:rPr>
              <w:t>Aerospace and Defense</w:t>
            </w:r>
          </w:p>
        </w:tc>
        <w:tc>
          <w:tcPr>
            <w:tcW w:w="1520" w:type="dxa"/>
            <w:vAlign w:val="bottom"/>
          </w:tcPr>
          <w:p>
            <w:pPr>
              <w:jc w:val="right"/>
              <w:spacing w:after="0"/>
              <w:rPr>
                <w:sz w:val="20"/>
                <w:szCs w:val="20"/>
                <w:color w:val="auto"/>
              </w:rPr>
            </w:pPr>
            <w:r>
              <w:rPr>
                <w:rFonts w:ascii="Arial" w:cs="Arial" w:eastAsia="Arial" w:hAnsi="Arial"/>
                <w:sz w:val="14"/>
                <w:szCs w:val="14"/>
                <w:color w:val="auto"/>
              </w:rPr>
              <w:t>4</w:t>
            </w:r>
          </w:p>
        </w:tc>
        <w:tc>
          <w:tcPr>
            <w:tcW w:w="6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4"/>
                <w:szCs w:val="14"/>
                <w:color w:val="auto"/>
              </w:rPr>
            </w:pPr>
          </w:p>
        </w:tc>
      </w:tr>
      <w:tr>
        <w:trPr>
          <w:trHeight w:val="162"/>
        </w:trPr>
        <w:tc>
          <w:tcPr>
            <w:tcW w:w="61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 Broadcasting and Subscription</w:t>
            </w: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6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CFF"/>
          </w:tcPr>
          <w:p>
            <w:pPr>
              <w:spacing w:after="0"/>
              <w:rPr>
                <w:sz w:val="14"/>
                <w:szCs w:val="14"/>
                <w:color w:val="auto"/>
              </w:rPr>
            </w:pPr>
          </w:p>
        </w:tc>
      </w:tr>
      <w:tr>
        <w:trPr>
          <w:trHeight w:val="162"/>
        </w:trPr>
        <w:tc>
          <w:tcPr>
            <w:tcW w:w="6100" w:type="dxa"/>
            <w:vAlign w:val="bottom"/>
            <w:gridSpan w:val="2"/>
          </w:tcPr>
          <w:p>
            <w:pPr>
              <w:spacing w:after="0"/>
              <w:rPr>
                <w:sz w:val="20"/>
                <w:szCs w:val="20"/>
                <w:color w:val="auto"/>
              </w:rPr>
            </w:pPr>
            <w:r>
              <w:rPr>
                <w:rFonts w:ascii="Arial" w:cs="Arial" w:eastAsia="Arial" w:hAnsi="Arial"/>
                <w:sz w:val="14"/>
                <w:szCs w:val="14"/>
                <w:color w:val="auto"/>
              </w:rPr>
              <w:t>Media: Diversified and Production</w:t>
            </w:r>
          </w:p>
        </w:tc>
        <w:tc>
          <w:tcPr>
            <w:tcW w:w="1520" w:type="dxa"/>
            <w:vAlign w:val="bottom"/>
          </w:tcPr>
          <w:p>
            <w:pPr>
              <w:jc w:val="right"/>
              <w:spacing w:after="0"/>
              <w:rPr>
                <w:sz w:val="20"/>
                <w:szCs w:val="20"/>
                <w:color w:val="auto"/>
              </w:rPr>
            </w:pPr>
            <w:r>
              <w:rPr>
                <w:rFonts w:ascii="Arial" w:cs="Arial" w:eastAsia="Arial" w:hAnsi="Arial"/>
                <w:sz w:val="14"/>
                <w:szCs w:val="14"/>
                <w:color w:val="auto"/>
              </w:rPr>
              <w:t>4</w:t>
            </w:r>
          </w:p>
        </w:tc>
        <w:tc>
          <w:tcPr>
            <w:tcW w:w="6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4"/>
                <w:szCs w:val="14"/>
                <w:color w:val="auto"/>
              </w:rPr>
            </w:pPr>
          </w:p>
        </w:tc>
      </w:tr>
      <w:tr>
        <w:trPr>
          <w:trHeight w:val="162"/>
        </w:trPr>
        <w:tc>
          <w:tcPr>
            <w:tcW w:w="61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Retail</w:t>
            </w: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6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CFF"/>
          </w:tcPr>
          <w:p>
            <w:pPr>
              <w:spacing w:after="0"/>
              <w:rPr>
                <w:sz w:val="14"/>
                <w:szCs w:val="14"/>
                <w:color w:val="auto"/>
              </w:rPr>
            </w:pPr>
          </w:p>
        </w:tc>
      </w:tr>
      <w:tr>
        <w:trPr>
          <w:trHeight w:val="162"/>
        </w:trPr>
        <w:tc>
          <w:tcPr>
            <w:tcW w:w="6100" w:type="dxa"/>
            <w:vAlign w:val="bottom"/>
            <w:gridSpan w:val="2"/>
          </w:tcPr>
          <w:p>
            <w:pPr>
              <w:spacing w:after="0"/>
              <w:rPr>
                <w:sz w:val="20"/>
                <w:szCs w:val="20"/>
                <w:color w:val="auto"/>
              </w:rPr>
            </w:pPr>
            <w:r>
              <w:rPr>
                <w:rFonts w:ascii="Arial" w:cs="Arial" w:eastAsia="Arial" w:hAnsi="Arial"/>
                <w:sz w:val="14"/>
                <w:szCs w:val="14"/>
                <w:color w:val="auto"/>
              </w:rPr>
              <w:t>Telecommunications</w:t>
            </w:r>
          </w:p>
        </w:tc>
        <w:tc>
          <w:tcPr>
            <w:tcW w:w="1520" w:type="dxa"/>
            <w:vAlign w:val="bottom"/>
          </w:tcPr>
          <w:p>
            <w:pPr>
              <w:jc w:val="right"/>
              <w:spacing w:after="0"/>
              <w:rPr>
                <w:sz w:val="20"/>
                <w:szCs w:val="20"/>
                <w:color w:val="auto"/>
              </w:rPr>
            </w:pPr>
            <w:r>
              <w:rPr>
                <w:rFonts w:ascii="Arial" w:cs="Arial" w:eastAsia="Arial" w:hAnsi="Arial"/>
                <w:sz w:val="14"/>
                <w:szCs w:val="14"/>
                <w:color w:val="auto"/>
              </w:rPr>
              <w:t>4</w:t>
            </w:r>
          </w:p>
        </w:tc>
        <w:tc>
          <w:tcPr>
            <w:tcW w:w="6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4"/>
                <w:szCs w:val="14"/>
                <w:color w:val="auto"/>
              </w:rPr>
            </w:pPr>
          </w:p>
        </w:tc>
      </w:tr>
      <w:tr>
        <w:trPr>
          <w:trHeight w:val="162"/>
        </w:trPr>
        <w:tc>
          <w:tcPr>
            <w:tcW w:w="61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Construction and Building</w:t>
            </w: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6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CECFF"/>
          </w:tcPr>
          <w:p>
            <w:pPr>
              <w:spacing w:after="0"/>
              <w:rPr>
                <w:sz w:val="14"/>
                <w:szCs w:val="14"/>
                <w:color w:val="auto"/>
              </w:rPr>
            </w:pPr>
          </w:p>
        </w:tc>
      </w:tr>
      <w:tr>
        <w:trPr>
          <w:trHeight w:val="162"/>
        </w:trPr>
        <w:tc>
          <w:tcPr>
            <w:tcW w:w="6100" w:type="dxa"/>
            <w:vAlign w:val="bottom"/>
            <w:gridSpan w:val="2"/>
          </w:tcPr>
          <w:p>
            <w:pPr>
              <w:spacing w:after="0"/>
              <w:rPr>
                <w:sz w:val="20"/>
                <w:szCs w:val="20"/>
                <w:color w:val="auto"/>
              </w:rPr>
            </w:pPr>
            <w:r>
              <w:rPr>
                <w:rFonts w:ascii="Arial" w:cs="Arial" w:eastAsia="Arial" w:hAnsi="Arial"/>
                <w:sz w:val="14"/>
                <w:szCs w:val="14"/>
                <w:color w:val="auto"/>
              </w:rPr>
              <w:t>Banking, Finance, Insurance and Real Estate</w:t>
            </w:r>
          </w:p>
        </w:tc>
        <w:tc>
          <w:tcPr>
            <w:tcW w:w="1520" w:type="dxa"/>
            <w:vAlign w:val="bottom"/>
          </w:tcPr>
          <w:p>
            <w:pPr>
              <w:jc w:val="right"/>
              <w:spacing w:after="0"/>
              <w:rPr>
                <w:sz w:val="20"/>
                <w:szCs w:val="20"/>
                <w:color w:val="auto"/>
              </w:rPr>
            </w:pPr>
            <w:r>
              <w:rPr>
                <w:rFonts w:ascii="Arial" w:cs="Arial" w:eastAsia="Arial" w:hAnsi="Arial"/>
                <w:sz w:val="14"/>
                <w:szCs w:val="14"/>
                <w:color w:val="auto"/>
              </w:rPr>
              <w:t>2</w:t>
            </w:r>
          </w:p>
        </w:tc>
        <w:tc>
          <w:tcPr>
            <w:tcW w:w="6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r>
      <w:tr>
        <w:trPr>
          <w:trHeight w:val="162"/>
        </w:trPr>
        <w:tc>
          <w:tcPr>
            <w:tcW w:w="61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Consumer Services</w:t>
            </w: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6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CFF"/>
          </w:tcPr>
          <w:p>
            <w:pPr>
              <w:spacing w:after="0"/>
              <w:rPr>
                <w:sz w:val="14"/>
                <w:szCs w:val="14"/>
                <w:color w:val="auto"/>
              </w:rPr>
            </w:pPr>
          </w:p>
        </w:tc>
      </w:tr>
      <w:tr>
        <w:trPr>
          <w:trHeight w:val="162"/>
        </w:trPr>
        <w:tc>
          <w:tcPr>
            <w:tcW w:w="6100" w:type="dxa"/>
            <w:vAlign w:val="bottom"/>
            <w:gridSpan w:val="2"/>
          </w:tcPr>
          <w:p>
            <w:pPr>
              <w:spacing w:after="0"/>
              <w:rPr>
                <w:sz w:val="20"/>
                <w:szCs w:val="20"/>
                <w:color w:val="auto"/>
              </w:rPr>
            </w:pPr>
            <w:r>
              <w:rPr>
                <w:rFonts w:ascii="Arial" w:cs="Arial" w:eastAsia="Arial" w:hAnsi="Arial"/>
                <w:sz w:val="14"/>
                <w:szCs w:val="14"/>
                <w:color w:val="auto"/>
              </w:rPr>
              <w:t>Utilities: Water</w:t>
            </w:r>
          </w:p>
        </w:tc>
        <w:tc>
          <w:tcPr>
            <w:tcW w:w="216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r>
      <w:tr>
        <w:trPr>
          <w:trHeight w:val="162"/>
        </w:trPr>
        <w:tc>
          <w:tcPr>
            <w:tcW w:w="61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All Other</w:t>
            </w:r>
          </w:p>
        </w:tc>
        <w:tc>
          <w:tcPr>
            <w:tcW w:w="1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640" w:type="dxa"/>
            <w:vAlign w:val="bottom"/>
            <w:shd w:val="clear" w:color="auto" w:fill="CCECFF"/>
          </w:tcPr>
          <w:p>
            <w:pPr>
              <w:spacing w:after="0"/>
              <w:rPr>
                <w:sz w:val="14"/>
                <w:szCs w:val="14"/>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CCECFF"/>
          </w:tcPr>
          <w:p>
            <w:pPr>
              <w:spacing w:after="0"/>
              <w:rPr>
                <w:sz w:val="14"/>
                <w:szCs w:val="14"/>
                <w:color w:val="auto"/>
              </w:rPr>
            </w:pPr>
          </w:p>
        </w:tc>
      </w:tr>
      <w:tr>
        <w:trPr>
          <w:trHeight w:val="142"/>
        </w:trPr>
        <w:tc>
          <w:tcPr>
            <w:tcW w:w="6100" w:type="dxa"/>
            <w:vAlign w:val="bottom"/>
            <w:gridSpan w:val="2"/>
          </w:tcPr>
          <w:p>
            <w:pPr>
              <w:spacing w:after="0" w:line="142" w:lineRule="exact"/>
              <w:rPr>
                <w:sz w:val="20"/>
                <w:szCs w:val="20"/>
                <w:color w:val="auto"/>
              </w:rPr>
            </w:pPr>
            <w:r>
              <w:rPr>
                <w:rFonts w:ascii="Arial" w:cs="Arial" w:eastAsia="Arial" w:hAnsi="Arial"/>
                <w:sz w:val="14"/>
                <w:szCs w:val="14"/>
                <w:color w:val="auto"/>
              </w:rPr>
              <w:t>Total</w:t>
            </w:r>
          </w:p>
        </w:tc>
        <w:tc>
          <w:tcPr>
            <w:tcW w:w="2160" w:type="dxa"/>
            <w:vAlign w:val="bottom"/>
            <w:gridSpan w:val="2"/>
          </w:tcPr>
          <w:p>
            <w:pPr>
              <w:jc w:val="right"/>
              <w:ind w:right="540"/>
              <w:spacing w:after="0" w:line="142" w:lineRule="exact"/>
              <w:rPr>
                <w:sz w:val="20"/>
                <w:szCs w:val="20"/>
                <w:color w:val="auto"/>
              </w:rPr>
            </w:pPr>
            <w:r>
              <w:rPr>
                <w:rFonts w:ascii="Arial" w:cs="Arial" w:eastAsia="Arial" w:hAnsi="Arial"/>
                <w:sz w:val="14"/>
                <w:szCs w:val="14"/>
                <w:color w:val="auto"/>
              </w:rPr>
              <w:t>100%</w:t>
            </w:r>
          </w:p>
        </w:tc>
        <w:tc>
          <w:tcPr>
            <w:tcW w:w="17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100%</w:t>
            </w:r>
          </w:p>
        </w:tc>
      </w:tr>
      <w:tr>
        <w:trPr>
          <w:trHeight w:val="20"/>
        </w:trPr>
        <w:tc>
          <w:tcPr>
            <w:tcW w:w="5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right="80" w:firstLine="438"/>
        <w:spacing w:after="0" w:line="229" w:lineRule="auto"/>
        <w:rPr>
          <w:sz w:val="20"/>
          <w:szCs w:val="20"/>
          <w:color w:val="auto"/>
        </w:rPr>
      </w:pPr>
      <w:r>
        <w:rPr>
          <w:rFonts w:ascii="Arial" w:cs="Arial" w:eastAsia="Arial" w:hAnsi="Arial"/>
          <w:sz w:val="14"/>
          <w:szCs w:val="14"/>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22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34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360" w:firstLine="425"/>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2017 and 2016, our ability to observe valuation inputs resulted in no reclassifications and one reclassification of an asset from Level 2 to 1, respectively.</w:t>
      </w:r>
    </w:p>
    <w:p>
      <w:pPr>
        <w:spacing w:after="0" w:line="117"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typically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right="80" w:firstLine="438"/>
        <w:spacing w:after="0" w:line="244" w:lineRule="auto"/>
        <w:rPr>
          <w:sz w:val="20"/>
          <w:szCs w:val="20"/>
          <w:color w:val="auto"/>
        </w:rPr>
      </w:pPr>
      <w:r>
        <w:rPr>
          <w:rFonts w:ascii="Arial" w:cs="Arial" w:eastAsia="Arial" w:hAnsi="Arial"/>
          <w:sz w:val="13"/>
          <w:szCs w:val="13"/>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rPr>
              <w:t>Fair Value at</w:t>
            </w:r>
          </w:p>
        </w:tc>
        <w:tc>
          <w:tcPr>
            <w:tcW w:w="320" w:type="dxa"/>
            <w:vAlign w:val="bottom"/>
          </w:tcPr>
          <w:p>
            <w:pPr>
              <w:spacing w:after="0"/>
              <w:rPr>
                <w:sz w:val="14"/>
                <w:szCs w:val="14"/>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Valuation Technique</w:t>
            </w:r>
          </w:p>
        </w:tc>
        <w:tc>
          <w:tcPr>
            <w:tcW w:w="1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Unobservable Input</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Arial" w:cs="Arial" w:eastAsia="Arial" w:hAnsi="Arial"/>
                <w:sz w:val="14"/>
                <w:szCs w:val="14"/>
                <w:b w:val="1"/>
                <w:bCs w:val="1"/>
                <w:color w:val="auto"/>
              </w:rPr>
              <w:t>March 31, 2017</w:t>
            </w:r>
          </w:p>
        </w:tc>
        <w:tc>
          <w:tcPr>
            <w:tcW w:w="3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3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328,369,312</w:t>
            </w:r>
          </w:p>
        </w:tc>
        <w:tc>
          <w:tcPr>
            <w:tcW w:w="3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8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center"/>
              <w:ind w:right="448"/>
              <w:spacing w:after="0" w:line="142" w:lineRule="exact"/>
              <w:rPr>
                <w:sz w:val="20"/>
                <w:szCs w:val="20"/>
                <w:color w:val="auto"/>
              </w:rPr>
            </w:pPr>
            <w:r>
              <w:rPr>
                <w:rFonts w:ascii="Arial" w:cs="Arial" w:eastAsia="Arial" w:hAnsi="Arial"/>
                <w:sz w:val="14"/>
                <w:szCs w:val="14"/>
                <w:color w:val="auto"/>
              </w:rPr>
              <w:t>N/A</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2,525,445</w:t>
            </w:r>
          </w:p>
        </w:tc>
        <w:tc>
          <w:tcPr>
            <w:tcW w:w="32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Market Comparable</w:t>
            </w:r>
          </w:p>
        </w:tc>
        <w:tc>
          <w:tcPr>
            <w:tcW w:w="17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Broker/Dealer bids or quotes</w:t>
            </w:r>
          </w:p>
        </w:tc>
        <w:tc>
          <w:tcPr>
            <w:tcW w:w="500" w:type="dxa"/>
            <w:vAlign w:val="bottom"/>
          </w:tcPr>
          <w:p>
            <w:pPr>
              <w:spacing w:after="0"/>
              <w:rPr>
                <w:sz w:val="14"/>
                <w:szCs w:val="14"/>
                <w:color w:val="auto"/>
              </w:rPr>
            </w:pPr>
          </w:p>
        </w:tc>
        <w:tc>
          <w:tcPr>
            <w:tcW w:w="1140" w:type="dxa"/>
            <w:vAlign w:val="bottom"/>
          </w:tcPr>
          <w:p>
            <w:pPr>
              <w:jc w:val="center"/>
              <w:ind w:right="448"/>
              <w:spacing w:after="0"/>
              <w:rPr>
                <w:sz w:val="20"/>
                <w:szCs w:val="20"/>
                <w:color w:val="auto"/>
              </w:rPr>
            </w:pPr>
            <w:r>
              <w:rPr>
                <w:rFonts w:ascii="Arial" w:cs="Arial" w:eastAsia="Arial" w:hAnsi="Arial"/>
                <w:sz w:val="14"/>
                <w:szCs w:val="14"/>
                <w:color w:val="auto"/>
              </w:rPr>
              <w:t>N/A</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4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1,123,239</w:t>
            </w:r>
          </w:p>
        </w:tc>
        <w:tc>
          <w:tcPr>
            <w:tcW w:w="3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center"/>
              <w:ind w:right="80"/>
              <w:spacing w:after="0"/>
              <w:rPr>
                <w:sz w:val="20"/>
                <w:szCs w:val="20"/>
                <w:color w:val="auto"/>
              </w:rPr>
            </w:pPr>
            <w:r>
              <w:rPr>
                <w:rFonts w:ascii="Arial" w:cs="Arial" w:eastAsia="Arial" w:hAnsi="Arial"/>
                <w:sz w:val="14"/>
                <w:szCs w:val="14"/>
                <w:color w:val="auto"/>
                <w:w w:val="94"/>
              </w:rPr>
              <w:t>Market Comparable</w:t>
            </w:r>
          </w:p>
        </w:tc>
        <w:tc>
          <w:tcPr>
            <w:tcW w:w="1780" w:type="dxa"/>
            <w:vAlign w:val="bottom"/>
            <w:gridSpan w:val="2"/>
            <w:shd w:val="clear" w:color="auto" w:fill="CCECFF"/>
          </w:tcPr>
          <w:p>
            <w:pPr>
              <w:jc w:val="center"/>
              <w:ind w:right="80"/>
              <w:spacing w:after="0"/>
              <w:rPr>
                <w:sz w:val="20"/>
                <w:szCs w:val="20"/>
                <w:color w:val="auto"/>
              </w:rPr>
            </w:pPr>
            <w:r>
              <w:rPr>
                <w:rFonts w:ascii="Arial" w:cs="Arial" w:eastAsia="Arial" w:hAnsi="Arial"/>
                <w:sz w:val="14"/>
                <w:szCs w:val="14"/>
                <w:color w:val="auto"/>
                <w:w w:val="93"/>
              </w:rPr>
              <w:t>Broker/Dealer bids or quotes</w:t>
            </w:r>
          </w:p>
        </w:tc>
        <w:tc>
          <w:tcPr>
            <w:tcW w:w="500" w:type="dxa"/>
            <w:vAlign w:val="bottom"/>
            <w:shd w:val="clear" w:color="auto" w:fill="CCECFF"/>
          </w:tcPr>
          <w:p>
            <w:pPr>
              <w:spacing w:after="0"/>
              <w:rPr>
                <w:sz w:val="14"/>
                <w:szCs w:val="14"/>
                <w:color w:val="auto"/>
              </w:rPr>
            </w:pPr>
          </w:p>
        </w:tc>
        <w:tc>
          <w:tcPr>
            <w:tcW w:w="1140" w:type="dxa"/>
            <w:vAlign w:val="bottom"/>
            <w:shd w:val="clear" w:color="auto" w:fill="CCECFF"/>
          </w:tcPr>
          <w:p>
            <w:pPr>
              <w:jc w:val="center"/>
              <w:ind w:right="448"/>
              <w:spacing w:after="0"/>
              <w:rPr>
                <w:sz w:val="20"/>
                <w:szCs w:val="20"/>
                <w:color w:val="auto"/>
              </w:rPr>
            </w:pPr>
            <w:r>
              <w:rPr>
                <w:rFonts w:ascii="Arial" w:cs="Arial" w:eastAsia="Arial" w:hAnsi="Arial"/>
                <w:sz w:val="14"/>
                <w:szCs w:val="14"/>
                <w:color w:val="auto"/>
              </w:rPr>
              <w:t>N/A</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353,888,757</w:t>
            </w:r>
          </w:p>
        </w:tc>
        <w:tc>
          <w:tcPr>
            <w:tcW w:w="32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Market Comparable</w:t>
            </w:r>
          </w:p>
        </w:tc>
        <w:tc>
          <w:tcPr>
            <w:tcW w:w="178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Market Yield</w:t>
            </w:r>
          </w:p>
        </w:tc>
        <w:tc>
          <w:tcPr>
            <w:tcW w:w="500" w:type="dxa"/>
            <w:vAlign w:val="bottom"/>
          </w:tcPr>
          <w:p>
            <w:pPr>
              <w:jc w:val="right"/>
              <w:spacing w:after="0"/>
              <w:rPr>
                <w:sz w:val="20"/>
                <w:szCs w:val="20"/>
                <w:color w:val="auto"/>
              </w:rPr>
            </w:pPr>
            <w:r>
              <w:rPr>
                <w:rFonts w:ascii="Arial" w:cs="Arial" w:eastAsia="Arial" w:hAnsi="Arial"/>
                <w:sz w:val="14"/>
                <w:szCs w:val="14"/>
                <w:color w:val="auto"/>
              </w:rPr>
              <w:t>5.4%</w:t>
            </w:r>
          </w:p>
        </w:tc>
        <w:tc>
          <w:tcPr>
            <w:tcW w:w="1140" w:type="dxa"/>
            <w:vAlign w:val="bottom"/>
          </w:tcPr>
          <w:p>
            <w:pPr>
              <w:ind w:left="20"/>
              <w:spacing w:after="0"/>
              <w:rPr>
                <w:sz w:val="20"/>
                <w:szCs w:val="20"/>
                <w:color w:val="auto"/>
              </w:rPr>
            </w:pPr>
            <w:r>
              <w:rPr>
                <w:rFonts w:ascii="Arial" w:cs="Arial" w:eastAsia="Arial" w:hAnsi="Arial"/>
                <w:sz w:val="14"/>
                <w:szCs w:val="14"/>
                <w:color w:val="auto"/>
              </w:rPr>
              <w:t>– 17.0% (8.6%)</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4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30,635,063</w:t>
            </w:r>
          </w:p>
        </w:tc>
        <w:tc>
          <w:tcPr>
            <w:tcW w:w="3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center"/>
              <w:ind w:right="80"/>
              <w:spacing w:after="0"/>
              <w:rPr>
                <w:sz w:val="20"/>
                <w:szCs w:val="20"/>
                <w:color w:val="auto"/>
              </w:rPr>
            </w:pPr>
            <w:r>
              <w:rPr>
                <w:rFonts w:ascii="Arial" w:cs="Arial" w:eastAsia="Arial" w:hAnsi="Arial"/>
                <w:sz w:val="14"/>
                <w:szCs w:val="14"/>
                <w:color w:val="auto"/>
                <w:w w:val="94"/>
              </w:rPr>
              <w:t>Market Comparable</w:t>
            </w:r>
          </w:p>
        </w:tc>
        <w:tc>
          <w:tcPr>
            <w:tcW w:w="1780" w:type="dxa"/>
            <w:vAlign w:val="bottom"/>
            <w:gridSpan w:val="2"/>
            <w:shd w:val="clear" w:color="auto" w:fill="CCECFF"/>
          </w:tcPr>
          <w:p>
            <w:pPr>
              <w:jc w:val="center"/>
              <w:ind w:right="60"/>
              <w:spacing w:after="0"/>
              <w:rPr>
                <w:sz w:val="20"/>
                <w:szCs w:val="20"/>
                <w:color w:val="auto"/>
              </w:rPr>
            </w:pPr>
            <w:r>
              <w:rPr>
                <w:rFonts w:ascii="Arial" w:cs="Arial" w:eastAsia="Arial" w:hAnsi="Arial"/>
                <w:sz w:val="14"/>
                <w:szCs w:val="14"/>
                <w:color w:val="auto"/>
                <w:w w:val="97"/>
              </w:rPr>
              <w:t>Market Yield</w:t>
            </w:r>
          </w:p>
        </w:tc>
        <w:tc>
          <w:tcPr>
            <w:tcW w:w="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12.3%</w:t>
            </w:r>
          </w:p>
        </w:tc>
        <w:tc>
          <w:tcPr>
            <w:tcW w:w="1140" w:type="dxa"/>
            <w:vAlign w:val="bottom"/>
            <w:shd w:val="clear" w:color="auto" w:fill="CCECFF"/>
          </w:tcPr>
          <w:p>
            <w:pPr>
              <w:ind w:left="20"/>
              <w:spacing w:after="0"/>
              <w:rPr>
                <w:sz w:val="20"/>
                <w:szCs w:val="20"/>
                <w:color w:val="auto"/>
              </w:rPr>
            </w:pPr>
            <w:r>
              <w:rPr>
                <w:rFonts w:ascii="Arial" w:cs="Arial" w:eastAsia="Arial" w:hAnsi="Arial"/>
                <w:sz w:val="14"/>
                <w:szCs w:val="14"/>
                <w:color w:val="auto"/>
              </w:rPr>
              <w:t>– 13.6% (13.3%)</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7,323,397</w:t>
            </w:r>
          </w:p>
        </w:tc>
        <w:tc>
          <w:tcPr>
            <w:tcW w:w="32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Market Comparable</w:t>
            </w:r>
          </w:p>
        </w:tc>
        <w:tc>
          <w:tcPr>
            <w:tcW w:w="178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Market Yield</w:t>
            </w:r>
          </w:p>
        </w:tc>
        <w:tc>
          <w:tcPr>
            <w:tcW w:w="500" w:type="dxa"/>
            <w:vAlign w:val="bottom"/>
          </w:tcPr>
          <w:p>
            <w:pPr>
              <w:jc w:val="right"/>
              <w:spacing w:after="0"/>
              <w:rPr>
                <w:sz w:val="20"/>
                <w:szCs w:val="20"/>
                <w:color w:val="auto"/>
              </w:rPr>
            </w:pPr>
            <w:r>
              <w:rPr>
                <w:rFonts w:ascii="Arial" w:cs="Arial" w:eastAsia="Arial" w:hAnsi="Arial"/>
                <w:sz w:val="14"/>
                <w:szCs w:val="14"/>
                <w:color w:val="auto"/>
              </w:rPr>
              <w:t>11.7%</w:t>
            </w:r>
          </w:p>
        </w:tc>
        <w:tc>
          <w:tcPr>
            <w:tcW w:w="1140" w:type="dxa"/>
            <w:vAlign w:val="bottom"/>
          </w:tcPr>
          <w:p>
            <w:pPr>
              <w:ind w:left="20"/>
              <w:spacing w:after="0"/>
              <w:rPr>
                <w:sz w:val="20"/>
                <w:szCs w:val="20"/>
                <w:color w:val="auto"/>
              </w:rPr>
            </w:pPr>
            <w:r>
              <w:rPr>
                <w:rFonts w:ascii="Arial" w:cs="Arial" w:eastAsia="Arial" w:hAnsi="Arial"/>
                <w:sz w:val="14"/>
                <w:szCs w:val="14"/>
                <w:color w:val="auto"/>
              </w:rPr>
              <w:t>– 19.9% (13.0%)</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4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3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6,043,559</w:t>
            </w:r>
          </w:p>
        </w:tc>
        <w:tc>
          <w:tcPr>
            <w:tcW w:w="3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center"/>
              <w:ind w:right="80"/>
              <w:spacing w:after="0"/>
              <w:rPr>
                <w:sz w:val="20"/>
                <w:szCs w:val="20"/>
                <w:color w:val="auto"/>
              </w:rPr>
            </w:pPr>
            <w:r>
              <w:rPr>
                <w:rFonts w:ascii="Arial" w:cs="Arial" w:eastAsia="Arial" w:hAnsi="Arial"/>
                <w:sz w:val="14"/>
                <w:szCs w:val="14"/>
                <w:color w:val="auto"/>
                <w:w w:val="93"/>
              </w:rPr>
              <w:t>Enterprise Market Value</w:t>
            </w:r>
          </w:p>
        </w:tc>
        <w:tc>
          <w:tcPr>
            <w:tcW w:w="1780" w:type="dxa"/>
            <w:vAlign w:val="bottom"/>
            <w:gridSpan w:val="2"/>
            <w:shd w:val="clear" w:color="auto" w:fill="CCECFF"/>
          </w:tcPr>
          <w:p>
            <w:pPr>
              <w:jc w:val="center"/>
              <w:ind w:right="60"/>
              <w:spacing w:after="0"/>
              <w:rPr>
                <w:sz w:val="20"/>
                <w:szCs w:val="20"/>
                <w:color w:val="auto"/>
              </w:rPr>
            </w:pPr>
            <w:r>
              <w:rPr>
                <w:rFonts w:ascii="Arial" w:cs="Arial" w:eastAsia="Arial" w:hAnsi="Arial"/>
                <w:sz w:val="14"/>
                <w:szCs w:val="14"/>
                <w:color w:val="auto"/>
              </w:rPr>
              <w:t>EBITDA multiple</w:t>
            </w:r>
          </w:p>
        </w:tc>
        <w:tc>
          <w:tcPr>
            <w:tcW w:w="1640" w:type="dxa"/>
            <w:vAlign w:val="bottom"/>
            <w:gridSpan w:val="2"/>
            <w:shd w:val="clear" w:color="auto" w:fill="CCECFF"/>
          </w:tcPr>
          <w:p>
            <w:pPr>
              <w:jc w:val="center"/>
              <w:spacing w:after="0"/>
              <w:rPr>
                <w:sz w:val="20"/>
                <w:szCs w:val="20"/>
                <w:color w:val="auto"/>
              </w:rPr>
            </w:pPr>
            <w:r>
              <w:rPr>
                <w:rFonts w:ascii="Arial" w:cs="Arial" w:eastAsia="Arial" w:hAnsi="Arial"/>
                <w:sz w:val="14"/>
                <w:szCs w:val="14"/>
                <w:color w:val="auto"/>
                <w:w w:val="94"/>
              </w:rPr>
              <w:t>4.7x – 11.5x (7.5x)</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3040" w:type="dxa"/>
            <w:vAlign w:val="bottom"/>
            <w:tcBorders>
              <w:bottom w:val="single" w:sz="8" w:color="CCECFF"/>
            </w:tcBorders>
          </w:tcPr>
          <w:p>
            <w:pPr>
              <w:ind w:left="180"/>
              <w:spacing w:after="0" w:line="142"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5"/>
                <w:szCs w:val="15"/>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729,908,772</w:t>
            </w:r>
          </w:p>
        </w:tc>
        <w:tc>
          <w:tcPr>
            <w:tcW w:w="320" w:type="dxa"/>
            <w:vAlign w:val="bottom"/>
            <w:tcBorders>
              <w:bottom w:val="single" w:sz="8" w:color="CCECFF"/>
            </w:tcBorders>
          </w:tcPr>
          <w:p>
            <w:pPr>
              <w:spacing w:after="0"/>
              <w:rPr>
                <w:sz w:val="15"/>
                <w:szCs w:val="15"/>
                <w:color w:val="auto"/>
              </w:rPr>
            </w:pPr>
          </w:p>
        </w:tc>
        <w:tc>
          <w:tcPr>
            <w:tcW w:w="1480" w:type="dxa"/>
            <w:vAlign w:val="bottom"/>
            <w:tcBorders>
              <w:bottom w:val="single" w:sz="8" w:color="CCECFF"/>
            </w:tcBorders>
          </w:tcPr>
          <w:p>
            <w:pPr>
              <w:spacing w:after="0"/>
              <w:rPr>
                <w:sz w:val="15"/>
                <w:szCs w:val="15"/>
                <w:color w:val="auto"/>
              </w:rPr>
            </w:pPr>
          </w:p>
        </w:tc>
        <w:tc>
          <w:tcPr>
            <w:tcW w:w="80" w:type="dxa"/>
            <w:vAlign w:val="bottom"/>
            <w:tcBorders>
              <w:bottom w:val="single" w:sz="8" w:color="CCECFF"/>
            </w:tcBorders>
          </w:tcPr>
          <w:p>
            <w:pPr>
              <w:spacing w:after="0"/>
              <w:rPr>
                <w:sz w:val="15"/>
                <w:szCs w:val="15"/>
                <w:color w:val="auto"/>
              </w:rPr>
            </w:pPr>
          </w:p>
        </w:tc>
        <w:tc>
          <w:tcPr>
            <w:tcW w:w="1720" w:type="dxa"/>
            <w:vAlign w:val="bottom"/>
            <w:tcBorders>
              <w:bottom w:val="single" w:sz="8" w:color="CCECFF"/>
            </w:tcBorders>
          </w:tcPr>
          <w:p>
            <w:pPr>
              <w:spacing w:after="0"/>
              <w:rPr>
                <w:sz w:val="15"/>
                <w:szCs w:val="15"/>
                <w:color w:val="auto"/>
              </w:rPr>
            </w:pPr>
          </w:p>
        </w:tc>
        <w:tc>
          <w:tcPr>
            <w:tcW w:w="60" w:type="dxa"/>
            <w:vAlign w:val="bottom"/>
            <w:tcBorders>
              <w:bottom w:val="single" w:sz="8" w:color="CCECFF"/>
            </w:tcBorders>
          </w:tcPr>
          <w:p>
            <w:pPr>
              <w:spacing w:after="0"/>
              <w:rPr>
                <w:sz w:val="15"/>
                <w:szCs w:val="15"/>
                <w:color w:val="auto"/>
              </w:rPr>
            </w:pPr>
          </w:p>
        </w:tc>
        <w:tc>
          <w:tcPr>
            <w:tcW w:w="500" w:type="dxa"/>
            <w:vAlign w:val="bottom"/>
            <w:tcBorders>
              <w:bottom w:val="single" w:sz="8" w:color="CCECFF"/>
            </w:tcBorders>
          </w:tcPr>
          <w:p>
            <w:pPr>
              <w:spacing w:after="0"/>
              <w:rPr>
                <w:sz w:val="15"/>
                <w:szCs w:val="15"/>
                <w:color w:val="auto"/>
              </w:rPr>
            </w:pPr>
          </w:p>
        </w:tc>
        <w:tc>
          <w:tcPr>
            <w:tcW w:w="1140" w:type="dxa"/>
            <w:vAlign w:val="bottom"/>
            <w:tcBorders>
              <w:bottom w:val="single" w:sz="8" w:color="CCECFF"/>
            </w:tcBorders>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3040" w:type="dxa"/>
            <w:vAlign w:val="bottom"/>
            <w:tcBorders>
              <w:bottom w:val="single" w:sz="8" w:color="CCECFF"/>
            </w:tcBorders>
            <w:shd w:val="clear" w:color="auto" w:fill="CCECFF"/>
          </w:tcPr>
          <w:p>
            <w:pPr>
              <w:spacing w:after="0" w:line="129"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CFF"/>
          </w:tcPr>
          <w:p>
            <w:pPr>
              <w:jc w:val="right"/>
              <w:spacing w:after="0" w:line="129" w:lineRule="exact"/>
              <w:rPr>
                <w:sz w:val="20"/>
                <w:szCs w:val="20"/>
                <w:color w:val="auto"/>
              </w:rPr>
            </w:pPr>
            <w:r>
              <w:rPr>
                <w:rFonts w:ascii="Arial" w:cs="Arial" w:eastAsia="Arial" w:hAnsi="Arial"/>
                <w:sz w:val="14"/>
                <w:szCs w:val="14"/>
                <w:color w:val="auto"/>
              </w:rPr>
              <w:t>300,420,904</w:t>
            </w:r>
          </w:p>
        </w:tc>
        <w:tc>
          <w:tcPr>
            <w:tcW w:w="320" w:type="dxa"/>
            <w:vAlign w:val="bottom"/>
            <w:tcBorders>
              <w:bottom w:val="single" w:sz="8" w:color="CCECFF"/>
            </w:tcBorders>
            <w:shd w:val="clear" w:color="auto" w:fill="CCECFF"/>
          </w:tcPr>
          <w:p>
            <w:pPr>
              <w:spacing w:after="0"/>
              <w:rPr>
                <w:sz w:val="11"/>
                <w:szCs w:val="11"/>
                <w:color w:val="auto"/>
              </w:rPr>
            </w:pPr>
          </w:p>
        </w:tc>
        <w:tc>
          <w:tcPr>
            <w:tcW w:w="1560" w:type="dxa"/>
            <w:vAlign w:val="bottom"/>
            <w:tcBorders>
              <w:bottom w:val="single" w:sz="8" w:color="CCECFF"/>
            </w:tcBorders>
            <w:gridSpan w:val="2"/>
            <w:shd w:val="clear" w:color="auto" w:fill="CCECFF"/>
          </w:tcPr>
          <w:p>
            <w:pPr>
              <w:jc w:val="center"/>
              <w:ind w:right="80"/>
              <w:spacing w:after="0" w:line="129" w:lineRule="exact"/>
              <w:rPr>
                <w:sz w:val="20"/>
                <w:szCs w:val="20"/>
                <w:color w:val="auto"/>
              </w:rPr>
            </w:pPr>
            <w:r>
              <w:rPr>
                <w:rFonts w:ascii="Arial" w:cs="Arial" w:eastAsia="Arial" w:hAnsi="Arial"/>
                <w:sz w:val="14"/>
                <w:szCs w:val="14"/>
                <w:color w:val="auto"/>
                <w:w w:val="94"/>
              </w:rPr>
              <w:t>Market Comparable</w:t>
            </w:r>
          </w:p>
        </w:tc>
        <w:tc>
          <w:tcPr>
            <w:tcW w:w="1780" w:type="dxa"/>
            <w:vAlign w:val="bottom"/>
            <w:tcBorders>
              <w:bottom w:val="single" w:sz="8" w:color="CCECFF"/>
            </w:tcBorders>
            <w:gridSpan w:val="2"/>
            <w:shd w:val="clear" w:color="auto" w:fill="CCECFF"/>
          </w:tcPr>
          <w:p>
            <w:pPr>
              <w:jc w:val="center"/>
              <w:ind w:right="60"/>
              <w:spacing w:after="0" w:line="129" w:lineRule="exact"/>
              <w:rPr>
                <w:sz w:val="20"/>
                <w:szCs w:val="20"/>
                <w:color w:val="auto"/>
              </w:rPr>
            </w:pPr>
            <w:r>
              <w:rPr>
                <w:rFonts w:ascii="Arial" w:cs="Arial" w:eastAsia="Arial" w:hAnsi="Arial"/>
                <w:sz w:val="14"/>
                <w:szCs w:val="14"/>
                <w:color w:val="auto"/>
                <w:w w:val="97"/>
              </w:rPr>
              <w:t>Market Yield</w:t>
            </w:r>
          </w:p>
        </w:tc>
        <w:tc>
          <w:tcPr>
            <w:tcW w:w="500" w:type="dxa"/>
            <w:vAlign w:val="bottom"/>
            <w:tcBorders>
              <w:bottom w:val="single" w:sz="8" w:color="CCECFF"/>
            </w:tcBorders>
            <w:shd w:val="clear" w:color="auto" w:fill="CCECFF"/>
          </w:tcPr>
          <w:p>
            <w:pPr>
              <w:spacing w:after="0"/>
              <w:rPr>
                <w:sz w:val="11"/>
                <w:szCs w:val="11"/>
                <w:color w:val="auto"/>
              </w:rPr>
            </w:pPr>
          </w:p>
        </w:tc>
        <w:tc>
          <w:tcPr>
            <w:tcW w:w="1140" w:type="dxa"/>
            <w:vAlign w:val="bottom"/>
            <w:tcBorders>
              <w:bottom w:val="single" w:sz="8" w:color="CCECFF"/>
            </w:tcBorders>
            <w:shd w:val="clear" w:color="auto" w:fill="CCECFF"/>
          </w:tcPr>
          <w:p>
            <w:pPr>
              <w:jc w:val="right"/>
              <w:ind w:right="608"/>
              <w:spacing w:after="0" w:line="129" w:lineRule="exact"/>
              <w:rPr>
                <w:sz w:val="20"/>
                <w:szCs w:val="20"/>
                <w:color w:val="auto"/>
              </w:rPr>
            </w:pPr>
            <w:r>
              <w:rPr>
                <w:rFonts w:ascii="Arial" w:cs="Arial" w:eastAsia="Arial" w:hAnsi="Arial"/>
                <w:sz w:val="14"/>
                <w:szCs w:val="14"/>
                <w:color w:val="auto"/>
              </w:rPr>
              <w:t>3.7%</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0" w:type="dxa"/>
            <w:vAlign w:val="bottom"/>
            <w:gridSpan w:val="2"/>
            <w:vMerge w:val="restart"/>
          </w:tcPr>
          <w:p>
            <w:pPr>
              <w:jc w:val="right"/>
              <w:ind w:right="1348"/>
              <w:spacing w:after="0"/>
              <w:rPr>
                <w:sz w:val="20"/>
                <w:szCs w:val="20"/>
                <w:color w:val="auto"/>
              </w:rPr>
            </w:pPr>
            <w:r>
              <w:rPr>
                <w:rFonts w:ascii="Arial" w:cs="Arial" w:eastAsia="Arial" w:hAnsi="Arial"/>
                <w:sz w:val="14"/>
                <w:szCs w:val="14"/>
                <w:color w:val="auto"/>
              </w:rPr>
              <w:t>18</w:t>
            </w: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40" w:type="dxa"/>
            <w:vAlign w:val="bottom"/>
            <w:tcBorders>
              <w:bottom w:val="single" w:sz="8" w:color="9A9A9A"/>
            </w:tcBorders>
          </w:tcPr>
          <w:p>
            <w:pPr>
              <w:spacing w:after="0"/>
              <w:rPr>
                <w:sz w:val="8"/>
                <w:szCs w:val="8"/>
                <w:color w:val="auto"/>
              </w:rPr>
            </w:pPr>
          </w:p>
        </w:tc>
        <w:tc>
          <w:tcPr>
            <w:tcW w:w="3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8" w:name="page19"/>
    <w:bookmarkEnd w:id="18"/>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0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Fair Value at</w:t>
            </w:r>
          </w:p>
        </w:tc>
        <w:tc>
          <w:tcPr>
            <w:tcW w:w="320" w:type="dxa"/>
            <w:vAlign w:val="bottom"/>
          </w:tcPr>
          <w:p>
            <w:pPr>
              <w:spacing w:after="0"/>
              <w:rPr>
                <w:sz w:val="14"/>
                <w:szCs w:val="14"/>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Valuation Technique</w:t>
            </w:r>
          </w:p>
        </w:tc>
        <w:tc>
          <w:tcPr>
            <w:tcW w:w="1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Unobservable Input</w:t>
            </w: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3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September 30, 2016</w:t>
            </w:r>
          </w:p>
        </w:tc>
        <w:tc>
          <w:tcPr>
            <w:tcW w:w="3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CFF"/>
          </w:tcPr>
          <w:p>
            <w:pPr>
              <w:spacing w:after="0" w:line="142"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264,299,729</w:t>
            </w:r>
          </w:p>
        </w:tc>
        <w:tc>
          <w:tcPr>
            <w:tcW w:w="320" w:type="dxa"/>
            <w:vAlign w:val="bottom"/>
            <w:tcBorders>
              <w:top w:val="single" w:sz="8" w:color="CCECFF"/>
            </w:tcBorders>
            <w:shd w:val="clear" w:color="auto" w:fill="CCECFF"/>
          </w:tcPr>
          <w:p>
            <w:pPr>
              <w:spacing w:after="0"/>
              <w:rPr>
                <w:sz w:val="12"/>
                <w:szCs w:val="12"/>
                <w:color w:val="auto"/>
              </w:rPr>
            </w:pPr>
          </w:p>
        </w:tc>
        <w:tc>
          <w:tcPr>
            <w:tcW w:w="1480" w:type="dxa"/>
            <w:vAlign w:val="bottom"/>
            <w:tcBorders>
              <w:top w:val="single" w:sz="8" w:color="auto"/>
            </w:tcBorders>
            <w:shd w:val="clear" w:color="auto" w:fill="CCEC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80" w:type="dxa"/>
            <w:vAlign w:val="bottom"/>
            <w:tcBorders>
              <w:top w:val="single" w:sz="8" w:color="CCECFF"/>
            </w:tcBorders>
            <w:shd w:val="clear" w:color="auto" w:fill="CCECFF"/>
          </w:tcPr>
          <w:p>
            <w:pPr>
              <w:spacing w:after="0"/>
              <w:rPr>
                <w:sz w:val="12"/>
                <w:szCs w:val="12"/>
                <w:color w:val="auto"/>
              </w:rPr>
            </w:pPr>
          </w:p>
        </w:tc>
        <w:tc>
          <w:tcPr>
            <w:tcW w:w="1720" w:type="dxa"/>
            <w:vAlign w:val="bottom"/>
            <w:tcBorders>
              <w:top w:val="single" w:sz="8" w:color="auto"/>
            </w:tcBorders>
            <w:shd w:val="clear" w:color="auto" w:fill="CCEC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60" w:type="dxa"/>
            <w:vAlign w:val="bottom"/>
            <w:tcBorders>
              <w:top w:val="single" w:sz="8" w:color="CCECFF"/>
            </w:tcBorders>
            <w:shd w:val="clear" w:color="auto" w:fill="CCECFF"/>
          </w:tcPr>
          <w:p>
            <w:pPr>
              <w:spacing w:after="0"/>
              <w:rPr>
                <w:sz w:val="12"/>
                <w:szCs w:val="12"/>
                <w:color w:val="auto"/>
              </w:rPr>
            </w:pPr>
          </w:p>
        </w:tc>
        <w:tc>
          <w:tcPr>
            <w:tcW w:w="500" w:type="dxa"/>
            <w:vAlign w:val="bottom"/>
            <w:tcBorders>
              <w:top w:val="single" w:sz="8" w:color="auto"/>
            </w:tcBorders>
            <w:shd w:val="clear" w:color="auto" w:fill="CCECFF"/>
          </w:tcPr>
          <w:p>
            <w:pPr>
              <w:spacing w:after="0"/>
              <w:rPr>
                <w:sz w:val="12"/>
                <w:szCs w:val="12"/>
                <w:color w:val="auto"/>
              </w:rPr>
            </w:pPr>
          </w:p>
        </w:tc>
        <w:tc>
          <w:tcPr>
            <w:tcW w:w="520" w:type="dxa"/>
            <w:vAlign w:val="bottom"/>
            <w:tcBorders>
              <w:top w:val="single" w:sz="8" w:color="auto"/>
            </w:tcBorders>
            <w:shd w:val="clear" w:color="auto" w:fill="CCECFF"/>
          </w:tcPr>
          <w:p>
            <w:pPr>
              <w:jc w:val="center"/>
              <w:ind w:left="28"/>
              <w:spacing w:after="0" w:line="142" w:lineRule="exact"/>
              <w:rPr>
                <w:sz w:val="20"/>
                <w:szCs w:val="20"/>
                <w:color w:val="auto"/>
              </w:rPr>
            </w:pPr>
            <w:r>
              <w:rPr>
                <w:rFonts w:ascii="Arial" w:cs="Arial" w:eastAsia="Arial" w:hAnsi="Arial"/>
                <w:sz w:val="14"/>
                <w:szCs w:val="14"/>
                <w:color w:val="auto"/>
              </w:rPr>
              <w:t>N/A</w:t>
            </w:r>
          </w:p>
        </w:tc>
        <w:tc>
          <w:tcPr>
            <w:tcW w:w="620" w:type="dxa"/>
            <w:vAlign w:val="bottom"/>
            <w:tcBorders>
              <w:top w:val="single" w:sz="8" w:color="auto"/>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8,064,192</w:t>
            </w:r>
          </w:p>
        </w:tc>
        <w:tc>
          <w:tcPr>
            <w:tcW w:w="32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Market Comparable</w:t>
            </w:r>
          </w:p>
        </w:tc>
        <w:tc>
          <w:tcPr>
            <w:tcW w:w="17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Broker/Dealer bids or quotes</w:t>
            </w:r>
          </w:p>
        </w:tc>
        <w:tc>
          <w:tcPr>
            <w:tcW w:w="500" w:type="dxa"/>
            <w:vAlign w:val="bottom"/>
          </w:tcPr>
          <w:p>
            <w:pPr>
              <w:spacing w:after="0"/>
              <w:rPr>
                <w:sz w:val="14"/>
                <w:szCs w:val="14"/>
                <w:color w:val="auto"/>
              </w:rPr>
            </w:pPr>
          </w:p>
        </w:tc>
        <w:tc>
          <w:tcPr>
            <w:tcW w:w="520" w:type="dxa"/>
            <w:vAlign w:val="bottom"/>
          </w:tcPr>
          <w:p>
            <w:pPr>
              <w:jc w:val="center"/>
              <w:ind w:left="28"/>
              <w:spacing w:after="0"/>
              <w:rPr>
                <w:sz w:val="20"/>
                <w:szCs w:val="20"/>
                <w:color w:val="auto"/>
              </w:rPr>
            </w:pPr>
            <w:r>
              <w:rPr>
                <w:rFonts w:ascii="Arial" w:cs="Arial" w:eastAsia="Arial" w:hAnsi="Arial"/>
                <w:sz w:val="14"/>
                <w:szCs w:val="14"/>
                <w:color w:val="auto"/>
              </w:rPr>
              <w:t>N/A</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1,035,937</w:t>
            </w:r>
          </w:p>
        </w:tc>
        <w:tc>
          <w:tcPr>
            <w:tcW w:w="3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center"/>
              <w:ind w:right="80"/>
              <w:spacing w:after="0"/>
              <w:rPr>
                <w:sz w:val="20"/>
                <w:szCs w:val="20"/>
                <w:color w:val="auto"/>
              </w:rPr>
            </w:pPr>
            <w:r>
              <w:rPr>
                <w:rFonts w:ascii="Arial" w:cs="Arial" w:eastAsia="Arial" w:hAnsi="Arial"/>
                <w:sz w:val="14"/>
                <w:szCs w:val="14"/>
                <w:color w:val="auto"/>
                <w:w w:val="94"/>
              </w:rPr>
              <w:t>Market Comparable</w:t>
            </w:r>
          </w:p>
        </w:tc>
        <w:tc>
          <w:tcPr>
            <w:tcW w:w="1780" w:type="dxa"/>
            <w:vAlign w:val="bottom"/>
            <w:gridSpan w:val="2"/>
            <w:shd w:val="clear" w:color="auto" w:fill="CCECFF"/>
          </w:tcPr>
          <w:p>
            <w:pPr>
              <w:jc w:val="center"/>
              <w:ind w:right="80"/>
              <w:spacing w:after="0"/>
              <w:rPr>
                <w:sz w:val="20"/>
                <w:szCs w:val="20"/>
                <w:color w:val="auto"/>
              </w:rPr>
            </w:pPr>
            <w:r>
              <w:rPr>
                <w:rFonts w:ascii="Arial" w:cs="Arial" w:eastAsia="Arial" w:hAnsi="Arial"/>
                <w:sz w:val="14"/>
                <w:szCs w:val="14"/>
                <w:color w:val="auto"/>
                <w:w w:val="93"/>
              </w:rPr>
              <w:t>Broker/Dealer bids or quotes</w:t>
            </w:r>
          </w:p>
        </w:tc>
        <w:tc>
          <w:tcPr>
            <w:tcW w:w="500" w:type="dxa"/>
            <w:vAlign w:val="bottom"/>
            <w:shd w:val="clear" w:color="auto" w:fill="CCECFF"/>
          </w:tcPr>
          <w:p>
            <w:pPr>
              <w:spacing w:after="0"/>
              <w:rPr>
                <w:sz w:val="14"/>
                <w:szCs w:val="14"/>
                <w:color w:val="auto"/>
              </w:rPr>
            </w:pPr>
          </w:p>
        </w:tc>
        <w:tc>
          <w:tcPr>
            <w:tcW w:w="520" w:type="dxa"/>
            <w:vAlign w:val="bottom"/>
            <w:shd w:val="clear" w:color="auto" w:fill="CCECFF"/>
          </w:tcPr>
          <w:p>
            <w:pPr>
              <w:jc w:val="center"/>
              <w:ind w:left="28"/>
              <w:spacing w:after="0"/>
              <w:rPr>
                <w:sz w:val="20"/>
                <w:szCs w:val="20"/>
                <w:color w:val="auto"/>
              </w:rPr>
            </w:pPr>
            <w:r>
              <w:rPr>
                <w:rFonts w:ascii="Arial" w:cs="Arial" w:eastAsia="Arial" w:hAnsi="Arial"/>
                <w:sz w:val="14"/>
                <w:szCs w:val="14"/>
                <w:color w:val="auto"/>
              </w:rPr>
              <w:t>N/A</w:t>
            </w:r>
          </w:p>
        </w:tc>
        <w:tc>
          <w:tcPr>
            <w:tcW w:w="6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284,110,366</w:t>
            </w:r>
          </w:p>
        </w:tc>
        <w:tc>
          <w:tcPr>
            <w:tcW w:w="32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Market Comparable</w:t>
            </w:r>
          </w:p>
        </w:tc>
        <w:tc>
          <w:tcPr>
            <w:tcW w:w="178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Market Yield</w:t>
            </w:r>
          </w:p>
        </w:tc>
        <w:tc>
          <w:tcPr>
            <w:tcW w:w="500" w:type="dxa"/>
            <w:vAlign w:val="bottom"/>
          </w:tcPr>
          <w:p>
            <w:pPr>
              <w:jc w:val="right"/>
              <w:spacing w:after="0"/>
              <w:rPr>
                <w:sz w:val="20"/>
                <w:szCs w:val="20"/>
                <w:color w:val="auto"/>
              </w:rPr>
            </w:pPr>
            <w:r>
              <w:rPr>
                <w:rFonts w:ascii="Arial" w:cs="Arial" w:eastAsia="Arial" w:hAnsi="Arial"/>
                <w:sz w:val="14"/>
                <w:szCs w:val="14"/>
                <w:color w:val="auto"/>
              </w:rPr>
              <w:t>5.3%</w:t>
            </w:r>
          </w:p>
        </w:tc>
        <w:tc>
          <w:tcPr>
            <w:tcW w:w="520" w:type="dxa"/>
            <w:vAlign w:val="bottom"/>
          </w:tcPr>
          <w:p>
            <w:pPr>
              <w:ind w:left="20"/>
              <w:spacing w:after="0"/>
              <w:rPr>
                <w:sz w:val="20"/>
                <w:szCs w:val="20"/>
                <w:color w:val="auto"/>
              </w:rPr>
            </w:pPr>
            <w:r>
              <w:rPr>
                <w:rFonts w:ascii="Arial" w:cs="Arial" w:eastAsia="Arial" w:hAnsi="Arial"/>
                <w:sz w:val="14"/>
                <w:szCs w:val="14"/>
                <w:color w:val="auto"/>
                <w:w w:val="93"/>
              </w:rPr>
              <w:t>– 13.9%</w:t>
            </w:r>
          </w:p>
        </w:tc>
        <w:tc>
          <w:tcPr>
            <w:tcW w:w="620" w:type="dxa"/>
            <w:vAlign w:val="bottom"/>
          </w:tcPr>
          <w:p>
            <w:pPr>
              <w:ind w:left="2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2"/>
        </w:trPr>
        <w:tc>
          <w:tcPr>
            <w:tcW w:w="304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28,532,500</w:t>
            </w:r>
          </w:p>
        </w:tc>
        <w:tc>
          <w:tcPr>
            <w:tcW w:w="3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center"/>
              <w:ind w:right="80"/>
              <w:spacing w:after="0"/>
              <w:rPr>
                <w:sz w:val="20"/>
                <w:szCs w:val="20"/>
                <w:color w:val="auto"/>
              </w:rPr>
            </w:pPr>
            <w:r>
              <w:rPr>
                <w:rFonts w:ascii="Arial" w:cs="Arial" w:eastAsia="Arial" w:hAnsi="Arial"/>
                <w:sz w:val="14"/>
                <w:szCs w:val="14"/>
                <w:color w:val="auto"/>
                <w:w w:val="94"/>
              </w:rPr>
              <w:t>Market Comparable</w:t>
            </w:r>
          </w:p>
        </w:tc>
        <w:tc>
          <w:tcPr>
            <w:tcW w:w="1780" w:type="dxa"/>
            <w:vAlign w:val="bottom"/>
            <w:gridSpan w:val="2"/>
            <w:shd w:val="clear" w:color="auto" w:fill="CCECFF"/>
          </w:tcPr>
          <w:p>
            <w:pPr>
              <w:jc w:val="center"/>
              <w:ind w:right="60"/>
              <w:spacing w:after="0"/>
              <w:rPr>
                <w:sz w:val="20"/>
                <w:szCs w:val="20"/>
                <w:color w:val="auto"/>
              </w:rPr>
            </w:pPr>
            <w:r>
              <w:rPr>
                <w:rFonts w:ascii="Arial" w:cs="Arial" w:eastAsia="Arial" w:hAnsi="Arial"/>
                <w:sz w:val="14"/>
                <w:szCs w:val="14"/>
                <w:color w:val="auto"/>
                <w:w w:val="97"/>
              </w:rPr>
              <w:t>Market Yield</w:t>
            </w:r>
          </w:p>
        </w:tc>
        <w:tc>
          <w:tcPr>
            <w:tcW w:w="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w:t>
            </w:r>
          </w:p>
        </w:tc>
        <w:tc>
          <w:tcPr>
            <w:tcW w:w="520" w:type="dxa"/>
            <w:vAlign w:val="bottom"/>
            <w:shd w:val="clear" w:color="auto" w:fill="CCECFF"/>
          </w:tcPr>
          <w:p>
            <w:pPr>
              <w:ind w:left="20"/>
              <w:spacing w:after="0"/>
              <w:rPr>
                <w:sz w:val="20"/>
                <w:szCs w:val="20"/>
                <w:color w:val="auto"/>
              </w:rPr>
            </w:pPr>
            <w:r>
              <w:rPr>
                <w:rFonts w:ascii="Arial" w:cs="Arial" w:eastAsia="Arial" w:hAnsi="Arial"/>
                <w:sz w:val="14"/>
                <w:szCs w:val="14"/>
                <w:color w:val="auto"/>
                <w:w w:val="93"/>
              </w:rPr>
              <w:t>– 15.9%</w:t>
            </w:r>
          </w:p>
        </w:tc>
        <w:tc>
          <w:tcPr>
            <w:tcW w:w="620" w:type="dxa"/>
            <w:vAlign w:val="bottom"/>
            <w:shd w:val="clear" w:color="auto" w:fill="CCECFF"/>
          </w:tcPr>
          <w:p>
            <w:pPr>
              <w:ind w:left="20"/>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2,124,435</w:t>
            </w:r>
          </w:p>
        </w:tc>
        <w:tc>
          <w:tcPr>
            <w:tcW w:w="32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Market Comparable</w:t>
            </w:r>
          </w:p>
        </w:tc>
        <w:tc>
          <w:tcPr>
            <w:tcW w:w="178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Market Yield</w:t>
            </w:r>
          </w:p>
        </w:tc>
        <w:tc>
          <w:tcPr>
            <w:tcW w:w="500" w:type="dxa"/>
            <w:vAlign w:val="bottom"/>
          </w:tcPr>
          <w:p>
            <w:pPr>
              <w:jc w:val="right"/>
              <w:spacing w:after="0"/>
              <w:rPr>
                <w:sz w:val="20"/>
                <w:szCs w:val="20"/>
                <w:color w:val="auto"/>
              </w:rPr>
            </w:pPr>
            <w:r>
              <w:rPr>
                <w:rFonts w:ascii="Arial" w:cs="Arial" w:eastAsia="Arial" w:hAnsi="Arial"/>
                <w:sz w:val="14"/>
                <w:szCs w:val="14"/>
                <w:color w:val="auto"/>
              </w:rPr>
              <w:t>15.7%</w:t>
            </w:r>
          </w:p>
        </w:tc>
        <w:tc>
          <w:tcPr>
            <w:tcW w:w="520" w:type="dxa"/>
            <w:vAlign w:val="bottom"/>
          </w:tcPr>
          <w:p>
            <w:pPr>
              <w:ind w:left="20"/>
              <w:spacing w:after="0"/>
              <w:rPr>
                <w:sz w:val="20"/>
                <w:szCs w:val="20"/>
                <w:color w:val="auto"/>
              </w:rPr>
            </w:pPr>
            <w:r>
              <w:rPr>
                <w:rFonts w:ascii="Arial" w:cs="Arial" w:eastAsia="Arial" w:hAnsi="Arial"/>
                <w:sz w:val="14"/>
                <w:szCs w:val="14"/>
                <w:color w:val="auto"/>
                <w:w w:val="93"/>
              </w:rPr>
              <w:t>– 16.5%</w:t>
            </w:r>
          </w:p>
        </w:tc>
        <w:tc>
          <w:tcPr>
            <w:tcW w:w="620" w:type="dxa"/>
            <w:vAlign w:val="bottom"/>
          </w:tcPr>
          <w:p>
            <w:pPr>
              <w:ind w:left="20"/>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62"/>
        </w:trPr>
        <w:tc>
          <w:tcPr>
            <w:tcW w:w="304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7,655,677</w:t>
            </w:r>
          </w:p>
        </w:tc>
        <w:tc>
          <w:tcPr>
            <w:tcW w:w="3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center"/>
              <w:ind w:right="80"/>
              <w:spacing w:after="0"/>
              <w:rPr>
                <w:sz w:val="20"/>
                <w:szCs w:val="20"/>
                <w:color w:val="auto"/>
              </w:rPr>
            </w:pPr>
            <w:r>
              <w:rPr>
                <w:rFonts w:ascii="Arial" w:cs="Arial" w:eastAsia="Arial" w:hAnsi="Arial"/>
                <w:sz w:val="14"/>
                <w:szCs w:val="14"/>
                <w:color w:val="auto"/>
                <w:w w:val="93"/>
              </w:rPr>
              <w:t>Enterprise Market Value</w:t>
            </w:r>
          </w:p>
        </w:tc>
        <w:tc>
          <w:tcPr>
            <w:tcW w:w="1780" w:type="dxa"/>
            <w:vAlign w:val="bottom"/>
            <w:gridSpan w:val="2"/>
            <w:shd w:val="clear" w:color="auto" w:fill="CCECFF"/>
          </w:tcPr>
          <w:p>
            <w:pPr>
              <w:jc w:val="center"/>
              <w:ind w:right="60"/>
              <w:spacing w:after="0"/>
              <w:rPr>
                <w:sz w:val="20"/>
                <w:szCs w:val="20"/>
                <w:color w:val="auto"/>
              </w:rPr>
            </w:pPr>
            <w:r>
              <w:rPr>
                <w:rFonts w:ascii="Arial" w:cs="Arial" w:eastAsia="Arial" w:hAnsi="Arial"/>
                <w:sz w:val="14"/>
                <w:szCs w:val="14"/>
                <w:color w:val="auto"/>
              </w:rPr>
              <w:t>EBITDA multiple</w:t>
            </w:r>
          </w:p>
        </w:tc>
        <w:tc>
          <w:tcPr>
            <w:tcW w:w="1640" w:type="dxa"/>
            <w:vAlign w:val="bottom"/>
            <w:gridSpan w:val="3"/>
            <w:shd w:val="clear" w:color="auto" w:fill="CCECFF"/>
          </w:tcPr>
          <w:p>
            <w:pPr>
              <w:jc w:val="center"/>
              <w:spacing w:after="0"/>
              <w:rPr>
                <w:sz w:val="20"/>
                <w:szCs w:val="20"/>
                <w:color w:val="auto"/>
              </w:rPr>
            </w:pPr>
            <w:r>
              <w:rPr>
                <w:rFonts w:ascii="Arial" w:cs="Arial" w:eastAsia="Arial" w:hAnsi="Arial"/>
                <w:sz w:val="14"/>
                <w:szCs w:val="14"/>
                <w:color w:val="auto"/>
                <w:w w:val="94"/>
              </w:rPr>
              <w:t>4.3x – 9.0x (7.2x)</w:t>
            </w:r>
          </w:p>
        </w:tc>
        <w:tc>
          <w:tcPr>
            <w:tcW w:w="0" w:type="dxa"/>
            <w:vAlign w:val="bottom"/>
          </w:tcPr>
          <w:p>
            <w:pPr>
              <w:spacing w:after="0"/>
              <w:rPr>
                <w:sz w:val="1"/>
                <w:szCs w:val="1"/>
                <w:color w:val="auto"/>
              </w:rPr>
            </w:pPr>
          </w:p>
        </w:tc>
      </w:tr>
      <w:tr>
        <w:trPr>
          <w:trHeight w:val="182"/>
        </w:trPr>
        <w:tc>
          <w:tcPr>
            <w:tcW w:w="3040" w:type="dxa"/>
            <w:vAlign w:val="bottom"/>
            <w:tcBorders>
              <w:bottom w:val="single" w:sz="8" w:color="CCECFF"/>
            </w:tcBorders>
          </w:tcPr>
          <w:p>
            <w:pPr>
              <w:ind w:left="180"/>
              <w:spacing w:after="0" w:line="142"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595,822,836</w:t>
            </w:r>
          </w:p>
        </w:tc>
        <w:tc>
          <w:tcPr>
            <w:tcW w:w="320" w:type="dxa"/>
            <w:vAlign w:val="bottom"/>
            <w:tcBorders>
              <w:bottom w:val="single" w:sz="8" w:color="CCECFF"/>
            </w:tcBorders>
          </w:tcPr>
          <w:p>
            <w:pPr>
              <w:spacing w:after="0"/>
              <w:rPr>
                <w:sz w:val="15"/>
                <w:szCs w:val="15"/>
                <w:color w:val="auto"/>
              </w:rPr>
            </w:pPr>
          </w:p>
        </w:tc>
        <w:tc>
          <w:tcPr>
            <w:tcW w:w="1480" w:type="dxa"/>
            <w:vAlign w:val="bottom"/>
            <w:tcBorders>
              <w:bottom w:val="single" w:sz="8" w:color="CCECFF"/>
            </w:tcBorders>
          </w:tcPr>
          <w:p>
            <w:pPr>
              <w:spacing w:after="0"/>
              <w:rPr>
                <w:sz w:val="15"/>
                <w:szCs w:val="15"/>
                <w:color w:val="auto"/>
              </w:rPr>
            </w:pPr>
          </w:p>
        </w:tc>
        <w:tc>
          <w:tcPr>
            <w:tcW w:w="80" w:type="dxa"/>
            <w:vAlign w:val="bottom"/>
            <w:tcBorders>
              <w:bottom w:val="single" w:sz="8" w:color="CCECFF"/>
            </w:tcBorders>
          </w:tcPr>
          <w:p>
            <w:pPr>
              <w:spacing w:after="0"/>
              <w:rPr>
                <w:sz w:val="15"/>
                <w:szCs w:val="15"/>
                <w:color w:val="auto"/>
              </w:rPr>
            </w:pPr>
          </w:p>
        </w:tc>
        <w:tc>
          <w:tcPr>
            <w:tcW w:w="1720" w:type="dxa"/>
            <w:vAlign w:val="bottom"/>
            <w:tcBorders>
              <w:bottom w:val="single" w:sz="8" w:color="CCECFF"/>
            </w:tcBorders>
          </w:tcPr>
          <w:p>
            <w:pPr>
              <w:spacing w:after="0"/>
              <w:rPr>
                <w:sz w:val="15"/>
                <w:szCs w:val="15"/>
                <w:color w:val="auto"/>
              </w:rPr>
            </w:pPr>
          </w:p>
        </w:tc>
        <w:tc>
          <w:tcPr>
            <w:tcW w:w="60" w:type="dxa"/>
            <w:vAlign w:val="bottom"/>
            <w:tcBorders>
              <w:bottom w:val="single" w:sz="8" w:color="CCECFF"/>
            </w:tcBorders>
          </w:tcPr>
          <w:p>
            <w:pPr>
              <w:spacing w:after="0"/>
              <w:rPr>
                <w:sz w:val="15"/>
                <w:szCs w:val="15"/>
                <w:color w:val="auto"/>
              </w:rPr>
            </w:pPr>
          </w:p>
        </w:tc>
        <w:tc>
          <w:tcPr>
            <w:tcW w:w="500" w:type="dxa"/>
            <w:vAlign w:val="bottom"/>
            <w:tcBorders>
              <w:bottom w:val="single" w:sz="8" w:color="CCECFF"/>
            </w:tcBorders>
          </w:tcPr>
          <w:p>
            <w:pPr>
              <w:spacing w:after="0"/>
              <w:rPr>
                <w:sz w:val="15"/>
                <w:szCs w:val="15"/>
                <w:color w:val="auto"/>
              </w:rPr>
            </w:pPr>
          </w:p>
        </w:tc>
        <w:tc>
          <w:tcPr>
            <w:tcW w:w="520" w:type="dxa"/>
            <w:vAlign w:val="bottom"/>
            <w:tcBorders>
              <w:bottom w:val="single" w:sz="8" w:color="CCECFF"/>
            </w:tcBorders>
          </w:tcPr>
          <w:p>
            <w:pPr>
              <w:spacing w:after="0"/>
              <w:rPr>
                <w:sz w:val="15"/>
                <w:szCs w:val="15"/>
                <w:color w:val="auto"/>
              </w:rPr>
            </w:pPr>
          </w:p>
        </w:tc>
        <w:tc>
          <w:tcPr>
            <w:tcW w:w="6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040" w:type="dxa"/>
            <w:vAlign w:val="bottom"/>
            <w:tcBorders>
              <w:bottom w:val="single" w:sz="8" w:color="CCECFF"/>
            </w:tcBorders>
            <w:shd w:val="clear" w:color="auto" w:fill="CCECFF"/>
          </w:tcPr>
          <w:p>
            <w:pPr>
              <w:spacing w:after="0" w:line="129"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CECFF"/>
          </w:tcPr>
          <w:p>
            <w:pPr>
              <w:jc w:val="right"/>
              <w:spacing w:after="0" w:line="129" w:lineRule="exact"/>
              <w:rPr>
                <w:sz w:val="20"/>
                <w:szCs w:val="20"/>
                <w:color w:val="auto"/>
              </w:rPr>
            </w:pPr>
            <w:r>
              <w:rPr>
                <w:rFonts w:ascii="Arial" w:cs="Arial" w:eastAsia="Arial" w:hAnsi="Arial"/>
                <w:sz w:val="14"/>
                <w:szCs w:val="14"/>
                <w:color w:val="auto"/>
              </w:rPr>
              <w:t>232,389,498</w:t>
            </w:r>
          </w:p>
        </w:tc>
        <w:tc>
          <w:tcPr>
            <w:tcW w:w="320" w:type="dxa"/>
            <w:vAlign w:val="bottom"/>
            <w:tcBorders>
              <w:bottom w:val="single" w:sz="8" w:color="CCECFF"/>
            </w:tcBorders>
            <w:shd w:val="clear" w:color="auto" w:fill="CCECFF"/>
          </w:tcPr>
          <w:p>
            <w:pPr>
              <w:spacing w:after="0"/>
              <w:rPr>
                <w:sz w:val="11"/>
                <w:szCs w:val="11"/>
                <w:color w:val="auto"/>
              </w:rPr>
            </w:pPr>
          </w:p>
        </w:tc>
        <w:tc>
          <w:tcPr>
            <w:tcW w:w="1560" w:type="dxa"/>
            <w:vAlign w:val="bottom"/>
            <w:tcBorders>
              <w:bottom w:val="single" w:sz="8" w:color="CCECFF"/>
            </w:tcBorders>
            <w:gridSpan w:val="2"/>
            <w:shd w:val="clear" w:color="auto" w:fill="CCECFF"/>
          </w:tcPr>
          <w:p>
            <w:pPr>
              <w:jc w:val="center"/>
              <w:ind w:right="80"/>
              <w:spacing w:after="0" w:line="129" w:lineRule="exact"/>
              <w:rPr>
                <w:sz w:val="20"/>
                <w:szCs w:val="20"/>
                <w:color w:val="auto"/>
              </w:rPr>
            </w:pPr>
            <w:r>
              <w:rPr>
                <w:rFonts w:ascii="Arial" w:cs="Arial" w:eastAsia="Arial" w:hAnsi="Arial"/>
                <w:sz w:val="14"/>
                <w:szCs w:val="14"/>
                <w:color w:val="auto"/>
                <w:w w:val="94"/>
              </w:rPr>
              <w:t>Market Comparable</w:t>
            </w:r>
          </w:p>
        </w:tc>
        <w:tc>
          <w:tcPr>
            <w:tcW w:w="1780" w:type="dxa"/>
            <w:vAlign w:val="bottom"/>
            <w:tcBorders>
              <w:bottom w:val="single" w:sz="8" w:color="CCECFF"/>
            </w:tcBorders>
            <w:gridSpan w:val="2"/>
            <w:shd w:val="clear" w:color="auto" w:fill="CCECFF"/>
          </w:tcPr>
          <w:p>
            <w:pPr>
              <w:jc w:val="center"/>
              <w:ind w:right="60"/>
              <w:spacing w:after="0" w:line="129" w:lineRule="exact"/>
              <w:rPr>
                <w:sz w:val="20"/>
                <w:szCs w:val="20"/>
                <w:color w:val="auto"/>
              </w:rPr>
            </w:pPr>
            <w:r>
              <w:rPr>
                <w:rFonts w:ascii="Arial" w:cs="Arial" w:eastAsia="Arial" w:hAnsi="Arial"/>
                <w:sz w:val="14"/>
                <w:szCs w:val="14"/>
                <w:color w:val="auto"/>
                <w:w w:val="97"/>
              </w:rPr>
              <w:t>Market Yield</w:t>
            </w:r>
          </w:p>
        </w:tc>
        <w:tc>
          <w:tcPr>
            <w:tcW w:w="500" w:type="dxa"/>
            <w:vAlign w:val="bottom"/>
            <w:tcBorders>
              <w:bottom w:val="single" w:sz="8" w:color="CCECFF"/>
            </w:tcBorders>
            <w:shd w:val="clear" w:color="auto" w:fill="CCECFF"/>
          </w:tcPr>
          <w:p>
            <w:pPr>
              <w:spacing w:after="0"/>
              <w:rPr>
                <w:sz w:val="11"/>
                <w:szCs w:val="11"/>
                <w:color w:val="auto"/>
              </w:rPr>
            </w:pPr>
          </w:p>
        </w:tc>
        <w:tc>
          <w:tcPr>
            <w:tcW w:w="520" w:type="dxa"/>
            <w:vAlign w:val="bottom"/>
            <w:tcBorders>
              <w:bottom w:val="single" w:sz="8" w:color="CCECFF"/>
            </w:tcBorders>
            <w:shd w:val="clear" w:color="auto" w:fill="CCECFF"/>
          </w:tcPr>
          <w:p>
            <w:pPr>
              <w:jc w:val="right"/>
              <w:spacing w:after="0" w:line="129" w:lineRule="exact"/>
              <w:rPr>
                <w:sz w:val="20"/>
                <w:szCs w:val="20"/>
                <w:color w:val="auto"/>
              </w:rPr>
            </w:pPr>
            <w:r>
              <w:rPr>
                <w:rFonts w:ascii="Arial" w:cs="Arial" w:eastAsia="Arial" w:hAnsi="Arial"/>
                <w:sz w:val="14"/>
                <w:szCs w:val="14"/>
                <w:color w:val="auto"/>
              </w:rPr>
              <w:t>3.4%</w:t>
            </w:r>
          </w:p>
        </w:tc>
        <w:tc>
          <w:tcPr>
            <w:tcW w:w="62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and Credit Facility were categorized as follows in the fair value hierarchy for ASC 820 purposes:</w:t>
      </w:r>
    </w:p>
    <w:p>
      <w:pPr>
        <w:spacing w:after="0" w:line="14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9"/>
          </w:tcPr>
          <w:p>
            <w:pPr>
              <w:jc w:val="right"/>
              <w:ind w:right="174"/>
              <w:spacing w:after="0"/>
              <w:rPr>
                <w:sz w:val="20"/>
                <w:szCs w:val="20"/>
                <w:color w:val="auto"/>
              </w:rPr>
            </w:pPr>
            <w:r>
              <w:rPr>
                <w:rFonts w:ascii="Arial" w:cs="Arial" w:eastAsia="Arial" w:hAnsi="Arial"/>
                <w:sz w:val="14"/>
                <w:szCs w:val="14"/>
                <w:b w:val="1"/>
                <w:bCs w:val="1"/>
                <w:color w:val="auto"/>
                <w:w w:val="94"/>
              </w:rPr>
              <w:t>Fair Value Measurements at March 31, 2017</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tcBorders>
              <w:top w:val="single" w:sz="8" w:color="auto"/>
            </w:tcBorders>
            <w:shd w:val="clear" w:color="auto" w:fill="CCECFF"/>
          </w:tcPr>
          <w:p>
            <w:pPr>
              <w:spacing w:after="0" w:line="142" w:lineRule="exact"/>
              <w:rPr>
                <w:sz w:val="20"/>
                <w:szCs w:val="20"/>
                <w:color w:val="auto"/>
              </w:rPr>
            </w:pPr>
            <w:r>
              <w:rPr>
                <w:rFonts w:ascii="Arial" w:cs="Arial" w:eastAsia="Arial" w:hAnsi="Arial"/>
                <w:sz w:val="14"/>
                <w:szCs w:val="14"/>
                <w:color w:val="auto"/>
              </w:rPr>
              <w:t>First lien</w:t>
            </w: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682,258,069</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682,258,069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20"/>
                <w:szCs w:val="20"/>
                <w:color w:val="auto"/>
              </w:rPr>
            </w:pPr>
            <w:r>
              <w:rPr>
                <w:rFonts w:ascii="Arial" w:cs="Arial" w:eastAsia="Arial" w:hAnsi="Arial"/>
                <w:sz w:val="14"/>
                <w:szCs w:val="14"/>
                <w:color w:val="auto"/>
              </w:rPr>
              <w:t>Second lien</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33,160,508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33,160,508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8,446,636</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8,446,636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Equity</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7,617,501</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33,465</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1,540,477</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6,043,559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shd w:val="clear" w:color="auto" w:fill="CCEEFF"/>
          </w:tcPr>
          <w:p>
            <w:pPr>
              <w:ind w:left="360"/>
              <w:spacing w:after="0" w:line="142" w:lineRule="exact"/>
              <w:rPr>
                <w:sz w:val="20"/>
                <w:szCs w:val="20"/>
                <w:color w:val="auto"/>
              </w:rPr>
            </w:pPr>
            <w:r>
              <w:rPr>
                <w:rFonts w:ascii="Arial" w:cs="Arial" w:eastAsia="Arial" w:hAnsi="Arial"/>
                <w:sz w:val="14"/>
                <w:szCs w:val="14"/>
                <w:color w:val="auto"/>
              </w:rPr>
              <w:t>Total investments</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731,482,714</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33,465</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1,540,477</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729,908,772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and cash equivalents</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43,974,053</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43,974,053</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tcBorders>
              <w:bottom w:val="single" w:sz="8" w:color="CCEEFF"/>
            </w:tcBorders>
            <w:shd w:val="clear" w:color="auto" w:fill="CCEEFF"/>
          </w:tcPr>
          <w:p>
            <w:pPr>
              <w:ind w:left="360"/>
              <w:spacing w:after="0" w:line="142" w:lineRule="exact"/>
              <w:rPr>
                <w:sz w:val="20"/>
                <w:szCs w:val="20"/>
                <w:color w:val="auto"/>
              </w:rPr>
            </w:pPr>
            <w:r>
              <w:rPr>
                <w:rFonts w:ascii="Arial" w:cs="Arial" w:eastAsia="Arial" w:hAnsi="Arial"/>
                <w:sz w:val="14"/>
                <w:szCs w:val="14"/>
                <w:color w:val="auto"/>
              </w:rPr>
              <w:t>Total investments, cash and cash equivalents</w:t>
            </w:r>
          </w:p>
        </w:tc>
        <w:tc>
          <w:tcPr>
            <w:tcW w:w="3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775,456,767</w:t>
            </w: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44,007,518</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1,540,477</w:t>
            </w:r>
          </w:p>
        </w:tc>
        <w:tc>
          <w:tcPr>
            <w:tcW w:w="3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729,908,772</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8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300,420,904</w:t>
            </w:r>
          </w:p>
        </w:tc>
        <w:tc>
          <w:tcPr>
            <w:tcW w:w="180" w:type="dxa"/>
            <w:vAlign w:val="bottom"/>
            <w:vMerge w:val="continue"/>
          </w:tcPr>
          <w:p>
            <w:pPr>
              <w:spacing w:after="0"/>
              <w:rPr>
                <w:sz w:val="11"/>
                <w:szCs w:val="11"/>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11"/>
                <w:szCs w:val="11"/>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300" w:type="dxa"/>
            <w:vAlign w:val="bottom"/>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tcPr>
          <w:p>
            <w:pPr>
              <w:jc w:val="right"/>
              <w:ind w:right="114"/>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300,420,904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10"/>
          </w:tcPr>
          <w:p>
            <w:pPr>
              <w:jc w:val="right"/>
              <w:ind w:right="69"/>
              <w:spacing w:after="0"/>
              <w:rPr>
                <w:sz w:val="20"/>
                <w:szCs w:val="20"/>
                <w:color w:val="auto"/>
              </w:rPr>
            </w:pPr>
            <w:r>
              <w:rPr>
                <w:rFonts w:ascii="Arial" w:cs="Arial" w:eastAsia="Arial" w:hAnsi="Arial"/>
                <w:sz w:val="14"/>
                <w:szCs w:val="14"/>
                <w:b w:val="1"/>
                <w:bCs w:val="1"/>
                <w:color w:val="auto"/>
              </w:rPr>
              <w:t>Fair Value Measurements at September 30, 2016</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Borders>
              <w:top w:val="single" w:sz="8" w:color="auto"/>
            </w:tcBorders>
            <w:shd w:val="clear" w:color="auto" w:fill="CCECFF"/>
          </w:tcPr>
          <w:p>
            <w:pPr>
              <w:spacing w:after="0" w:line="142" w:lineRule="exact"/>
              <w:rPr>
                <w:sz w:val="20"/>
                <w:szCs w:val="20"/>
                <w:color w:val="auto"/>
              </w:rPr>
            </w:pPr>
            <w:r>
              <w:rPr>
                <w:rFonts w:ascii="Arial" w:cs="Arial" w:eastAsia="Arial" w:hAnsi="Arial"/>
                <w:sz w:val="14"/>
                <w:szCs w:val="14"/>
                <w:color w:val="auto"/>
              </w:rPr>
              <w:t>First lien</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548,410,095</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548,410,095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20"/>
                <w:szCs w:val="20"/>
                <w:color w:val="auto"/>
              </w:rPr>
            </w:pPr>
            <w:r>
              <w:rPr>
                <w:rFonts w:ascii="Arial" w:cs="Arial" w:eastAsia="Arial" w:hAnsi="Arial"/>
                <w:sz w:val="14"/>
                <w:szCs w:val="14"/>
                <w:color w:val="auto"/>
              </w:rPr>
              <w:t>Second lien</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36,596,692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36,596,692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3,160,372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3,160,372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Equity</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10,720,366</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106,922</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2,957,767</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7,655,677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shd w:val="clear" w:color="auto" w:fill="CCEEFF"/>
          </w:tcPr>
          <w:p>
            <w:pPr>
              <w:ind w:left="360"/>
              <w:spacing w:after="0" w:line="142" w:lineRule="exact"/>
              <w:rPr>
                <w:sz w:val="20"/>
                <w:szCs w:val="20"/>
                <w:color w:val="auto"/>
              </w:rPr>
            </w:pPr>
            <w:r>
              <w:rPr>
                <w:rFonts w:ascii="Arial" w:cs="Arial" w:eastAsia="Arial" w:hAnsi="Arial"/>
                <w:sz w:val="14"/>
                <w:szCs w:val="14"/>
                <w:color w:val="auto"/>
              </w:rPr>
              <w:t>Total investments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598,887,525</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106,922</w:t>
            </w:r>
          </w:p>
        </w:tc>
        <w:tc>
          <w:tcPr>
            <w:tcW w:w="2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2,957,767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595,822,836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and cash equivalents</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28,910,973</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28,910,973</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Borders>
              <w:bottom w:val="single" w:sz="8" w:color="CCEEFF"/>
            </w:tcBorders>
            <w:shd w:val="clear" w:color="auto" w:fill="CCEEFF"/>
          </w:tcPr>
          <w:p>
            <w:pPr>
              <w:ind w:left="360"/>
              <w:spacing w:after="0" w:line="142" w:lineRule="exact"/>
              <w:rPr>
                <w:sz w:val="20"/>
                <w:szCs w:val="20"/>
                <w:color w:val="auto"/>
              </w:rPr>
            </w:pPr>
            <w:r>
              <w:rPr>
                <w:rFonts w:ascii="Arial" w:cs="Arial" w:eastAsia="Arial" w:hAnsi="Arial"/>
                <w:sz w:val="14"/>
                <w:szCs w:val="14"/>
                <w:color w:val="auto"/>
              </w:rPr>
              <w:t>Total investments, cash and cash equivalents</w:t>
            </w:r>
          </w:p>
        </w:tc>
        <w:tc>
          <w:tcPr>
            <w:tcW w:w="2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627,798,498</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29,017,895</w:t>
            </w: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2,957,757</w:t>
            </w:r>
          </w:p>
        </w:tc>
        <w:tc>
          <w:tcPr>
            <w:tcW w:w="2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595,822,836</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2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0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232,389,498</w:t>
            </w:r>
          </w:p>
        </w:tc>
        <w:tc>
          <w:tcPr>
            <w:tcW w:w="200" w:type="dxa"/>
            <w:vAlign w:val="bottom"/>
            <w:vMerge w:val="continue"/>
          </w:tcPr>
          <w:p>
            <w:pPr>
              <w:spacing w:after="0"/>
              <w:rPr>
                <w:sz w:val="11"/>
                <w:szCs w:val="11"/>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40" w:type="dxa"/>
            <w:vAlign w:val="bottom"/>
            <w:vMerge w:val="continue"/>
          </w:tcPr>
          <w:p>
            <w:pPr>
              <w:spacing w:after="0"/>
              <w:rPr>
                <w:sz w:val="11"/>
                <w:szCs w:val="11"/>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60" w:type="dxa"/>
            <w:vAlign w:val="bottom"/>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232,389,498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11"/>
          </w:tcPr>
          <w:p>
            <w:pPr>
              <w:jc w:val="right"/>
              <w:ind w:right="800"/>
              <w:spacing w:after="0"/>
              <w:rPr>
                <w:sz w:val="20"/>
                <w:szCs w:val="20"/>
                <w:color w:val="auto"/>
              </w:rPr>
            </w:pPr>
            <w:r>
              <w:rPr>
                <w:rFonts w:ascii="Arial" w:cs="Arial" w:eastAsia="Arial" w:hAnsi="Arial"/>
                <w:sz w:val="14"/>
                <w:szCs w:val="14"/>
                <w:b w:val="1"/>
                <w:bCs w:val="1"/>
                <w:color w:val="auto"/>
              </w:rPr>
              <w:t>Six Months Ended March 31, 2017</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Second lien,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subordinated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61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First Lien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40" w:type="dxa"/>
            <w:vAlign w:val="bottom"/>
          </w:tcPr>
          <w:p>
            <w:pPr>
              <w:spacing w:after="0"/>
              <w:rPr>
                <w:sz w:val="15"/>
                <w:szCs w:val="15"/>
                <w:color w:val="auto"/>
              </w:rPr>
            </w:pPr>
          </w:p>
        </w:tc>
        <w:tc>
          <w:tcPr>
            <w:tcW w:w="61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610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548,410,095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47,412,741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595,822,836</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6100" w:type="dxa"/>
            <w:vAlign w:val="bottom"/>
          </w:tcPr>
          <w:p>
            <w:pPr>
              <w:ind w:left="360"/>
              <w:spacing w:after="0"/>
              <w:rPr>
                <w:sz w:val="20"/>
                <w:szCs w:val="20"/>
                <w:color w:val="auto"/>
              </w:rPr>
            </w:pPr>
            <w:r>
              <w:rPr>
                <w:rFonts w:ascii="Arial" w:cs="Arial" w:eastAsia="Arial" w:hAnsi="Arial"/>
                <w:sz w:val="14"/>
                <w:szCs w:val="14"/>
                <w:color w:val="auto"/>
              </w:rPr>
              <w:t>Net realized gains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951,500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266,219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1,217,719</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6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unrealized appreciation (depreciation)</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2,866,849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(1,722,503)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1,144,346</w:t>
            </w:r>
          </w:p>
        </w:tc>
        <w:tc>
          <w:tcPr>
            <w:tcW w:w="120" w:type="dxa"/>
            <w:vAlign w:val="bottom"/>
            <w:shd w:val="clear" w:color="auto" w:fill="CCEEFF"/>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6100" w:type="dxa"/>
            <w:vAlign w:val="bottom"/>
          </w:tcPr>
          <w:p>
            <w:pPr>
              <w:ind w:left="36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259,894,855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12,347,053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272,241,908</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6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(129,865,230)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(10,652,807)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(140,518,037)</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6100" w:type="dxa"/>
            <w:vAlign w:val="bottom"/>
          </w:tcPr>
          <w:p>
            <w:pPr>
              <w:ind w:left="360"/>
              <w:spacing w:after="0"/>
              <w:rPr>
                <w:sz w:val="20"/>
                <w:szCs w:val="20"/>
                <w:color w:val="auto"/>
              </w:rPr>
            </w:pPr>
            <w:r>
              <w:rPr>
                <w:rFonts w:ascii="Arial" w:cs="Arial" w:eastAsia="Arial" w:hAnsi="Arial"/>
                <w:sz w:val="14"/>
                <w:szCs w:val="14"/>
                <w:color w:val="auto"/>
              </w:rPr>
              <w:t>Transfers in and/or out of Level 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6100" w:type="dxa"/>
            <w:vAlign w:val="bottom"/>
            <w:tcBorders>
              <w:top w:val="single" w:sz="8" w:color="CCECFF"/>
              <w:bottom w:val="single" w:sz="8" w:color="CCECFF"/>
            </w:tcBorders>
            <w:shd w:val="clear" w:color="auto" w:fill="CCECFF"/>
          </w:tcPr>
          <w:p>
            <w:pPr>
              <w:spacing w:after="0" w:line="142"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CFF"/>
          </w:tcPr>
          <w:p>
            <w:pPr>
              <w:jc w:val="right"/>
              <w:ind w:right="80"/>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682,258,069</w:t>
            </w:r>
          </w:p>
        </w:tc>
        <w:tc>
          <w:tcPr>
            <w:tcW w:w="14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47,650,703</w:t>
            </w: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CCECFF"/>
              <w:bottom w:val="single" w:sz="8" w:color="CCECFF"/>
            </w:tcBorders>
            <w:gridSpan w:val="2"/>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jc w:val="right"/>
              <w:ind w:right="34"/>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729,908,772</w:t>
            </w: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100" w:type="dxa"/>
            <w:vAlign w:val="bottom"/>
            <w:vMerge w:val="restart"/>
          </w:tcPr>
          <w:p>
            <w:pPr>
              <w:spacing w:after="0" w:line="151" w:lineRule="exact"/>
              <w:rPr>
                <w:sz w:val="20"/>
                <w:szCs w:val="20"/>
                <w:color w:val="auto"/>
              </w:rPr>
            </w:pPr>
            <w:r>
              <w:rPr>
                <w:rFonts w:ascii="Arial" w:cs="Arial" w:eastAsia="Arial" w:hAnsi="Arial"/>
                <w:sz w:val="14"/>
                <w:szCs w:val="14"/>
                <w:color w:val="auto"/>
              </w:rPr>
              <w:t>Net change in unrealized appreciation (depreciation) reported within the net change in unrealized</w:t>
            </w: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40" w:type="dxa"/>
            <w:vAlign w:val="bottom"/>
          </w:tcPr>
          <w:p>
            <w:pPr>
              <w:spacing w:after="0"/>
              <w:rPr>
                <w:sz w:val="9"/>
                <w:szCs w:val="9"/>
                <w:color w:val="auto"/>
              </w:rPr>
            </w:pPr>
          </w:p>
        </w:tc>
        <w:tc>
          <w:tcPr>
            <w:tcW w:w="6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6100" w:type="dxa"/>
            <w:vAlign w:val="bottom"/>
          </w:tcPr>
          <w:p>
            <w:pPr>
              <w:ind w:left="380"/>
              <w:spacing w:after="0" w:line="149" w:lineRule="exact"/>
              <w:rPr>
                <w:sz w:val="20"/>
                <w:szCs w:val="20"/>
                <w:color w:val="auto"/>
              </w:rPr>
            </w:pPr>
            <w:r>
              <w:rPr>
                <w:rFonts w:ascii="Arial" w:cs="Arial" w:eastAsia="Arial" w:hAnsi="Arial"/>
                <w:sz w:val="14"/>
                <w:szCs w:val="14"/>
                <w:color w:val="auto"/>
                <w:w w:val="99"/>
              </w:rPr>
              <w:t>depreciation on investments in our Consolidated Statements of Operations attributable to our</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6100" w:type="dxa"/>
            <w:vAlign w:val="bottom"/>
          </w:tcPr>
          <w:p>
            <w:pPr>
              <w:ind w:left="380"/>
              <w:spacing w:after="0"/>
              <w:rPr>
                <w:sz w:val="20"/>
                <w:szCs w:val="20"/>
                <w:color w:val="auto"/>
              </w:rPr>
            </w:pPr>
            <w:r>
              <w:rPr>
                <w:rFonts w:ascii="Arial" w:cs="Arial" w:eastAsia="Arial" w:hAnsi="Arial"/>
                <w:sz w:val="14"/>
                <w:szCs w:val="14"/>
                <w:color w:val="auto"/>
              </w:rPr>
              <w:t>Level 3 assets still held at the reporting date.</w:t>
            </w: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2,343,073</w:t>
            </w:r>
          </w:p>
        </w:tc>
        <w:tc>
          <w:tcPr>
            <w:tcW w:w="1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(1,475,547)</w:t>
            </w:r>
          </w:p>
        </w:tc>
        <w:tc>
          <w:tcPr>
            <w:tcW w:w="200" w:type="dxa"/>
            <w:vAlign w:val="bottom"/>
            <w:gridSpan w:val="3"/>
          </w:tcPr>
          <w:p>
            <w:pPr>
              <w:jc w:val="right"/>
              <w:ind w:right="34"/>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867,526</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1"/>
          </w:tcPr>
          <w:p>
            <w:pPr>
              <w:jc w:val="right"/>
              <w:ind w:right="800"/>
              <w:spacing w:after="0"/>
              <w:rPr>
                <w:sz w:val="20"/>
                <w:szCs w:val="20"/>
                <w:color w:val="auto"/>
              </w:rPr>
            </w:pPr>
            <w:r>
              <w:rPr>
                <w:rFonts w:ascii="Arial" w:cs="Arial" w:eastAsia="Arial" w:hAnsi="Arial"/>
                <w:sz w:val="14"/>
                <w:szCs w:val="14"/>
                <w:b w:val="1"/>
                <w:bCs w:val="1"/>
                <w:color w:val="auto"/>
              </w:rPr>
              <w:t>Six Months Ended March 31, 2016</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Second lien,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subordinated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61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First Lien</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Totals</w:t>
            </w:r>
          </w:p>
        </w:tc>
        <w:tc>
          <w:tcPr>
            <w:tcW w:w="1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40" w:type="dxa"/>
            <w:vAlign w:val="bottom"/>
          </w:tcPr>
          <w:p>
            <w:pPr>
              <w:spacing w:after="0"/>
              <w:rPr>
                <w:sz w:val="14"/>
                <w:szCs w:val="14"/>
                <w:color w:val="auto"/>
              </w:rPr>
            </w:pPr>
          </w:p>
        </w:tc>
        <w:tc>
          <w:tcPr>
            <w:tcW w:w="61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8"/>
              <w:spacing w:after="0" w:line="158" w:lineRule="exact"/>
              <w:rPr>
                <w:sz w:val="20"/>
                <w:szCs w:val="20"/>
                <w:color w:val="auto"/>
              </w:rPr>
            </w:pPr>
            <w:r>
              <w:rPr>
                <w:rFonts w:ascii="Arial" w:cs="Arial" w:eastAsia="Arial" w:hAnsi="Arial"/>
                <w:sz w:val="14"/>
                <w:szCs w:val="14"/>
                <w:b w:val="1"/>
                <w:bCs w:val="1"/>
                <w:color w:val="auto"/>
                <w:w w:val="88"/>
              </w:rPr>
              <w:t>investments</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0" w:type="dxa"/>
            <w:vAlign w:val="bottom"/>
          </w:tcPr>
          <w:p>
            <w:pPr>
              <w:spacing w:after="0"/>
              <w:rPr>
                <w:sz w:val="15"/>
                <w:szCs w:val="15"/>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334,957,341</w:t>
            </w:r>
          </w:p>
        </w:tc>
        <w:tc>
          <w:tcPr>
            <w:tcW w:w="1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56,163,940</w:t>
            </w:r>
          </w:p>
        </w:tc>
        <w:tc>
          <w:tcPr>
            <w:tcW w:w="1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391,121,281</w:t>
            </w:r>
          </w:p>
        </w:tc>
        <w:tc>
          <w:tcPr>
            <w:tcW w:w="120" w:type="dxa"/>
            <w:vAlign w:val="bottom"/>
            <w:shd w:val="clear" w:color="auto" w:fill="CCEEFF"/>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6100" w:type="dxa"/>
            <w:vAlign w:val="bottom"/>
          </w:tcPr>
          <w:p>
            <w:pPr>
              <w:ind w:left="360"/>
              <w:spacing w:after="0"/>
              <w:rPr>
                <w:sz w:val="20"/>
                <w:szCs w:val="20"/>
                <w:color w:val="auto"/>
              </w:rPr>
            </w:pPr>
            <w:r>
              <w:rPr>
                <w:rFonts w:ascii="Arial" w:cs="Arial" w:eastAsia="Arial" w:hAnsi="Arial"/>
                <w:sz w:val="14"/>
                <w:szCs w:val="14"/>
                <w:color w:val="auto"/>
              </w:rPr>
              <w:t>Net realized gains (losses)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209,522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(2,447,359)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(2,237,837)</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6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unrealized (depreciation) appreciation</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(6,292,525)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134,146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(6,158,379)</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6100" w:type="dxa"/>
            <w:vAlign w:val="bottom"/>
          </w:tcPr>
          <w:p>
            <w:pPr>
              <w:ind w:left="36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152,501,262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4,766,656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157,267,918</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6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(55,367,543)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(1,437,022)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(56,804,565)</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6100" w:type="dxa"/>
            <w:vAlign w:val="bottom"/>
          </w:tcPr>
          <w:p>
            <w:pPr>
              <w:ind w:left="360"/>
              <w:spacing w:after="0"/>
              <w:rPr>
                <w:sz w:val="20"/>
                <w:szCs w:val="20"/>
                <w:color w:val="auto"/>
              </w:rPr>
            </w:pPr>
            <w:r>
              <w:rPr>
                <w:rFonts w:ascii="Arial" w:cs="Arial" w:eastAsia="Arial" w:hAnsi="Arial"/>
                <w:sz w:val="14"/>
                <w:szCs w:val="14"/>
                <w:color w:val="auto"/>
              </w:rPr>
              <w:t>Transfers in and/or out of Level 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610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426,008,057</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57,180,361</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ind w:right="34"/>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483,188,418</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100" w:type="dxa"/>
            <w:vAlign w:val="bottom"/>
            <w:vMerge w:val="restart"/>
          </w:tcPr>
          <w:p>
            <w:pPr>
              <w:spacing w:after="0" w:line="151" w:lineRule="exact"/>
              <w:rPr>
                <w:sz w:val="20"/>
                <w:szCs w:val="20"/>
                <w:color w:val="auto"/>
              </w:rPr>
            </w:pPr>
            <w:r>
              <w:rPr>
                <w:rFonts w:ascii="Arial" w:cs="Arial" w:eastAsia="Arial" w:hAnsi="Arial"/>
                <w:sz w:val="14"/>
                <w:szCs w:val="14"/>
                <w:color w:val="auto"/>
                <w:w w:val="99"/>
              </w:rPr>
              <w:t>Net change in unrealized depreciation reported within the net change in unrealized depreciation on</w:t>
            </w: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40" w:type="dxa"/>
            <w:vAlign w:val="bottom"/>
          </w:tcPr>
          <w:p>
            <w:pPr>
              <w:spacing w:after="0"/>
              <w:rPr>
                <w:sz w:val="9"/>
                <w:szCs w:val="9"/>
                <w:color w:val="auto"/>
              </w:rPr>
            </w:pPr>
          </w:p>
        </w:tc>
        <w:tc>
          <w:tcPr>
            <w:tcW w:w="6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6100" w:type="dxa"/>
            <w:vAlign w:val="bottom"/>
          </w:tcPr>
          <w:p>
            <w:pPr>
              <w:ind w:left="380"/>
              <w:spacing w:after="0" w:line="149" w:lineRule="exact"/>
              <w:rPr>
                <w:sz w:val="20"/>
                <w:szCs w:val="20"/>
                <w:color w:val="auto"/>
              </w:rPr>
            </w:pPr>
            <w:r>
              <w:rPr>
                <w:rFonts w:ascii="Arial" w:cs="Arial" w:eastAsia="Arial" w:hAnsi="Arial"/>
                <w:sz w:val="14"/>
                <w:szCs w:val="14"/>
                <w:color w:val="auto"/>
                <w:w w:val="96"/>
              </w:rPr>
              <w:t>investments in our Consolidated Statements of Operations attributable to our Level 3 assets still</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6100" w:type="dxa"/>
            <w:vAlign w:val="bottom"/>
          </w:tcPr>
          <w:p>
            <w:pPr>
              <w:ind w:left="380"/>
              <w:spacing w:after="0"/>
              <w:rPr>
                <w:sz w:val="20"/>
                <w:szCs w:val="20"/>
                <w:color w:val="auto"/>
              </w:rPr>
            </w:pPr>
            <w:r>
              <w:rPr>
                <w:rFonts w:ascii="Arial" w:cs="Arial" w:eastAsia="Arial" w:hAnsi="Arial"/>
                <w:sz w:val="14"/>
                <w:szCs w:val="14"/>
                <w:color w:val="auto"/>
              </w:rPr>
              <w:t>held at the reporting date.</w:t>
            </w: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(6,030,964)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(2,335,281)</w:t>
            </w:r>
          </w:p>
        </w:tc>
        <w:tc>
          <w:tcPr>
            <w:tcW w:w="200" w:type="dxa"/>
            <w:vAlign w:val="bottom"/>
            <w:gridSpan w:val="3"/>
          </w:tcPr>
          <w:p>
            <w:pPr>
              <w:jc w:val="right"/>
              <w:ind w:right="34"/>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(8,366,245)</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100" w:type="dxa"/>
            <w:vAlign w:val="bottom"/>
            <w:vMerge w:val="restart"/>
          </w:tcPr>
          <w:p>
            <w:pPr>
              <w:ind w:left="4920"/>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64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40" w:type="dxa"/>
            <w:vAlign w:val="bottom"/>
            <w:tcBorders>
              <w:bottom w:val="single" w:sz="8" w:color="9A9A9A"/>
            </w:tcBorders>
          </w:tcPr>
          <w:p>
            <w:pPr>
              <w:spacing w:after="0"/>
              <w:rPr>
                <w:sz w:val="8"/>
                <w:szCs w:val="8"/>
                <w:color w:val="auto"/>
              </w:rPr>
            </w:pPr>
          </w:p>
        </w:tc>
        <w:tc>
          <w:tcPr>
            <w:tcW w:w="6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9" w:name="page20"/>
    <w:bookmarkEnd w:id="19"/>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99"/>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14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6120" w:type="dxa"/>
            <w:vAlign w:val="bottom"/>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4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612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08"/>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$232,907,500 and $29,600,000, respectively)</w:t>
            </w:r>
          </w:p>
        </w:tc>
        <w:tc>
          <w:tcPr>
            <w:tcW w:w="420" w:type="dxa"/>
            <w:vAlign w:val="bottom"/>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232,389,498</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29,600,000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360"/>
              <w:spacing w:after="0"/>
              <w:rPr>
                <w:sz w:val="20"/>
                <w:szCs w:val="20"/>
                <w:color w:val="auto"/>
              </w:rPr>
            </w:pPr>
            <w:r>
              <w:rPr>
                <w:rFonts w:ascii="Arial" w:cs="Arial" w:eastAsia="Arial" w:hAnsi="Arial"/>
                <w:sz w:val="14"/>
                <w:szCs w:val="14"/>
                <w:color w:val="auto"/>
              </w:rPr>
              <w:t>Net change in unrealized appreciation (depreciation) included in earnings</w:t>
            </w:r>
          </w:p>
        </w:tc>
        <w:tc>
          <w:tcPr>
            <w:tcW w:w="4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1,029,406</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(215,083)</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Borrowings</w:t>
            </w:r>
          </w:p>
        </w:tc>
        <w:tc>
          <w:tcPr>
            <w:tcW w:w="4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196,502,000</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121,907,500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360"/>
              <w:spacing w:after="0"/>
              <w:rPr>
                <w:sz w:val="20"/>
                <w:szCs w:val="20"/>
                <w:color w:val="auto"/>
              </w:rPr>
            </w:pPr>
            <w:r>
              <w:rPr>
                <w:rFonts w:ascii="Arial" w:cs="Arial" w:eastAsia="Arial" w:hAnsi="Arial"/>
                <w:sz w:val="14"/>
                <w:szCs w:val="14"/>
                <w:color w:val="auto"/>
              </w:rPr>
              <w:t>Repayments</w:t>
            </w:r>
          </w:p>
        </w:tc>
        <w:tc>
          <w:tcPr>
            <w:tcW w:w="42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color w:val="auto"/>
              </w:rPr>
              <w:t>(129,500,000)</w:t>
            </w:r>
          </w:p>
        </w:tc>
        <w:tc>
          <w:tcPr>
            <w:tcW w:w="48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(23,300,000)</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Transfers in and/or out of Level 3</w:t>
            </w:r>
          </w:p>
        </w:tc>
        <w:tc>
          <w:tcPr>
            <w:tcW w:w="42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6120" w:type="dxa"/>
            <w:vAlign w:val="bottom"/>
          </w:tcPr>
          <w:p>
            <w:pPr>
              <w:spacing w:after="0" w:line="142" w:lineRule="exact"/>
              <w:rPr>
                <w:sz w:val="20"/>
                <w:szCs w:val="20"/>
                <w:color w:val="auto"/>
              </w:rPr>
            </w:pPr>
            <w:r>
              <w:rPr>
                <w:rFonts w:ascii="Arial" w:cs="Arial" w:eastAsia="Arial" w:hAnsi="Arial"/>
                <w:sz w:val="14"/>
                <w:szCs w:val="14"/>
                <w:color w:val="auto"/>
              </w:rPr>
              <w:t>Ending Balance (cost – $299,909,500 and $128,207,500, respectively)</w:t>
            </w:r>
          </w:p>
        </w:tc>
        <w:tc>
          <w:tcPr>
            <w:tcW w:w="4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300,420,904</w:t>
            </w:r>
          </w:p>
        </w:tc>
        <w:tc>
          <w:tcPr>
            <w:tcW w:w="4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127,992,417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As of March 31, 2017, we had outstanding non-U.S. dollar borrowings on our Credit Facility. Net change in fair value from foreign currency translation on outstanding borrowings is listed below:</w:t>
      </w:r>
    </w:p>
    <w:p>
      <w:pPr>
        <w:spacing w:after="0" w:line="90"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2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36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Amount Borrowed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7"/>
              </w:rPr>
              <w:t>Borrowing 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Current Value</w:t>
            </w:r>
          </w:p>
        </w:tc>
        <w:tc>
          <w:tcPr>
            <w:tcW w:w="240" w:type="dxa"/>
            <w:vAlign w:val="bottom"/>
          </w:tcPr>
          <w:p>
            <w:pPr>
              <w:spacing w:after="0"/>
              <w:rPr>
                <w:sz w:val="14"/>
                <w:szCs w:val="14"/>
                <w:color w:val="auto"/>
              </w:rPr>
            </w:pPr>
          </w:p>
        </w:tc>
        <w:tc>
          <w:tcPr>
            <w:tcW w:w="15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Reset Date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Change in Fair</w:t>
            </w:r>
          </w:p>
        </w:tc>
        <w:tc>
          <w:tcPr>
            <w:tcW w:w="0" w:type="dxa"/>
            <w:vAlign w:val="bottom"/>
          </w:tcPr>
          <w:p>
            <w:pPr>
              <w:spacing w:after="0"/>
              <w:rPr>
                <w:sz w:val="1"/>
                <w:szCs w:val="1"/>
                <w:color w:val="auto"/>
              </w:rPr>
            </w:pPr>
          </w:p>
        </w:tc>
      </w:tr>
      <w:tr>
        <w:trPr>
          <w:trHeight w:val="171"/>
        </w:trPr>
        <w:tc>
          <w:tcPr>
            <w:tcW w:w="204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1820" w:type="dxa"/>
            <w:vAlign w:val="bottom"/>
            <w:tcBorders>
              <w:top w:val="single" w:sz="8" w:color="auto"/>
            </w:tcBorders>
            <w:shd w:val="clear" w:color="auto" w:fill="CCECFF"/>
          </w:tcPr>
          <w:p>
            <w:pPr>
              <w:spacing w:after="0" w:line="142" w:lineRule="exact"/>
              <w:rPr>
                <w:sz w:val="20"/>
                <w:szCs w:val="20"/>
                <w:color w:val="auto"/>
              </w:rPr>
            </w:pPr>
            <w:r>
              <w:rPr>
                <w:rFonts w:ascii="Arial" w:cs="Arial" w:eastAsia="Arial" w:hAnsi="Arial"/>
                <w:sz w:val="14"/>
                <w:szCs w:val="14"/>
                <w:color w:val="auto"/>
              </w:rPr>
              <w:t>Canadian Dollar</w:t>
            </w:r>
          </w:p>
        </w:tc>
        <w:tc>
          <w:tcPr>
            <w:tcW w:w="220" w:type="dxa"/>
            <w:vAlign w:val="bottom"/>
            <w:tcBorders>
              <w:top w:val="single" w:sz="8" w:color="CCECFF"/>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jc w:val="right"/>
              <w:ind w:right="68"/>
              <w:spacing w:after="0" w:line="142" w:lineRule="exact"/>
              <w:rPr>
                <w:sz w:val="20"/>
                <w:szCs w:val="20"/>
                <w:color w:val="auto"/>
              </w:rPr>
            </w:pPr>
            <w:r>
              <w:rPr>
                <w:rFonts w:ascii="Arial" w:cs="Arial" w:eastAsia="Arial" w:hAnsi="Arial"/>
                <w:sz w:val="14"/>
                <w:szCs w:val="14"/>
                <w:color w:val="auto"/>
              </w:rPr>
              <w:t>C$</w:t>
            </w:r>
          </w:p>
        </w:tc>
        <w:tc>
          <w:tcPr>
            <w:tcW w:w="80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17,500,000</w:t>
            </w:r>
          </w:p>
        </w:tc>
        <w:tc>
          <w:tcPr>
            <w:tcW w:w="26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12,407,501</w:t>
            </w:r>
          </w:p>
        </w:tc>
        <w:tc>
          <w:tcPr>
            <w:tcW w:w="24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13,121,885</w:t>
            </w:r>
          </w:p>
        </w:tc>
        <w:tc>
          <w:tcPr>
            <w:tcW w:w="240" w:type="dxa"/>
            <w:vAlign w:val="bottom"/>
            <w:tcBorders>
              <w:top w:val="single" w:sz="8" w:color="CCECFF"/>
            </w:tcBorders>
            <w:shd w:val="clear" w:color="auto" w:fill="CCECFF"/>
          </w:tcPr>
          <w:p>
            <w:pPr>
              <w:spacing w:after="0"/>
              <w:rPr>
                <w:sz w:val="12"/>
                <w:szCs w:val="12"/>
                <w:color w:val="auto"/>
              </w:rPr>
            </w:pPr>
          </w:p>
        </w:tc>
        <w:tc>
          <w:tcPr>
            <w:tcW w:w="1540" w:type="dxa"/>
            <w:vAlign w:val="bottom"/>
            <w:tcBorders>
              <w:top w:val="single" w:sz="8" w:color="auto"/>
            </w:tcBorders>
            <w:shd w:val="clear" w:color="auto" w:fill="CCECFF"/>
          </w:tcPr>
          <w:p>
            <w:pPr>
              <w:ind w:left="340"/>
              <w:spacing w:after="0" w:line="142" w:lineRule="exact"/>
              <w:rPr>
                <w:sz w:val="20"/>
                <w:szCs w:val="20"/>
                <w:color w:val="auto"/>
              </w:rPr>
            </w:pPr>
            <w:r>
              <w:rPr>
                <w:rFonts w:ascii="Arial" w:cs="Arial" w:eastAsia="Arial" w:hAnsi="Arial"/>
                <w:sz w:val="14"/>
                <w:szCs w:val="14"/>
                <w:color w:val="auto"/>
              </w:rPr>
              <w:t>April 3, 2017</w:t>
            </w:r>
          </w:p>
        </w:tc>
        <w:tc>
          <w:tcPr>
            <w:tcW w:w="24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714,384</w:t>
            </w:r>
          </w:p>
        </w:tc>
        <w:tc>
          <w:tcPr>
            <w:tcW w:w="26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Euro</w:t>
            </w:r>
          </w:p>
        </w:tc>
        <w:tc>
          <w:tcPr>
            <w:tcW w:w="560" w:type="dxa"/>
            <w:vAlign w:val="bottom"/>
            <w:tcBorders>
              <w:bottom w:val="single" w:sz="8" w:color="CCECFF"/>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18,000,000</w:t>
            </w:r>
          </w:p>
        </w:tc>
        <w:tc>
          <w:tcPr>
            <w:tcW w:w="26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18,702,000</w:t>
            </w:r>
          </w:p>
        </w:tc>
        <w:tc>
          <w:tcPr>
            <w:tcW w:w="24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19,251,954</w:t>
            </w:r>
          </w:p>
        </w:tc>
        <w:tc>
          <w:tcPr>
            <w:tcW w:w="240" w:type="dxa"/>
            <w:vAlign w:val="bottom"/>
            <w:tcBorders>
              <w:bottom w:val="single" w:sz="8" w:color="CCECFF"/>
            </w:tcBorders>
          </w:tcPr>
          <w:p>
            <w:pPr>
              <w:spacing w:after="0"/>
              <w:rPr>
                <w:sz w:val="14"/>
                <w:szCs w:val="14"/>
                <w:color w:val="auto"/>
              </w:rPr>
            </w:pPr>
          </w:p>
        </w:tc>
        <w:tc>
          <w:tcPr>
            <w:tcW w:w="1540" w:type="dxa"/>
            <w:vAlign w:val="bottom"/>
            <w:tcBorders>
              <w:bottom w:val="single" w:sz="8" w:color="CCECFF"/>
            </w:tcBorders>
          </w:tcPr>
          <w:p>
            <w:pPr>
              <w:ind w:left="340"/>
              <w:spacing w:after="0"/>
              <w:rPr>
                <w:sz w:val="20"/>
                <w:szCs w:val="20"/>
                <w:color w:val="auto"/>
              </w:rPr>
            </w:pPr>
            <w:r>
              <w:rPr>
                <w:rFonts w:ascii="Arial" w:cs="Arial" w:eastAsia="Arial" w:hAnsi="Arial"/>
                <w:sz w:val="14"/>
                <w:szCs w:val="14"/>
                <w:color w:val="auto"/>
              </w:rPr>
              <w:t>April 3, 2017</w:t>
            </w:r>
          </w:p>
        </w:tc>
        <w:tc>
          <w:tcPr>
            <w:tcW w:w="24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549,954</w:t>
            </w:r>
          </w:p>
        </w:tc>
        <w:tc>
          <w:tcPr>
            <w:tcW w:w="2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31,109,501</w:t>
            </w:r>
          </w:p>
        </w:tc>
        <w:tc>
          <w:tcPr>
            <w:tcW w:w="2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32,373,839</w:t>
            </w:r>
          </w:p>
        </w:tc>
        <w:tc>
          <w:tcPr>
            <w:tcW w:w="240" w:type="dxa"/>
            <w:vAlign w:val="bottom"/>
            <w:tcBorders>
              <w:bottom w:val="single" w:sz="8" w:color="CCECFF"/>
            </w:tcBorders>
            <w:shd w:val="clear" w:color="auto" w:fill="CCECFF"/>
          </w:tcPr>
          <w:p>
            <w:pPr>
              <w:spacing w:after="0"/>
              <w:rPr>
                <w:sz w:val="12"/>
                <w:szCs w:val="12"/>
                <w:color w:val="auto"/>
              </w:rPr>
            </w:pPr>
          </w:p>
        </w:tc>
        <w:tc>
          <w:tcPr>
            <w:tcW w:w="1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1,264,338</w:t>
            </w:r>
          </w:p>
        </w:tc>
        <w:tc>
          <w:tcPr>
            <w:tcW w:w="26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As of September 30, 2016, we had outstanding non-U.S. dollar borrowings on our Credit Facility. Net change in fair value from foreign currency translation on outstanding borrowings is listed below:</w:t>
      </w:r>
    </w:p>
    <w:p>
      <w:pPr>
        <w:spacing w:after="0" w:line="90"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2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36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Amount Borrowed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7"/>
              </w:rPr>
              <w:t>Borrowing 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Current Value</w:t>
            </w:r>
          </w:p>
        </w:tc>
        <w:tc>
          <w:tcPr>
            <w:tcW w:w="15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Reset Date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Change in Fair</w:t>
            </w:r>
          </w:p>
        </w:tc>
        <w:tc>
          <w:tcPr>
            <w:tcW w:w="0" w:type="dxa"/>
            <w:vAlign w:val="bottom"/>
          </w:tcPr>
          <w:p>
            <w:pPr>
              <w:spacing w:after="0"/>
              <w:rPr>
                <w:sz w:val="1"/>
                <w:szCs w:val="1"/>
                <w:color w:val="auto"/>
              </w:rPr>
            </w:pPr>
          </w:p>
        </w:tc>
      </w:tr>
      <w:tr>
        <w:trPr>
          <w:trHeight w:val="171"/>
        </w:trPr>
        <w:tc>
          <w:tcPr>
            <w:tcW w:w="204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1800" w:type="dxa"/>
            <w:vAlign w:val="bottom"/>
            <w:tcBorders>
              <w:top w:val="single" w:sz="8" w:color="auto"/>
            </w:tcBorders>
            <w:shd w:val="clear" w:color="auto" w:fill="CCECFF"/>
          </w:tcPr>
          <w:p>
            <w:pPr>
              <w:spacing w:after="0" w:line="142" w:lineRule="exact"/>
              <w:rPr>
                <w:sz w:val="20"/>
                <w:szCs w:val="20"/>
                <w:color w:val="auto"/>
              </w:rPr>
            </w:pPr>
            <w:r>
              <w:rPr>
                <w:rFonts w:ascii="Arial" w:cs="Arial" w:eastAsia="Arial" w:hAnsi="Arial"/>
                <w:sz w:val="14"/>
                <w:szCs w:val="14"/>
                <w:color w:val="auto"/>
              </w:rPr>
              <w:t>Canadian Dollar</w:t>
            </w:r>
          </w:p>
        </w:tc>
        <w:tc>
          <w:tcPr>
            <w:tcW w:w="240" w:type="dxa"/>
            <w:vAlign w:val="bottom"/>
            <w:tcBorders>
              <w:top w:val="single" w:sz="8" w:color="CCECFF"/>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ind w:left="240"/>
              <w:spacing w:after="0" w:line="142" w:lineRule="exact"/>
              <w:rPr>
                <w:sz w:val="20"/>
                <w:szCs w:val="20"/>
                <w:color w:val="auto"/>
              </w:rPr>
            </w:pPr>
            <w:r>
              <w:rPr>
                <w:rFonts w:ascii="Arial" w:cs="Arial" w:eastAsia="Arial" w:hAnsi="Arial"/>
                <w:sz w:val="14"/>
                <w:szCs w:val="14"/>
                <w:color w:val="auto"/>
              </w:rPr>
              <w:t>C$</w:t>
            </w:r>
          </w:p>
        </w:tc>
        <w:tc>
          <w:tcPr>
            <w:tcW w:w="80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17,500,000</w:t>
            </w:r>
          </w:p>
        </w:tc>
        <w:tc>
          <w:tcPr>
            <w:tcW w:w="26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12,407,501</w:t>
            </w:r>
          </w:p>
        </w:tc>
        <w:tc>
          <w:tcPr>
            <w:tcW w:w="24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13,338,920</w:t>
            </w:r>
          </w:p>
        </w:tc>
        <w:tc>
          <w:tcPr>
            <w:tcW w:w="240" w:type="dxa"/>
            <w:vAlign w:val="bottom"/>
            <w:tcBorders>
              <w:top w:val="single" w:sz="8" w:color="CCECFF"/>
            </w:tcBorders>
            <w:shd w:val="clear" w:color="auto" w:fill="CCECFF"/>
          </w:tcPr>
          <w:p>
            <w:pPr>
              <w:spacing w:after="0"/>
              <w:rPr>
                <w:sz w:val="12"/>
                <w:szCs w:val="12"/>
                <w:color w:val="auto"/>
              </w:rPr>
            </w:pPr>
          </w:p>
        </w:tc>
        <w:tc>
          <w:tcPr>
            <w:tcW w:w="1540" w:type="dxa"/>
            <w:vAlign w:val="bottom"/>
            <w:tcBorders>
              <w:top w:val="single" w:sz="8" w:color="auto"/>
            </w:tcBorders>
            <w:shd w:val="clear" w:color="auto" w:fill="CCECFF"/>
          </w:tcPr>
          <w:p>
            <w:pPr>
              <w:ind w:left="260"/>
              <w:spacing w:after="0" w:line="142" w:lineRule="exact"/>
              <w:rPr>
                <w:sz w:val="20"/>
                <w:szCs w:val="20"/>
                <w:color w:val="auto"/>
              </w:rPr>
            </w:pPr>
            <w:r>
              <w:rPr>
                <w:rFonts w:ascii="Arial" w:cs="Arial" w:eastAsia="Arial" w:hAnsi="Arial"/>
                <w:sz w:val="14"/>
                <w:szCs w:val="14"/>
                <w:color w:val="auto"/>
              </w:rPr>
              <w:t>October 3, 2016</w:t>
            </w:r>
          </w:p>
        </w:tc>
        <w:tc>
          <w:tcPr>
            <w:tcW w:w="24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931,419</w:t>
            </w:r>
          </w:p>
        </w:tc>
        <w:tc>
          <w:tcPr>
            <w:tcW w:w="26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no expenses relating to amendment fees on the Credit Facility during the three and six months ended March 31, 2017. For the same periods in the prior year, we incurred expenses of zero and $0.9 million, respectively,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and six months ended March 31, 2017, our Credit Facility had a net change in unrealized depreciation (appreciation) of less than $0.1 million and $(1.0) million, respectively. For the three and six months ended March 31, 2016, our Credit Facility had a net change in unrealized (appreciation) depreciation of $(0.4) million and $0.2 million, respectively. As of March 31, 2017 and September 30, 2016, the net unrealized (appreciation) depreciation on our Credit Facility totaled $(0.5)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5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2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4"/>
                <w:szCs w:val="14"/>
                <w:color w:val="auto"/>
              </w:rPr>
            </w:pPr>
          </w:p>
        </w:tc>
        <w:tc>
          <w:tcPr>
            <w:tcW w:w="236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51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3"/>
                <w:szCs w:val="13"/>
                <w:color w:val="auto"/>
              </w:rPr>
            </w:pPr>
          </w:p>
        </w:tc>
      </w:tr>
      <w:tr>
        <w:trPr>
          <w:trHeight w:val="155"/>
        </w:trPr>
        <w:tc>
          <w:tcPr>
            <w:tcW w:w="51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Numerator for net increase in net assets resulting from operations</w:t>
            </w:r>
          </w:p>
        </w:tc>
        <w:tc>
          <w:tcPr>
            <w:tcW w:w="24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7,283,145</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2,436,176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16,132,054</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4,183,055</w:t>
            </w:r>
          </w:p>
        </w:tc>
        <w:tc>
          <w:tcPr>
            <w:tcW w:w="100" w:type="dxa"/>
            <w:vAlign w:val="bottom"/>
            <w:shd w:val="clear" w:color="auto" w:fill="CCEEFF"/>
          </w:tcPr>
          <w:p>
            <w:pPr>
              <w:spacing w:after="0"/>
              <w:rPr>
                <w:sz w:val="13"/>
                <w:szCs w:val="13"/>
                <w:color w:val="auto"/>
              </w:rPr>
            </w:pPr>
          </w:p>
        </w:tc>
      </w:tr>
      <w:tr>
        <w:trPr>
          <w:trHeight w:val="175"/>
        </w:trPr>
        <w:tc>
          <w:tcPr>
            <w:tcW w:w="514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29,413,407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26,730,074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28,056,997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26,730,074</w:t>
            </w:r>
          </w:p>
        </w:tc>
        <w:tc>
          <w:tcPr>
            <w:tcW w:w="100" w:type="dxa"/>
            <w:vAlign w:val="bottom"/>
          </w:tcPr>
          <w:p>
            <w:pPr>
              <w:spacing w:after="0"/>
              <w:rPr>
                <w:sz w:val="15"/>
                <w:szCs w:val="15"/>
                <w:color w:val="auto"/>
              </w:rPr>
            </w:pPr>
          </w:p>
        </w:tc>
      </w:tr>
      <w:tr>
        <w:trPr>
          <w:trHeight w:val="176"/>
        </w:trPr>
        <w:tc>
          <w:tcPr>
            <w:tcW w:w="514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24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0.25</w:t>
            </w:r>
          </w:p>
        </w:tc>
        <w:tc>
          <w:tcPr>
            <w:tcW w:w="180" w:type="dxa"/>
            <w:vAlign w:val="bottom"/>
            <w:shd w:val="clear" w:color="auto" w:fill="CCECFF"/>
          </w:tcPr>
          <w:p>
            <w:pPr>
              <w:spacing w:after="0"/>
              <w:rPr>
                <w:sz w:val="15"/>
                <w:szCs w:val="15"/>
                <w:color w:val="auto"/>
              </w:rPr>
            </w:pPr>
          </w:p>
        </w:tc>
        <w:tc>
          <w:tcPr>
            <w:tcW w:w="22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w:t>
            </w:r>
          </w:p>
        </w:tc>
        <w:tc>
          <w:tcPr>
            <w:tcW w:w="80" w:type="dxa"/>
            <w:vAlign w:val="bottom"/>
            <w:shd w:val="clear" w:color="auto" w:fill="CCECFF"/>
          </w:tcPr>
          <w:p>
            <w:pPr>
              <w:spacing w:after="0"/>
              <w:rPr>
                <w:sz w:val="15"/>
                <w:szCs w:val="15"/>
                <w:color w:val="auto"/>
              </w:rPr>
            </w:pPr>
          </w:p>
        </w:tc>
        <w:tc>
          <w:tcPr>
            <w:tcW w:w="22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0.57</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0.16</w:t>
            </w:r>
          </w:p>
        </w:tc>
        <w:tc>
          <w:tcPr>
            <w:tcW w:w="100" w:type="dxa"/>
            <w:vAlign w:val="bottom"/>
            <w:shd w:val="clear" w:color="auto" w:fill="CCECFF"/>
          </w:tcPr>
          <w:p>
            <w:pPr>
              <w:spacing w:after="0"/>
              <w:rPr>
                <w:sz w:val="15"/>
                <w:szCs w:val="15"/>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CASH AND CASH EQUIVALENTS</w:t>
      </w:r>
    </w:p>
    <w:p>
      <w:pPr>
        <w:spacing w:after="0" w:line="140"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March 31, 2017 and September 30, 2016, cash and cash equivalents consisted of money market funds in the amounts of $44.0 million and $28.9 million, respectively, at fair value.</w:t>
      </w: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0" w:name="page21"/>
    <w:bookmarkEnd w:id="20"/>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8. FINANCIAL HIGHLIGHTS</w:t>
            </w: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660" w:type="dxa"/>
            <w:vAlign w:val="bottom"/>
            <w:gridSpan w:val="2"/>
          </w:tcPr>
          <w:p>
            <w:pPr>
              <w:ind w:left="500"/>
              <w:spacing w:after="0"/>
              <w:rPr>
                <w:sz w:val="20"/>
                <w:szCs w:val="20"/>
                <w:color w:val="auto"/>
              </w:rPr>
            </w:pPr>
            <w:r>
              <w:rPr>
                <w:rFonts w:ascii="Arial" w:cs="Arial" w:eastAsia="Arial" w:hAnsi="Arial"/>
                <w:sz w:val="14"/>
                <w:szCs w:val="14"/>
                <w:color w:val="auto"/>
              </w:rPr>
              <w:t>Below are the financial highlights:</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48"/>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48"/>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50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Per Share Data:</w:t>
            </w: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16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14.06</w:t>
            </w:r>
          </w:p>
        </w:tc>
        <w:tc>
          <w:tcPr>
            <w:tcW w:w="200" w:type="dxa"/>
            <w:vAlign w:val="bottom"/>
          </w:tcPr>
          <w:p>
            <w:pPr>
              <w:spacing w:after="0"/>
              <w:rPr>
                <w:sz w:val="14"/>
                <w:szCs w:val="14"/>
                <w:color w:val="auto"/>
              </w:rPr>
            </w:pPr>
          </w:p>
        </w:tc>
        <w:tc>
          <w:tcPr>
            <w:tcW w:w="42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13.95</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 xml:space="preserve">Net change in realized and unrealized gain (loss) </w:t>
            </w:r>
            <w:r>
              <w:rPr>
                <w:rFonts w:ascii="Arial" w:cs="Arial" w:eastAsia="Arial" w:hAnsi="Arial"/>
                <w:sz w:val="12"/>
                <w:szCs w:val="12"/>
                <w:color w:val="auto"/>
              </w:rPr>
              <w:t>(1)</w:t>
            </w: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0.04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5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13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0.57</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0.16</w:t>
            </w:r>
          </w:p>
        </w:tc>
        <w:tc>
          <w:tcPr>
            <w:tcW w:w="3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(0.58)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5020" w:type="dxa"/>
            <w:vAlign w:val="bottom"/>
            <w:tcBorders>
              <w:top w:val="single" w:sz="8" w:color="CCECFF"/>
              <w:bottom w:val="single" w:sz="8" w:color="CCECFF"/>
            </w:tcBorders>
            <w:shd w:val="clear" w:color="auto" w:fill="CCECFF"/>
          </w:tcPr>
          <w:p>
            <w:pPr>
              <w:spacing w:after="0" w:line="142" w:lineRule="exact"/>
              <w:rPr>
                <w:sz w:val="20"/>
                <w:szCs w:val="20"/>
                <w:color w:val="auto"/>
              </w:rPr>
            </w:pPr>
            <w:r>
              <w:rPr>
                <w:rFonts w:ascii="Arial" w:cs="Arial" w:eastAsia="Arial" w:hAnsi="Arial"/>
                <w:sz w:val="14"/>
                <w:szCs w:val="14"/>
                <w:color w:val="auto"/>
              </w:rPr>
              <w:t>Net asset value, end of period</w:t>
            </w:r>
          </w:p>
        </w:tc>
        <w:tc>
          <w:tcPr>
            <w:tcW w:w="1320" w:type="dxa"/>
            <w:vAlign w:val="bottom"/>
            <w:tcBorders>
              <w:top w:val="single" w:sz="8" w:color="CCECFF"/>
              <w:bottom w:val="single" w:sz="8" w:color="CCECFF"/>
            </w:tcBorders>
            <w:shd w:val="clear" w:color="auto" w:fill="CCECFF"/>
          </w:tcPr>
          <w:p>
            <w:pPr>
              <w:spacing w:after="0"/>
              <w:rPr>
                <w:sz w:val="12"/>
                <w:szCs w:val="12"/>
                <w:color w:val="auto"/>
              </w:rPr>
            </w:pPr>
          </w:p>
        </w:tc>
        <w:tc>
          <w:tcPr>
            <w:tcW w:w="340" w:type="dxa"/>
            <w:vAlign w:val="bottom"/>
            <w:tcBorders>
              <w:top w:val="single" w:sz="8" w:color="auto"/>
              <w:bottom w:val="single" w:sz="8" w:color="auto"/>
            </w:tcBorders>
            <w:shd w:val="clear" w:color="auto" w:fill="CCECFF"/>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14.05</w:t>
            </w:r>
          </w:p>
        </w:tc>
        <w:tc>
          <w:tcPr>
            <w:tcW w:w="20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320" w:type="dxa"/>
            <w:vAlign w:val="bottom"/>
            <w:tcBorders>
              <w:top w:val="single" w:sz="8" w:color="auto"/>
              <w:bottom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13.54</w:t>
            </w:r>
          </w:p>
        </w:tc>
        <w:tc>
          <w:tcPr>
            <w:tcW w:w="320" w:type="dxa"/>
            <w:vAlign w:val="bottom"/>
            <w:tcBorders>
              <w:top w:val="single" w:sz="8" w:color="CCECFF"/>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ind w:left="640"/>
              <w:spacing w:after="0"/>
              <w:rPr>
                <w:sz w:val="20"/>
                <w:szCs w:val="20"/>
                <w:color w:val="auto"/>
              </w:rPr>
            </w:pPr>
            <w:r>
              <w:rPr>
                <w:rFonts w:ascii="Arial" w:cs="Arial" w:eastAsia="Arial" w:hAnsi="Arial"/>
                <w:sz w:val="14"/>
                <w:szCs w:val="14"/>
                <w:color w:val="auto"/>
              </w:rPr>
              <w:t>Per share market value, end of period</w:t>
            </w:r>
          </w:p>
        </w:tc>
        <w:tc>
          <w:tcPr>
            <w:tcW w:w="13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6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340" w:type="dxa"/>
            <w:vAlign w:val="bottom"/>
            <w:tcBorders>
              <w:bottom w:val="single" w:sz="8" w:color="auto"/>
            </w:tcBorders>
          </w:tcPr>
          <w:p>
            <w:pPr>
              <w:jc w:val="right"/>
              <w:ind w:right="188"/>
              <w:spacing w:after="0" w:line="129"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13.94</w:t>
            </w:r>
          </w:p>
        </w:tc>
        <w:tc>
          <w:tcPr>
            <w:tcW w:w="2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11.70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20" w:type="dxa"/>
            <w:vAlign w:val="bottom"/>
            <w:tcBorders>
              <w:top w:val="single" w:sz="8" w:color="CCECFF"/>
            </w:tcBorders>
            <w:vMerge w:val="restart"/>
            <w:shd w:val="clear" w:color="auto" w:fill="CCECFF"/>
          </w:tcPr>
          <w:p>
            <w:pPr>
              <w:spacing w:after="0" w:line="149"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320" w:type="dxa"/>
            <w:vAlign w:val="bottom"/>
            <w:tcBorders>
              <w:top w:val="single" w:sz="8" w:color="CCECFF"/>
            </w:tcBorders>
            <w:shd w:val="clear" w:color="auto" w:fill="CCECFF"/>
          </w:tcPr>
          <w:p>
            <w:pPr>
              <w:spacing w:after="0" w:line="20" w:lineRule="exact"/>
              <w:rPr>
                <w:sz w:val="1"/>
                <w:szCs w:val="1"/>
                <w:color w:val="auto"/>
              </w:rPr>
            </w:pPr>
          </w:p>
        </w:tc>
        <w:tc>
          <w:tcPr>
            <w:tcW w:w="340" w:type="dxa"/>
            <w:vAlign w:val="bottom"/>
            <w:tcBorders>
              <w:top w:val="single" w:sz="8" w:color="CCECFF"/>
            </w:tcBorders>
            <w:shd w:val="clear" w:color="auto" w:fill="000000"/>
          </w:tcPr>
          <w:p>
            <w:pPr>
              <w:spacing w:after="0" w:line="20" w:lineRule="exact"/>
              <w:rPr>
                <w:sz w:val="1"/>
                <w:szCs w:val="1"/>
                <w:color w:val="auto"/>
              </w:rPr>
            </w:pPr>
          </w:p>
        </w:tc>
        <w:tc>
          <w:tcPr>
            <w:tcW w:w="1180" w:type="dxa"/>
            <w:vAlign w:val="bottom"/>
            <w:tcBorders>
              <w:top w:val="single" w:sz="8" w:color="CCECFF"/>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CCECFF"/>
            </w:tcBorders>
            <w:shd w:val="clear" w:color="auto" w:fill="000000"/>
          </w:tcPr>
          <w:p>
            <w:pPr>
              <w:spacing w:after="0" w:line="20" w:lineRule="exact"/>
              <w:rPr>
                <w:sz w:val="1"/>
                <w:szCs w:val="1"/>
                <w:color w:val="auto"/>
              </w:rPr>
            </w:pPr>
          </w:p>
        </w:tc>
        <w:tc>
          <w:tcPr>
            <w:tcW w:w="1180" w:type="dxa"/>
            <w:vAlign w:val="bottom"/>
            <w:tcBorders>
              <w:top w:val="single" w:sz="8" w:color="CCECFF"/>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0" w:type="dxa"/>
            <w:vAlign w:val="bottom"/>
          </w:tcPr>
          <w:p>
            <w:pPr>
              <w:spacing w:after="0"/>
              <w:rPr>
                <w:sz w:val="11"/>
                <w:szCs w:val="11"/>
                <w:color w:val="auto"/>
              </w:rPr>
            </w:pPr>
          </w:p>
        </w:tc>
        <w:tc>
          <w:tcPr>
            <w:tcW w:w="5020" w:type="dxa"/>
            <w:vAlign w:val="bottom"/>
            <w:vMerge w:val="continue"/>
            <w:shd w:val="clear" w:color="auto" w:fill="CCECFF"/>
          </w:tcPr>
          <w:p>
            <w:pPr>
              <w:spacing w:after="0"/>
              <w:rPr>
                <w:sz w:val="11"/>
                <w:szCs w:val="11"/>
                <w:color w:val="auto"/>
              </w:rPr>
            </w:pPr>
          </w:p>
        </w:tc>
        <w:tc>
          <w:tcPr>
            <w:tcW w:w="132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1380" w:type="dxa"/>
            <w:vAlign w:val="bottom"/>
            <w:gridSpan w:val="2"/>
            <w:shd w:val="clear" w:color="auto" w:fill="CCECFF"/>
          </w:tcPr>
          <w:p>
            <w:pPr>
              <w:jc w:val="right"/>
              <w:ind w:right="80"/>
              <w:spacing w:after="0" w:line="129" w:lineRule="exact"/>
              <w:rPr>
                <w:sz w:val="20"/>
                <w:szCs w:val="20"/>
                <w:color w:val="auto"/>
              </w:rPr>
            </w:pPr>
            <w:r>
              <w:rPr>
                <w:rFonts w:ascii="Arial" w:cs="Arial" w:eastAsia="Arial" w:hAnsi="Arial"/>
                <w:sz w:val="14"/>
                <w:szCs w:val="14"/>
                <w:color w:val="auto"/>
              </w:rPr>
              <w:t>9.81%</w:t>
            </w:r>
          </w:p>
        </w:tc>
        <w:tc>
          <w:tcPr>
            <w:tcW w:w="10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500" w:type="dxa"/>
            <w:vAlign w:val="bottom"/>
            <w:gridSpan w:val="2"/>
            <w:shd w:val="clear" w:color="auto" w:fill="CCECFF"/>
          </w:tcPr>
          <w:p>
            <w:pPr>
              <w:jc w:val="right"/>
              <w:ind w:right="220"/>
              <w:spacing w:after="0" w:line="129"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5020" w:type="dxa"/>
            <w:vAlign w:val="bottom"/>
            <w:tcBorders>
              <w:bottom w:val="single" w:sz="8" w:color="CCECFF"/>
            </w:tcBorders>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320" w:type="dxa"/>
            <w:vAlign w:val="bottom"/>
            <w:tcBorders>
              <w:bottom w:val="single" w:sz="8" w:color="CCEC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32,480,074</w:t>
            </w:r>
          </w:p>
        </w:tc>
        <w:tc>
          <w:tcPr>
            <w:tcW w:w="200" w:type="dxa"/>
            <w:vAlign w:val="bottom"/>
            <w:tcBorders>
              <w:bottom w:val="single" w:sz="8" w:color="CCECFF"/>
            </w:tcBorders>
          </w:tcPr>
          <w:p>
            <w:pPr>
              <w:spacing w:after="0"/>
              <w:rPr>
                <w:sz w:val="16"/>
                <w:szCs w:val="16"/>
                <w:color w:val="auto"/>
              </w:rPr>
            </w:pPr>
          </w:p>
        </w:tc>
        <w:tc>
          <w:tcPr>
            <w:tcW w:w="100" w:type="dxa"/>
            <w:vAlign w:val="bottom"/>
            <w:tcBorders>
              <w:bottom w:val="single" w:sz="8" w:color="CCEC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26,730,074</w:t>
            </w:r>
          </w:p>
        </w:tc>
        <w:tc>
          <w:tcPr>
            <w:tcW w:w="320" w:type="dxa"/>
            <w:vAlign w:val="bottom"/>
            <w:tcBorders>
              <w:bottom w:val="single" w:sz="8" w:color="CCECFF"/>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5020" w:type="dxa"/>
            <w:vAlign w:val="bottom"/>
            <w:shd w:val="clear" w:color="auto" w:fill="CCECFF"/>
          </w:tcPr>
          <w:p>
            <w:pPr>
              <w:spacing w:after="0" w:line="129" w:lineRule="exact"/>
              <w:rPr>
                <w:sz w:val="20"/>
                <w:szCs w:val="20"/>
                <w:color w:val="auto"/>
              </w:rPr>
            </w:pPr>
            <w:r>
              <w:rPr>
                <w:rFonts w:ascii="Arial" w:cs="Arial" w:eastAsia="Arial" w:hAnsi="Arial"/>
                <w:sz w:val="14"/>
                <w:szCs w:val="14"/>
                <w:b w:val="1"/>
                <w:bCs w:val="1"/>
                <w:color w:val="auto"/>
              </w:rPr>
              <w:t>Ratios** / Supplemental Data:</w:t>
            </w:r>
          </w:p>
        </w:tc>
        <w:tc>
          <w:tcPr>
            <w:tcW w:w="132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11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1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12"/>
                <w:szCs w:val="12"/>
                <w:color w:val="auto"/>
              </w:rPr>
              <w:t>(5)</w:t>
            </w:r>
          </w:p>
        </w:tc>
        <w:tc>
          <w:tcPr>
            <w:tcW w:w="13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2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1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0" w:type="dxa"/>
            <w:vAlign w:val="bottom"/>
          </w:tcPr>
          <w:p>
            <w:pPr>
              <w:spacing w:after="0"/>
              <w:rPr>
                <w:sz w:val="12"/>
                <w:szCs w:val="12"/>
                <w:color w:val="auto"/>
              </w:rPr>
            </w:pPr>
          </w:p>
        </w:tc>
        <w:tc>
          <w:tcPr>
            <w:tcW w:w="502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5.50%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13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Net assets at end of period</w:t>
            </w:r>
          </w:p>
        </w:tc>
        <w:tc>
          <w:tcPr>
            <w:tcW w:w="16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456,226,690</w:t>
            </w:r>
          </w:p>
        </w:tc>
        <w:tc>
          <w:tcPr>
            <w:tcW w:w="200" w:type="dxa"/>
            <w:vAlign w:val="bottom"/>
          </w:tcPr>
          <w:p>
            <w:pPr>
              <w:spacing w:after="0"/>
              <w:rPr>
                <w:sz w:val="14"/>
                <w:szCs w:val="14"/>
                <w:color w:val="auto"/>
              </w:rPr>
            </w:pPr>
          </w:p>
        </w:tc>
        <w:tc>
          <w:tcPr>
            <w:tcW w:w="42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361,837,362</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5020" w:type="dxa"/>
            <w:vAlign w:val="bottom"/>
            <w:tcBorders>
              <w:top w:val="single" w:sz="8" w:color="CCECFF"/>
            </w:tcBorders>
            <w:shd w:val="clear" w:color="auto" w:fill="CCECFF"/>
          </w:tcPr>
          <w:p>
            <w:pPr>
              <w:spacing w:after="0" w:line="142" w:lineRule="exact"/>
              <w:rPr>
                <w:sz w:val="20"/>
                <w:szCs w:val="20"/>
                <w:color w:val="auto"/>
              </w:rPr>
            </w:pPr>
            <w:r>
              <w:rPr>
                <w:rFonts w:ascii="Arial" w:cs="Arial" w:eastAsia="Arial" w:hAnsi="Arial"/>
                <w:sz w:val="14"/>
                <w:szCs w:val="14"/>
                <w:color w:val="auto"/>
              </w:rPr>
              <w:t>Weighted average debt outstanding</w:t>
            </w:r>
          </w:p>
        </w:tc>
        <w:tc>
          <w:tcPr>
            <w:tcW w:w="1320" w:type="dxa"/>
            <w:vAlign w:val="bottom"/>
            <w:tcBorders>
              <w:top w:val="single" w:sz="8" w:color="CCECFF"/>
            </w:tcBorders>
            <w:shd w:val="clear" w:color="auto" w:fill="CCECFF"/>
          </w:tcPr>
          <w:p>
            <w:pPr>
              <w:spacing w:after="0"/>
              <w:rPr>
                <w:sz w:val="12"/>
                <w:szCs w:val="12"/>
                <w:color w:val="auto"/>
              </w:rPr>
            </w:pPr>
          </w:p>
        </w:tc>
        <w:tc>
          <w:tcPr>
            <w:tcW w:w="340" w:type="dxa"/>
            <w:vAlign w:val="bottom"/>
            <w:tcBorders>
              <w:top w:val="single" w:sz="8" w:color="auto"/>
              <w:bottom w:val="single" w:sz="8" w:color="auto"/>
            </w:tcBorders>
            <w:shd w:val="clear" w:color="auto" w:fill="CCECFF"/>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260,949,248</w:t>
            </w:r>
          </w:p>
        </w:tc>
        <w:tc>
          <w:tcPr>
            <w:tcW w:w="20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320" w:type="dxa"/>
            <w:vAlign w:val="bottom"/>
            <w:tcBorders>
              <w:top w:val="single" w:sz="8" w:color="auto"/>
              <w:bottom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87,841,257</w:t>
            </w:r>
          </w:p>
        </w:tc>
        <w:tc>
          <w:tcPr>
            <w:tcW w:w="32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5020" w:type="dxa"/>
            <w:vAlign w:val="bottom"/>
          </w:tcPr>
          <w:p>
            <w:pPr>
              <w:spacing w:after="0" w:line="142"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1320" w:type="dxa"/>
            <w:vAlign w:val="bottom"/>
          </w:tcPr>
          <w:p>
            <w:pPr>
              <w:spacing w:after="0"/>
              <w:rPr>
                <w:sz w:val="12"/>
                <w:szCs w:val="12"/>
                <w:color w:val="auto"/>
              </w:rPr>
            </w:pPr>
          </w:p>
        </w:tc>
        <w:tc>
          <w:tcPr>
            <w:tcW w:w="340" w:type="dxa"/>
            <w:vAlign w:val="bottom"/>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42" w:lineRule="exact"/>
              <w:rPr>
                <w:sz w:val="20"/>
                <w:szCs w:val="20"/>
                <w:color w:val="auto"/>
              </w:rPr>
            </w:pPr>
            <w:r>
              <w:rPr>
                <w:rFonts w:ascii="Arial" w:cs="Arial" w:eastAsia="Arial" w:hAnsi="Arial"/>
                <w:sz w:val="14"/>
                <w:szCs w:val="14"/>
                <w:color w:val="auto"/>
              </w:rPr>
              <w:t>9.30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line="142" w:lineRule="exact"/>
              <w:rPr>
                <w:sz w:val="20"/>
                <w:szCs w:val="20"/>
                <w:color w:val="auto"/>
              </w:rPr>
            </w:pPr>
            <w:r>
              <w:rPr>
                <w:rFonts w:ascii="Arial" w:cs="Arial" w:eastAsia="Arial" w:hAnsi="Arial"/>
                <w:sz w:val="14"/>
                <w:szCs w:val="14"/>
                <w:color w:val="auto"/>
              </w:rPr>
              <w:t>3.29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166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2,519</w:t>
            </w:r>
          </w:p>
        </w:tc>
        <w:tc>
          <w:tcPr>
            <w:tcW w:w="200" w:type="dxa"/>
            <w:vAlign w:val="bottom"/>
            <w:shd w:val="clear" w:color="auto" w:fill="CCECFF"/>
          </w:tcPr>
          <w:p>
            <w:pPr>
              <w:spacing w:after="0"/>
              <w:rPr>
                <w:sz w:val="14"/>
                <w:szCs w:val="14"/>
                <w:color w:val="auto"/>
              </w:rPr>
            </w:pPr>
          </w:p>
        </w:tc>
        <w:tc>
          <w:tcPr>
            <w:tcW w:w="420" w:type="dxa"/>
            <w:vAlign w:val="bottom"/>
            <w:gridSpan w:val="2"/>
            <w:shd w:val="clear" w:color="auto" w:fill="CCEC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3,827</w:t>
            </w:r>
          </w:p>
        </w:tc>
        <w:tc>
          <w:tcPr>
            <w:tcW w:w="3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43.76%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25.53%</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right="8200" w:firstLine="8"/>
        <w:spacing w:after="0" w:line="248" w:lineRule="auto"/>
        <w:tabs>
          <w:tab w:leader="none" w:pos="364" w:val="left"/>
        </w:tabs>
        <w:numPr>
          <w:ilvl w:val="0"/>
          <w:numId w:val="8"/>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8599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380" w:hanging="372"/>
        <w:spacing w:after="0" w:line="221" w:lineRule="auto"/>
        <w:tabs>
          <w:tab w:leader="none" w:pos="380" w:val="left"/>
        </w:tabs>
        <w:numPr>
          <w:ilvl w:val="0"/>
          <w:numId w:val="9"/>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80" w:right="300" w:hanging="372"/>
        <w:spacing w:after="0" w:line="221" w:lineRule="auto"/>
        <w:tabs>
          <w:tab w:leader="none" w:pos="380" w:val="left"/>
        </w:tabs>
        <w:numPr>
          <w:ilvl w:val="0"/>
          <w:numId w:val="9"/>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60" w:hanging="352"/>
        <w:spacing w:after="0" w:line="221" w:lineRule="auto"/>
        <w:tabs>
          <w:tab w:leader="none" w:pos="360" w:val="left"/>
        </w:tabs>
        <w:numPr>
          <w:ilvl w:val="0"/>
          <w:numId w:val="9"/>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360" w:hanging="352"/>
        <w:spacing w:after="0" w:line="221" w:lineRule="auto"/>
        <w:tabs>
          <w:tab w:leader="none" w:pos="360" w:val="left"/>
        </w:tabs>
        <w:numPr>
          <w:ilvl w:val="0"/>
          <w:numId w:val="9"/>
        </w:numPr>
        <w:rPr>
          <w:rFonts w:ascii="Arial" w:cs="Arial" w:eastAsia="Arial" w:hAnsi="Arial"/>
          <w:sz w:val="12"/>
          <w:szCs w:val="12"/>
          <w:color w:val="auto"/>
        </w:rPr>
      </w:pPr>
      <w:r>
        <w:rPr>
          <w:rFonts w:ascii="Arial" w:cs="Arial" w:eastAsia="Arial" w:hAnsi="Arial"/>
          <w:sz w:val="14"/>
          <w:szCs w:val="14"/>
          <w:color w:val="auto"/>
        </w:rPr>
        <w:t>Excludes Credit Facility related costs.</w:t>
      </w:r>
    </w:p>
    <w:p>
      <w:pPr>
        <w:ind w:left="360" w:hanging="352"/>
        <w:spacing w:after="0" w:line="221" w:lineRule="auto"/>
        <w:tabs>
          <w:tab w:leader="none" w:pos="360" w:val="left"/>
        </w:tabs>
        <w:numPr>
          <w:ilvl w:val="0"/>
          <w:numId w:val="9"/>
        </w:numPr>
        <w:rPr>
          <w:rFonts w:ascii="Arial" w:cs="Arial" w:eastAsia="Arial" w:hAnsi="Arial"/>
          <w:sz w:val="12"/>
          <w:szCs w:val="12"/>
          <w:color w:val="auto"/>
        </w:rPr>
      </w:pPr>
      <w:r>
        <w:rPr>
          <w:rFonts w:ascii="Arial" w:cs="Arial" w:eastAsia="Arial" w:hAnsi="Arial"/>
          <w:sz w:val="14"/>
          <w:szCs w:val="14"/>
          <w:color w:val="auto"/>
        </w:rPr>
        <w:t>Credit Facility amendment costs, if any, are not annualized.</w:t>
      </w:r>
    </w:p>
    <w:p>
      <w:pPr>
        <w:ind w:left="380" w:right="40" w:hanging="372"/>
        <w:spacing w:after="0" w:line="271" w:lineRule="auto"/>
        <w:tabs>
          <w:tab w:leader="none" w:pos="380" w:val="left"/>
        </w:tabs>
        <w:numPr>
          <w:ilvl w:val="0"/>
          <w:numId w:val="9"/>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CREDIT FACILITY</w:t>
      </w:r>
    </w:p>
    <w:p>
      <w:pPr>
        <w:spacing w:after="0" w:line="140"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Funding I’s multi-currency Credit Facility with affiliates of SunTrust Bank, or the Lenders, was $350.0 million as of March 31, 2017, subject to satisfaction of certain conditions and the regulatory restrictions that the 1940 Act imposes on us as a BDC, has an interest rate spread above LIBOR of 200 basis points, a maturity date of August 2020 and a revolving period that ends in August 2018. As of March 31, 2017 and September 30, 2016, Funding I had $299.9 million and $232.9 million of outstanding borrowings under the Credit Facility, respectively. The Credit Facility had an interest rate of 2.93% and 2.57%, as of March 31, 2017 and September 30, 2016, respectively, excluding the undrawn commitment fees of 0.375%. The annualized weighted average cost of debt for the six months ended March 31, 2017 and 2016, inclusive of the fee on the undrawn commitment and amendment costs on the Credit Facility, was 2.91% and 5.73%, respectively.</w:t>
      </w:r>
    </w:p>
    <w:p>
      <w:pPr>
        <w:spacing w:after="0" w:line="118"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March 31, 2017, we were in compliance with the covenants relating to our Credit Facility.</w:t>
      </w:r>
    </w:p>
    <w:p>
      <w:pPr>
        <w:spacing w:after="0" w:line="107"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15"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1" w:name="page22"/>
    <w:bookmarkEnd w:id="21"/>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COMMITMENTS AND CONTINGENCIES</w:t>
      </w:r>
    </w:p>
    <w:p>
      <w:pPr>
        <w:spacing w:after="0" w:line="140"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March 31, 2017 and September 30, 2016, we had $34.6 million and $20.0 million, respectively, in commitments to fund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SUBSEQUENT EVENTS</w:t>
      </w:r>
    </w:p>
    <w:p>
      <w:pPr>
        <w:spacing w:after="0" w:line="140" w:lineRule="exact"/>
        <w:rPr>
          <w:sz w:val="20"/>
          <w:szCs w:val="20"/>
          <w:color w:val="auto"/>
        </w:rPr>
      </w:pPr>
    </w:p>
    <w:p>
      <w:pPr>
        <w:jc w:val="both"/>
        <w:ind w:firstLine="438"/>
        <w:spacing w:after="0" w:line="233" w:lineRule="auto"/>
        <w:rPr>
          <w:sz w:val="20"/>
          <w:szCs w:val="20"/>
          <w:color w:val="auto"/>
        </w:rPr>
      </w:pPr>
      <w:r>
        <w:rPr>
          <w:rFonts w:ascii="Arial" w:cs="Arial" w:eastAsia="Arial" w:hAnsi="Arial"/>
          <w:sz w:val="14"/>
          <w:szCs w:val="14"/>
          <w:color w:val="auto"/>
        </w:rPr>
        <w:t>On May 9, 2017, we and Trinity Universal Insurance Company ("Trinity"), a subsidiary of Kemper Corporation (NYSE: KMPR) formed a joint venture: PennantPark Senior Secured Loan Fund I, LLC (“SSLF”). We and Trinity have committed to provide $100 million of subordinated notes and equity to the joint venture, with us providing $87.5 million and Trinity providing $12.5 million. In addition, SSLF intends to seek up to $200 million in third party financing. SSLF is expected to invest primarily in middle market and other corporate debt securities consistent with our strategy.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273"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We have reviewed the accompanying consolidated statements of assets and liabilities of PennantPark Floating Rate Capital Ltd. and its Subsidiaries (collectively referred to as the “Company”), including the consolidated schedule of investments, as of March 31, 2017, the consolidated statements of operations for the three and six months ended March 31, 2017 and 2016, and the consolidated statements of changes in net assets and cash flows for the six months ended March 31, 2017 and 2016. These consolidated financial statements are the responsibility of the Company’s management.</w:t>
      </w:r>
    </w:p>
    <w:p>
      <w:pPr>
        <w:spacing w:after="0" w:line="117"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17" w:lineRule="exact"/>
        <w:rPr>
          <w:sz w:val="20"/>
          <w:szCs w:val="20"/>
          <w:color w:val="auto"/>
        </w:rPr>
      </w:pPr>
    </w:p>
    <w:p>
      <w:pPr>
        <w:ind w:right="340" w:firstLine="456"/>
        <w:spacing w:after="0" w:line="253" w:lineRule="auto"/>
        <w:rPr>
          <w:sz w:val="20"/>
          <w:szCs w:val="20"/>
          <w:color w:val="auto"/>
        </w:rPr>
      </w:pPr>
      <w:r>
        <w:rPr>
          <w:rFonts w:ascii="Arial" w:cs="Arial" w:eastAsia="Arial" w:hAnsi="Arial"/>
          <w:sz w:val="14"/>
          <w:szCs w:val="14"/>
          <w:color w:val="auto"/>
        </w:rPr>
        <w:t>Based on our reviews, we are not aware of any material modifications that should be made to the accompanying consolidated financial statements referred to above for them to be in conformity with U.S. generally accepted accounting principles.</w:t>
      </w:r>
    </w:p>
    <w:p>
      <w:pPr>
        <w:spacing w:after="0" w:line="106" w:lineRule="exact"/>
        <w:rPr>
          <w:sz w:val="20"/>
          <w:szCs w:val="20"/>
          <w:color w:val="auto"/>
        </w:rPr>
      </w:pPr>
    </w:p>
    <w:p>
      <w:pPr>
        <w:ind w:right="60" w:firstLine="456"/>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the consolidated statement of assets and liabilities of the Company, including the consolidated schedule of investments, as of September 30, 2016, and the related consolidated statements of operations, changes in net assets, and cash flows for the year then ended (not presented herein); and in our report dated November 22, 2016, we expressed an unqualified opinion on those financial statements. In our opinion, the information set forth in the accompanying consolidated statements of assets and liabilities as of March 31, 2017, is fairly stated, in all material respects, in relation to the consolidated statements of assets and liabilities for which it has been derived.</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May 9, 2017</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3" w:name="page24"/>
    <w:bookmarkEnd w:id="23"/>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jc w:val="both"/>
        <w:ind w:right="100" w:firstLine="496"/>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 of European sovereign debt, Brexit and other world economic and political issues.</w:t>
      </w:r>
    </w:p>
    <w:p>
      <w:pPr>
        <w:spacing w:after="0" w:line="136"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06"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300" w:firstLine="438"/>
        <w:spacing w:after="0" w:line="290" w:lineRule="auto"/>
        <w:rPr>
          <w:sz w:val="20"/>
          <w:szCs w:val="20"/>
          <w:color w:val="auto"/>
        </w:rPr>
      </w:pPr>
      <w:r>
        <w:rPr>
          <w:rFonts w:ascii="Arial" w:cs="Arial" w:eastAsia="Arial" w:hAnsi="Arial"/>
          <w:sz w:val="13"/>
          <w:szCs w:val="13"/>
          <w:color w:val="auto"/>
        </w:rPr>
        <w:t>You should understand that under Section 27A(b)(2)(B) of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w:t>
      </w:r>
    </w:p>
    <w:p>
      <w:pPr>
        <w:spacing w:after="0" w:line="84"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1" w:lineRule="exact"/>
        <w:rPr>
          <w:sz w:val="20"/>
          <w:szCs w:val="20"/>
          <w:color w:val="auto"/>
        </w:rPr>
      </w:pPr>
    </w:p>
    <w:p>
      <w:pPr>
        <w:ind w:right="440" w:firstLine="438"/>
        <w:spacing w:after="0" w:line="253"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will be invested in Floating Rate Loans and other investments bearing a variable-rate of interest. We generally expect that senior secured debt, or first lien loans, will represent at least 65% of our overall portfolio. We also</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4" w:name="page25"/>
    <w:bookmarkEnd w:id="24"/>
    <w:p>
      <w:pPr>
        <w:spacing w:after="0" w:line="238" w:lineRule="auto"/>
        <w:rPr>
          <w:sz w:val="20"/>
          <w:szCs w:val="20"/>
          <w:color w:val="auto"/>
        </w:rPr>
      </w:pPr>
      <w:r>
        <w:rPr>
          <w:rFonts w:ascii="Arial" w:cs="Arial" w:eastAsia="Arial" w:hAnsi="Arial"/>
          <w:sz w:val="14"/>
          <w:szCs w:val="14"/>
          <w:color w:val="auto"/>
        </w:rPr>
        <w:t>generally expect to invest up to 35% of our overall portfolio opportunistically in other types of investments, including mezzanine debt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15"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84"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senior secured debt or mezzanine debt, typically have a term of three to ten years and bear interest at a fixed or floating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loan waiver and amendment fees, and are recorded as investment income when earned.</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117" w:lineRule="exact"/>
        <w:rPr>
          <w:sz w:val="20"/>
          <w:szCs w:val="20"/>
          <w:color w:val="auto"/>
        </w:rPr>
      </w:pPr>
    </w:p>
    <w:p>
      <w:pPr>
        <w:ind w:left="920" w:hanging="372"/>
        <w:spacing w:after="0"/>
        <w:tabs>
          <w:tab w:leader="none" w:pos="9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100" w:hanging="372"/>
        <w:spacing w:after="0" w:line="253" w:lineRule="auto"/>
        <w:tabs>
          <w:tab w:leader="none" w:pos="9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jc w:val="both"/>
        <w:ind w:left="920" w:right="80" w:hanging="372"/>
        <w:spacing w:after="0" w:line="264" w:lineRule="auto"/>
        <w:tabs>
          <w:tab w:leader="none" w:pos="9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120" w:firstLine="438"/>
        <w:spacing w:after="0" w:line="231" w:lineRule="auto"/>
        <w:rPr>
          <w:sz w:val="20"/>
          <w:szCs w:val="20"/>
          <w:color w:val="auto"/>
        </w:rPr>
      </w:pPr>
      <w:r>
        <w:rPr>
          <w:rFonts w:ascii="Arial" w:cs="Arial" w:eastAsia="Arial" w:hAnsi="Arial"/>
          <w:sz w:val="14"/>
          <w:szCs w:val="14"/>
          <w:color w:val="auto"/>
        </w:rPr>
        <w:t>As of March 31, 2017, our portfolio totaled $731.5 million and consisted of $682.3 million of senior secured debt, $33.2 million of second lien secured debt and $16.0 million of subordinated debt, preferred and common equity. Our debt portfolio consisted of 98% variable-rate investments (including 98% with a floor) and 2% fixed-rate investments. As of March 31, 2017, we had one company on non-accrual, representing 0.4% and 0.2% of our overall portfolio on a cost and fair value basis, respectively. Overall, the portfolio had net unrealized appreciation of $0.8 million. Our overall portfolio consisted of 96 companies with an average investment size of $7.6 million, had a weighted average yield on debt investments of 7.9%, and was invested 93% in senior secured debt, 5% in second lien secured debt and 2% in subordinated debt, preferred and common equity.</w:t>
      </w:r>
    </w:p>
    <w:p>
      <w:pPr>
        <w:spacing w:after="0" w:line="116"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with a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109" w:lineRule="exact"/>
        <w:rPr>
          <w:sz w:val="20"/>
          <w:szCs w:val="20"/>
          <w:color w:val="auto"/>
        </w:rPr>
      </w:pPr>
    </w:p>
    <w:p>
      <w:pPr>
        <w:jc w:val="both"/>
        <w:ind w:firstLine="438"/>
        <w:spacing w:after="0" w:line="264" w:lineRule="auto"/>
        <w:rPr>
          <w:sz w:val="20"/>
          <w:szCs w:val="20"/>
          <w:color w:val="auto"/>
        </w:rPr>
      </w:pPr>
      <w:r>
        <w:rPr>
          <w:rFonts w:ascii="Arial" w:cs="Arial" w:eastAsia="Arial" w:hAnsi="Arial"/>
          <w:sz w:val="13"/>
          <w:szCs w:val="13"/>
          <w:color w:val="auto"/>
        </w:rPr>
        <w:t>For the three months ended March 31, 2017, we invested $146.3 million in nine new and 10 existing portfolio companies with a weighted average yield on debt investments of 7.8%. Sales and repayments of investments for the three months ended March 31, 2017 totaled $71.5 million. For the six months ended March 31, 2017, we invested $271.1 million in 21 new and 23 existing portfolio companies with a weighted average yield on debt investments of 7.7%. Sales and repayments of investments for the six months ended March 31, 2017 totaled $141.9 million.</w:t>
      </w:r>
    </w:p>
    <w:p>
      <w:pPr>
        <w:spacing w:after="0" w:line="101" w:lineRule="exact"/>
        <w:rPr>
          <w:sz w:val="20"/>
          <w:szCs w:val="20"/>
          <w:color w:val="auto"/>
        </w:rPr>
      </w:pPr>
    </w:p>
    <w:p>
      <w:pPr>
        <w:jc w:val="both"/>
        <w:ind w:firstLine="438"/>
        <w:spacing w:after="0" w:line="264" w:lineRule="auto"/>
        <w:rPr>
          <w:sz w:val="20"/>
          <w:szCs w:val="20"/>
          <w:color w:val="auto"/>
        </w:rPr>
      </w:pPr>
      <w:r>
        <w:rPr>
          <w:rFonts w:ascii="Arial" w:cs="Arial" w:eastAsia="Arial" w:hAnsi="Arial"/>
          <w:sz w:val="13"/>
          <w:szCs w:val="13"/>
          <w:color w:val="auto"/>
        </w:rPr>
        <w:t>For the three months ended March 31, 2016, we invested $57.3 million in five new and five existing portfolio companies with a weighted average yield on debt investments of 8.7%. Sales and repayments of investments for the three months ended March 31, 2016 totaled $29.9 million. For the six months ended March 31, 2016, we invested $156.5 million in 15 new and 10 existing portfolio companies with a weighted average yield on debt investments of 8.6%. Sales and repayments of investments for the six months ended March 31, 2016 totaled $56.8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00" w:right="300" w:hanging="447"/>
        <w:spacing w:after="0" w:line="253" w:lineRule="auto"/>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00" w:hanging="447"/>
        <w:spacing w:after="0"/>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900" w:right="100" w:hanging="447"/>
        <w:spacing w:after="0" w:line="264" w:lineRule="auto"/>
        <w:tabs>
          <w:tab w:leader="none" w:pos="9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00" w:right="340" w:hanging="447"/>
        <w:spacing w:after="0" w:line="238" w:lineRule="auto"/>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00" w:right="100" w:hanging="447"/>
        <w:spacing w:after="0" w:line="253" w:lineRule="auto"/>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right="300" w:firstLine="438"/>
        <w:spacing w:after="0" w:line="238" w:lineRule="auto"/>
        <w:rPr>
          <w:sz w:val="20"/>
          <w:szCs w:val="20"/>
          <w:color w:val="auto"/>
        </w:rPr>
      </w:pPr>
      <w:r>
        <w:rPr>
          <w:rFonts w:ascii="Arial" w:cs="Arial" w:eastAsia="Arial" w:hAnsi="Arial"/>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6" w:name="page27"/>
    <w:bookmarkEnd w:id="26"/>
    <w:p>
      <w:pPr>
        <w:jc w:val="both"/>
        <w:ind w:right="280"/>
        <w:spacing w:after="0" w:line="238" w:lineRule="auto"/>
        <w:rPr>
          <w:sz w:val="20"/>
          <w:szCs w:val="20"/>
          <w:color w:val="auto"/>
        </w:rPr>
      </w:pPr>
      <w:r>
        <w:rPr>
          <w:rFonts w:ascii="Arial" w:cs="Arial" w:eastAsia="Arial" w:hAnsi="Arial"/>
          <w:sz w:val="14"/>
          <w:szCs w:val="14"/>
          <w:color w:val="auto"/>
        </w:rPr>
        <w:t>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16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8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480" w:firstLine="438"/>
        <w:spacing w:after="0" w:line="290"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84" w:lineRule="exact"/>
        <w:rPr>
          <w:sz w:val="20"/>
          <w:szCs w:val="20"/>
          <w:color w:val="auto"/>
        </w:rPr>
      </w:pPr>
    </w:p>
    <w:p>
      <w:pPr>
        <w:ind w:right="60" w:firstLine="438"/>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no expenses relating to amendment fees on the Credit Facility during the three and six months ended March 31, 2017. For the same periods in the prior year, we incurred expenses of zero and $0.9 million, respectively,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and six months ended March 31, 2017, our Credit Facility had a net change in unrealized depreciation (appreciation) of less than $0.1 million and $(1.0) million, respectively. For the three and six months ended March 31, 2016, our Credit Facility had a net change in unrealized (appreciation) depreciation of $(0.4) million and $0.2 million, respectively. As of March 31, 2017 and September 30, 2016, the net unrealized (appreciation) depreciation on our Credit Facility totaled $(0.5)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Credit Facility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136" w:lineRule="exact"/>
        <w:rPr>
          <w:sz w:val="20"/>
          <w:szCs w:val="20"/>
          <w:color w:val="auto"/>
        </w:rPr>
      </w:pPr>
    </w:p>
    <w:p>
      <w:pPr>
        <w:jc w:val="both"/>
        <w:ind w:right="10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treated as a RIC for federal income tax purposes, substantially all of this income must be paid out to stockholders in the form of dividends for U.S. federal income tax purposes, even though we have not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69" w:right="379" w:bottom="1440" w:gutter="0" w:footer="0" w:header="0"/>
        </w:sectPr>
      </w:pPr>
    </w:p>
    <w:bookmarkStart w:id="27" w:name="page28"/>
    <w:bookmarkEnd w:id="27"/>
    <w:p>
      <w:pPr>
        <w:ind w:right="180"/>
        <w:spacing w:after="0" w:line="238" w:lineRule="auto"/>
        <w:rPr>
          <w:sz w:val="20"/>
          <w:szCs w:val="20"/>
          <w:color w:val="auto"/>
        </w:rPr>
      </w:pPr>
      <w:r>
        <w:rPr>
          <w:rFonts w:ascii="Arial" w:cs="Arial" w:eastAsia="Arial" w:hAnsi="Arial"/>
          <w:sz w:val="14"/>
          <w:szCs w:val="14"/>
          <w:color w:val="auto"/>
        </w:rPr>
        <w:t>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15"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net gain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1" w:lineRule="exact"/>
        <w:rPr>
          <w:sz w:val="20"/>
          <w:szCs w:val="20"/>
          <w:color w:val="auto"/>
        </w:rPr>
      </w:pPr>
    </w:p>
    <w:p>
      <w:pPr>
        <w:ind w:right="120" w:firstLine="438"/>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83"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and six months ended March 31, 2017 and 2016.</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180" w:firstLine="434"/>
        <w:spacing w:after="0" w:line="255" w:lineRule="auto"/>
        <w:rPr>
          <w:sz w:val="20"/>
          <w:szCs w:val="20"/>
          <w:color w:val="auto"/>
        </w:rPr>
      </w:pPr>
      <w:r>
        <w:rPr>
          <w:rFonts w:ascii="Arial" w:cs="Arial" w:eastAsia="Arial" w:hAnsi="Arial"/>
          <w:sz w:val="13"/>
          <w:szCs w:val="13"/>
          <w:color w:val="auto"/>
        </w:rPr>
        <w:t>Investment income for the three and six months ended March 31, 2017 was $13.2 million and $25.9 million, respectively, and was attributable to $12.0 million and $23.3 million from senior secured loans and $1.2 million and $2.6 million from second lien secured debt and subordinated debt. This compares to investment income for the three and six months ended March 31, 2016, which was $11.3 million and $20.1 million, respectively, and was attributable to $9.7 million and $17.0 million from senior secured loans and $1.6 million and $3.1 million from second lien secured debt and subordinated debt. The increase in investment income compared to the same periods in the prior year was primarily due to the growth of our portfolio.</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140" w:firstLine="434"/>
        <w:spacing w:after="0" w:line="247" w:lineRule="auto"/>
        <w:rPr>
          <w:sz w:val="20"/>
          <w:szCs w:val="20"/>
          <w:color w:val="auto"/>
        </w:rPr>
      </w:pPr>
      <w:r>
        <w:rPr>
          <w:rFonts w:ascii="Arial" w:cs="Arial" w:eastAsia="Arial" w:hAnsi="Arial"/>
          <w:sz w:val="13"/>
          <w:szCs w:val="13"/>
          <w:color w:val="auto"/>
        </w:rPr>
        <w:t>Expenses for the three and six months ended March 31, 2017 totaled $5.2 million and $11.0 million, respectively. Base management fee for the same periods totaled $1.7 million and $3.3 million, incentive fee totaled $0.5 million (including $(0.1) million on unrealized gains accrued but not payable) and $1.9 million (including $0.5 million on unrealized gains accrued but not payable), Credit Facility expenses totaled $2.0 million and $3.8 million, general and administrative expenses totaled $0.9 million and $1.9 million and provision for taxes totaled $0.1 million and $0.1 million, respectively. This compares to expenses for the three and six months ended March 31, 2016, which totaled $4.1 million and $7.8 million, respectively. Base management fee for the same periods totaled $1.2 million and $2.3 million, incentive fee totaled $0.8 million and $0.8 million, Credit Facility expenses totaled $1.1 million and $3.0 million (including $0.9 million of amendment expenses) and general and administrative expenses totaled $1.0 million and $1.7 million, respectively. The increase in expenses compared with the same periods in the prior year was primarily due to increases in base management and incentive fees as a result from the growth of our portfolio.</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jc w:val="both"/>
        <w:ind w:right="200" w:firstLine="434"/>
        <w:spacing w:after="0" w:line="238" w:lineRule="auto"/>
        <w:rPr>
          <w:sz w:val="20"/>
          <w:szCs w:val="20"/>
          <w:color w:val="auto"/>
        </w:rPr>
      </w:pPr>
      <w:r>
        <w:rPr>
          <w:rFonts w:ascii="Arial" w:cs="Arial" w:eastAsia="Arial" w:hAnsi="Arial"/>
          <w:sz w:val="14"/>
          <w:szCs w:val="14"/>
          <w:color w:val="auto"/>
        </w:rPr>
        <w:t>Net investment income totaled $8.0 million and $14.9 million, or $0.27 and $0.53 per share, for the three and six months ended March 31, 2017, respectively. Net investment income totaled $7.3 million and $12.4 million, or $0.27 and $0.46 per share, for the three and six months ended March 31, 2016, respectively. The increase in net investment income compared to the same period in the prior year was primarily due to the growth of our portfolio.</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jc w:val="both"/>
        <w:ind w:right="180" w:firstLine="434"/>
        <w:spacing w:after="0" w:line="264" w:lineRule="auto"/>
        <w:rPr>
          <w:sz w:val="20"/>
          <w:szCs w:val="20"/>
          <w:color w:val="auto"/>
        </w:rPr>
      </w:pPr>
      <w:r>
        <w:rPr>
          <w:rFonts w:ascii="Arial" w:cs="Arial" w:eastAsia="Arial" w:hAnsi="Arial"/>
          <w:sz w:val="13"/>
          <w:szCs w:val="13"/>
          <w:color w:val="auto"/>
        </w:rPr>
        <w:t>Sales and repayments of investments for the three and six months ended March 31, 2017 totaled $71.5 million and $141.9 million and net realized gains totaled $2.0 million and $2.5 million, respectively. Sales and repayments of investments totaled $29.9 million and $56.8 million and realized gains (losses) totaled $1.1 million and $(2.2) million for the three and six months ended March 31, 2016, respectively. The change in realized gains/losses was primarily due to changes in the market conditions of our investments and the values at which they were realized.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136" w:lineRule="exact"/>
        <w:rPr>
          <w:sz w:val="20"/>
          <w:szCs w:val="20"/>
          <w:color w:val="auto"/>
        </w:rPr>
      </w:pPr>
    </w:p>
    <w:p>
      <w:pPr>
        <w:ind w:firstLine="456"/>
        <w:spacing w:after="0" w:line="255" w:lineRule="auto"/>
        <w:rPr>
          <w:sz w:val="20"/>
          <w:szCs w:val="20"/>
          <w:color w:val="auto"/>
        </w:rPr>
      </w:pPr>
      <w:r>
        <w:rPr>
          <w:rFonts w:ascii="Arial" w:cs="Arial" w:eastAsia="Arial" w:hAnsi="Arial"/>
          <w:sz w:val="13"/>
          <w:szCs w:val="13"/>
          <w:color w:val="auto"/>
        </w:rPr>
        <w:t>For the three and six months ended March 31, 2017, we reported a net change in unrealized depreciation on investments of $2.7 million and $0.2 million, respectively. For the three and six months ended March 31, 2016, we reported a net change in unrealized depreciation on investments of $5.5 million and $6.2 million, respectively. As of March 31, 2017 and September 30, 2016, our net unrealized appreciation on investments totaled $0.8 million and $1.0 million, respectively. The net change in unrealized appreciation on our investments was driven primarily by changes in capital market conditions, the financial performance of certain portfolio companies and the reversal of unrealized depreciation (appreciation) on investments that were sold.</w:t>
      </w:r>
    </w:p>
    <w:p>
      <w:pPr>
        <w:spacing w:after="0" w:line="107"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For the three and six months ended March 31, 2017, our Credit Facility had a net change in unrealized depreciation (appreciation) of less than $0.1 million and $(1.0) million, respectively. For the three and six months ended March 31, 2016, our Credit Facility had a net change in unrealized (appreciation) depreciation of $(0.4) million and $0.2 million, respectively. As of March 31, 2017 and September 30, 2016, net unrealized (appreciation) depreciation on our Credit Facility totaled $(0.5) million and $0.5 million, respectively. The change in net unrealized depreciation compared to the same periods in the prior year was primarily due to changes in the capital markets.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140" w:firstLine="434"/>
        <w:spacing w:after="0" w:line="296" w:lineRule="auto"/>
        <w:rPr>
          <w:sz w:val="20"/>
          <w:szCs w:val="20"/>
          <w:color w:val="auto"/>
        </w:rPr>
      </w:pPr>
      <w:r>
        <w:rPr>
          <w:rFonts w:ascii="Arial" w:cs="Arial" w:eastAsia="Arial" w:hAnsi="Arial"/>
          <w:sz w:val="12"/>
          <w:szCs w:val="12"/>
          <w:color w:val="auto"/>
        </w:rPr>
        <w:t>Net change in net assets resulting from operations totaled $7.3 million and $16.1 million, or $0.25 and $0.57 per share, respectively, for the three and six months ended March 31, 2017. This compares to a net change in net assets resulting from operations which totaled $2.4 million and $4.2 million, or $0.09 and $0.16 per share, respectively, for the three and six months ended March 31, 2016. The increase in the change in net assets from operations compared to the same periods in the prior year was primarily due to changes in portfolio investment values during the reporting periods.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15"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Funding I’s multi-currency Credit Facility with the Lenders was $350 million as of March 31, 2017, subject to satisfaction of certain conditions and regulatory restrictions that the 1940 Act imposes on us as a BDC, has an interest rate spread above LIBOR of 200 basis points, a maturity date of August 2020 and a revolving period that ends in August 2018. As of March 31, 2017 and September 30, 2016, Funding I had $299.9 million and $232.9 million of outstanding borrowings under the Credit Facility, respectively. The Credit Facility had an interest rate of 2.93% and 2.57%, as of March 31, 2017 and September 30, 2016, respectively, excluding the undrawn commitment fees of 0.375%. The annualized weighted average cost of debt for the six months ended March 31, 2017 and 2016, inclusive of the fee on the undrawn commitment and amendment costs on the Credit Facility, was 2.91% and 5.73%, respectively. As of March 31, 2017 and September 30, 2016, we had $50.1 million and $117.1 million of unused borrowing capacity under our Credit Facility, respectively, subject to the regulatory restrictions.</w:t>
      </w:r>
    </w:p>
    <w:p>
      <w:pPr>
        <w:spacing w:after="0" w:line="113" w:lineRule="exact"/>
        <w:rPr>
          <w:sz w:val="20"/>
          <w:szCs w:val="20"/>
          <w:color w:val="auto"/>
        </w:rPr>
      </w:pPr>
    </w:p>
    <w:p>
      <w:pPr>
        <w:ind w:right="10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March 31, 2017, we were in compliance with the covenants relating to our Credit Facility.</w:t>
      </w:r>
    </w:p>
    <w:p>
      <w:pPr>
        <w:spacing w:after="0" w:line="116"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15"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16" w:lineRule="exact"/>
        <w:rPr>
          <w:sz w:val="20"/>
          <w:szCs w:val="20"/>
          <w:color w:val="auto"/>
        </w:rPr>
      </w:pPr>
    </w:p>
    <w:p>
      <w:pPr>
        <w:ind w:right="120" w:firstLine="438"/>
        <w:spacing w:after="0" w:line="229" w:lineRule="auto"/>
        <w:rPr>
          <w:sz w:val="20"/>
          <w:szCs w:val="20"/>
          <w:color w:val="auto"/>
        </w:rPr>
      </w:pPr>
      <w:r>
        <w:rPr>
          <w:rFonts w:ascii="Arial" w:cs="Arial" w:eastAsia="Arial" w:hAnsi="Arial"/>
          <w:sz w:val="14"/>
          <w:szCs w:val="14"/>
          <w:color w:val="auto"/>
        </w:rPr>
        <w:t>We may raise equity or debt capital through both registered offerings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In February 2017, we completed a follow-on public offering of 5,750,000 shares of common stock, which resulted in proceeds to us of $14.08 per share, including the exercise of the underwriters’ option to purchase additional shares, for gross proceeds of $81.0 million and net proceeds of $80.5 million after offering expenses. Our Investment Adviser paid $5.0 million in connection with this offering, which included the sales load and an additional supplemental payment.</w:t>
      </w:r>
    </w:p>
    <w:p>
      <w:pPr>
        <w:spacing w:after="0" w:line="118"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At March 31, 2017 and September 30, 2016, we had cash equivalents of $44.0 million and $28.9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340" w:firstLine="438"/>
        <w:spacing w:after="0" w:line="238" w:lineRule="auto"/>
        <w:rPr>
          <w:sz w:val="20"/>
          <w:szCs w:val="20"/>
          <w:color w:val="auto"/>
        </w:rPr>
      </w:pPr>
      <w:r>
        <w:rPr>
          <w:rFonts w:ascii="Arial" w:cs="Arial" w:eastAsia="Arial" w:hAnsi="Arial"/>
          <w:sz w:val="14"/>
          <w:szCs w:val="14"/>
          <w:color w:val="auto"/>
        </w:rPr>
        <w:t>Our operating activities used cash of $116.7 million for the six months ended March 31, 2017, and our financing activities provided cash of $131.7 million for the same period. Our operating activities used cash primarily for our investment activities and our financing activities provided cash primarily from our recent equity offering and net borrowings under the Credit Facility.</w:t>
      </w:r>
    </w:p>
    <w:p>
      <w:pPr>
        <w:spacing w:after="0" w:line="115" w:lineRule="exact"/>
        <w:rPr>
          <w:sz w:val="20"/>
          <w:szCs w:val="20"/>
          <w:color w:val="auto"/>
        </w:rPr>
      </w:pPr>
    </w:p>
    <w:p>
      <w:pPr>
        <w:ind w:right="560" w:firstLine="438"/>
        <w:spacing w:after="0" w:line="290" w:lineRule="auto"/>
        <w:rPr>
          <w:sz w:val="20"/>
          <w:szCs w:val="20"/>
          <w:color w:val="auto"/>
        </w:rPr>
      </w:pPr>
      <w:r>
        <w:rPr>
          <w:rFonts w:ascii="Arial" w:cs="Arial" w:eastAsia="Arial" w:hAnsi="Arial"/>
          <w:sz w:val="13"/>
          <w:szCs w:val="13"/>
          <w:color w:val="auto"/>
        </w:rPr>
        <w:t>Our operating activities used cash of $91.5 million for the six months ended March 31, 2016, and our financing activities provided cash of $83.4 million for the same period. Our operating activities used cash primarily for our investment activities and our financing activities provided cash primarily from net borrowings under the Credit Facility.</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 summary of our significant contractual payment obligations at cost as of March 31, 2017, including borrowings under our Credit Facility and other contractual obligations, is as follows:</w:t>
      </w:r>
    </w:p>
    <w:p>
      <w:pPr>
        <w:spacing w:after="0" w:line="144"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jc w:val="right"/>
              <w:ind w:right="189"/>
              <w:spacing w:after="0"/>
              <w:rPr>
                <w:sz w:val="20"/>
                <w:szCs w:val="20"/>
                <w:color w:val="auto"/>
              </w:rPr>
            </w:pPr>
            <w:r>
              <w:rPr>
                <w:rFonts w:ascii="Arial" w:cs="Arial" w:eastAsia="Arial" w:hAnsi="Arial"/>
                <w:sz w:val="14"/>
                <w:szCs w:val="14"/>
                <w:b w:val="1"/>
                <w:bCs w:val="1"/>
                <w:color w:val="auto"/>
              </w:rPr>
              <w:t>Payments due by period (millions)</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29"/>
              <w:spacing w:after="0" w:line="119" w:lineRule="exact"/>
              <w:rPr>
                <w:sz w:val="20"/>
                <w:szCs w:val="20"/>
                <w:color w:val="auto"/>
              </w:rPr>
            </w:pPr>
            <w:r>
              <w:rPr>
                <w:rFonts w:ascii="Arial" w:cs="Arial" w:eastAsia="Arial" w:hAnsi="Arial"/>
                <w:sz w:val="13"/>
                <w:szCs w:val="13"/>
                <w:b w:val="1"/>
                <w:bCs w:val="1"/>
                <w:color w:val="auto"/>
                <w:w w:val="95"/>
              </w:rPr>
              <w:t>Less than</w:t>
            </w:r>
          </w:p>
        </w:tc>
        <w:tc>
          <w:tcPr>
            <w:tcW w:w="760" w:type="dxa"/>
            <w:vAlign w:val="bottom"/>
            <w:gridSpan w:val="2"/>
          </w:tcPr>
          <w:p>
            <w:pPr>
              <w:jc w:val="right"/>
              <w:ind w:right="42"/>
              <w:spacing w:after="0" w:line="119" w:lineRule="exact"/>
              <w:rPr>
                <w:sz w:val="20"/>
                <w:szCs w:val="20"/>
                <w:color w:val="auto"/>
              </w:rPr>
            </w:pPr>
            <w:r>
              <w:rPr>
                <w:rFonts w:ascii="Arial" w:cs="Arial" w:eastAsia="Arial" w:hAnsi="Arial"/>
                <w:sz w:val="13"/>
                <w:szCs w:val="13"/>
                <w:b w:val="1"/>
                <w:bCs w:val="1"/>
                <w:color w:val="auto"/>
              </w:rPr>
              <w:t>1-3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209"/>
              <w:spacing w:after="0" w:line="119" w:lineRule="exact"/>
              <w:rPr>
                <w:sz w:val="20"/>
                <w:szCs w:val="20"/>
                <w:color w:val="auto"/>
              </w:rPr>
            </w:pPr>
            <w:r>
              <w:rPr>
                <w:rFonts w:ascii="Arial" w:cs="Arial" w:eastAsia="Arial" w:hAnsi="Arial"/>
                <w:sz w:val="13"/>
                <w:szCs w:val="13"/>
                <w:b w:val="1"/>
                <w:bCs w:val="1"/>
                <w:color w:val="auto"/>
              </w:rPr>
              <w:t>3-5</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29"/>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3"/>
              </w:rPr>
              <w:t>1 year</w:t>
            </w: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years</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years</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5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640" w:type="dxa"/>
            <w:vAlign w:val="bottom"/>
            <w:shd w:val="clear" w:color="auto" w:fill="CCEEFF"/>
          </w:tcPr>
          <w:p>
            <w:pPr>
              <w:jc w:val="right"/>
              <w:ind w:right="522"/>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299.9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ind w:left="58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82"/>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299.9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(1)</w:t>
            </w: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w w:val="85"/>
              </w:rPr>
              <w:t>—</w:t>
            </w: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0.7</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contractual obligations</w:t>
            </w:r>
          </w:p>
        </w:tc>
        <w:tc>
          <w:tcPr>
            <w:tcW w:w="640" w:type="dxa"/>
            <w:vAlign w:val="bottom"/>
            <w:tcBorders>
              <w:bottom w:val="single" w:sz="8" w:color="auto"/>
            </w:tcBorders>
            <w:shd w:val="clear" w:color="auto" w:fill="CCEEFF"/>
          </w:tcPr>
          <w:p>
            <w:pPr>
              <w:jc w:val="right"/>
              <w:ind w:right="52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334.5</w:t>
            </w: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ind w:left="58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0.7</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325.2</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-97790</wp:posOffset>
            </wp:positionV>
            <wp:extent cx="31629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ind w:left="460" w:hanging="371"/>
        <w:spacing w:after="0"/>
        <w:tabs>
          <w:tab w:leader="none" w:pos="4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Unfunded investments are disclosed in the Consolidated Schedule of Investments and Note 10 of our Consolidated Financial Statements.</w:t>
      </w:r>
    </w:p>
    <w:p>
      <w:pPr>
        <w:spacing w:after="0" w:line="124" w:lineRule="exact"/>
        <w:rPr>
          <w:sz w:val="20"/>
          <w:szCs w:val="20"/>
          <w:color w:val="auto"/>
        </w:rPr>
      </w:pPr>
    </w:p>
    <w:p>
      <w:pPr>
        <w:ind w:right="320" w:firstLine="438"/>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2017,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17"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Under our Administration Agreement, which was reapproved by our board of directors, including a majority of our directors who are not interested persons of us, in February 2017, the Administrator furnishes us with office facilities and administrative services necessary to conduct our day-to-day operations. If requested to provide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9" w:name="page30"/>
    <w:bookmarkEnd w:id="29"/>
    <w:p>
      <w:pPr>
        <w:ind w:right="200"/>
        <w:spacing w:after="0" w:line="238" w:lineRule="auto"/>
        <w:rPr>
          <w:sz w:val="20"/>
          <w:szCs w:val="20"/>
          <w:color w:val="auto"/>
        </w:rPr>
      </w:pPr>
      <w:r>
        <w:rPr>
          <w:rFonts w:ascii="Arial" w:cs="Arial" w:eastAsia="Arial" w:hAnsi="Arial"/>
          <w:sz w:val="14"/>
          <w:szCs w:val="14"/>
          <w:color w:val="auto"/>
        </w:rPr>
        <w:t>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5"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36" w:lineRule="exact"/>
        <w:rPr>
          <w:sz w:val="20"/>
          <w:szCs w:val="20"/>
          <w:color w:val="auto"/>
        </w:rPr>
      </w:pPr>
    </w:p>
    <w:p>
      <w:pPr>
        <w:jc w:val="both"/>
        <w:ind w:firstLine="438"/>
        <w:spacing w:after="0" w:line="233" w:lineRule="auto"/>
        <w:rPr>
          <w:sz w:val="20"/>
          <w:szCs w:val="20"/>
          <w:color w:val="auto"/>
        </w:rPr>
      </w:pPr>
      <w:r>
        <w:rPr>
          <w:rFonts w:ascii="Arial" w:cs="Arial" w:eastAsia="Arial" w:hAnsi="Arial"/>
          <w:sz w:val="14"/>
          <w:szCs w:val="14"/>
          <w:color w:val="auto"/>
        </w:rPr>
        <w:t>On May 9, 2017, we and Trinity Universal Insurance Company ("Trinity"), a subsidiary of Kemper Corporation (NYSE: KMPR) formed a joint venture: PennantPark Senior Secured Loan Fund I, LLC (“SSLF”). We and Trinity have committed to provide $100 million of subordinated notes and equity to the joint venture, with us providing $87.5 million and Trinity providing $12.5 million. In addition, SSLF intends to seek up to $200 million in third party financing. SSLF is expected to invest primarily in middle market and other corporate debt securities consistent with our strategy.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15"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1"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During the three and six months ended March 31, 2017, we declared distributions of $0.285 and $0.570 per share, respectively, for total distributions of $8.7 million and $16.3 million, respectively. For the same periods in the prior year, we declared distributions of $0.285 and $0.570 per share, respectively, for total distributions of $7.6 million and $15.2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the board of directors quarterly.</w:t>
      </w:r>
    </w:p>
    <w:p>
      <w:pPr>
        <w:spacing w:after="0" w:line="136" w:lineRule="exact"/>
        <w:rPr>
          <w:sz w:val="20"/>
          <w:szCs w:val="20"/>
          <w:color w:val="auto"/>
        </w:rPr>
      </w:pPr>
    </w:p>
    <w:p>
      <w:pPr>
        <w:ind w:right="260" w:firstLine="438"/>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0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0" w:name="page31"/>
    <w:bookmarkEnd w:id="30"/>
    <w:p>
      <w:pPr>
        <w:spacing w:after="0"/>
        <w:tabs>
          <w:tab w:leader="none" w:pos="80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180" w:firstLine="394"/>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March 31, 2017, our debt portfolio consisted of 98% variable-rate investments (including 98% with a floor) and 2%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6" w:lineRule="exact"/>
        <w:rPr>
          <w:sz w:val="20"/>
          <w:szCs w:val="20"/>
          <w:color w:val="auto"/>
        </w:rPr>
      </w:pPr>
    </w:p>
    <w:p>
      <w:pPr>
        <w:ind w:right="540" w:firstLine="394"/>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94"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00" w:type="dxa"/>
            <w:vAlign w:val="bottom"/>
          </w:tcPr>
          <w:p>
            <w:pPr>
              <w:jc w:val="center"/>
              <w:ind w:left="508"/>
              <w:spacing w:after="0"/>
              <w:rPr>
                <w:sz w:val="20"/>
                <w:szCs w:val="20"/>
                <w:color w:val="auto"/>
              </w:rPr>
            </w:pPr>
            <w:r>
              <w:rPr>
                <w:rFonts w:ascii="Arial" w:cs="Arial" w:eastAsia="Arial" w:hAnsi="Arial"/>
                <w:sz w:val="14"/>
                <w:szCs w:val="14"/>
                <w:color w:val="auto"/>
                <w:w w:val="92"/>
              </w:rPr>
              <w:t>Change In Interest Income,</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0" w:type="dxa"/>
            <w:vAlign w:val="bottom"/>
          </w:tcPr>
          <w:p>
            <w:pPr>
              <w:jc w:val="center"/>
              <w:ind w:right="408"/>
              <w:spacing w:after="0"/>
              <w:rPr>
                <w:sz w:val="20"/>
                <w:szCs w:val="20"/>
                <w:color w:val="auto"/>
              </w:rPr>
            </w:pPr>
            <w:r>
              <w:rPr>
                <w:rFonts w:ascii="Arial" w:cs="Arial" w:eastAsia="Arial" w:hAnsi="Arial"/>
                <w:sz w:val="14"/>
                <w:szCs w:val="14"/>
                <w:color w:val="auto"/>
                <w:w w:val="92"/>
              </w:rPr>
              <w:t>Change In Interest Income,</w:t>
            </w:r>
          </w:p>
        </w:tc>
      </w:tr>
      <w:tr>
        <w:trPr>
          <w:trHeight w:val="149"/>
        </w:trPr>
        <w:tc>
          <w:tcPr>
            <w:tcW w:w="2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00" w:type="dxa"/>
            <w:vAlign w:val="bottom"/>
          </w:tcPr>
          <w:p>
            <w:pPr>
              <w:jc w:val="center"/>
              <w:ind w:left="488"/>
              <w:spacing w:after="0" w:line="149" w:lineRule="exact"/>
              <w:rPr>
                <w:sz w:val="20"/>
                <w:szCs w:val="20"/>
                <w:color w:val="auto"/>
              </w:rPr>
            </w:pPr>
            <w:r>
              <w:rPr>
                <w:rFonts w:ascii="Arial" w:cs="Arial" w:eastAsia="Arial" w:hAnsi="Arial"/>
                <w:sz w:val="14"/>
                <w:szCs w:val="14"/>
                <w:color w:val="auto"/>
                <w:w w:val="92"/>
              </w:rPr>
              <w:t>Net Of Interest Expense</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0" w:type="dxa"/>
            <w:vAlign w:val="bottom"/>
          </w:tcPr>
          <w:p>
            <w:pPr>
              <w:jc w:val="center"/>
              <w:ind w:right="408"/>
              <w:spacing w:after="0" w:line="149" w:lineRule="exact"/>
              <w:rPr>
                <w:sz w:val="20"/>
                <w:szCs w:val="20"/>
                <w:color w:val="auto"/>
              </w:rPr>
            </w:pPr>
            <w:r>
              <w:rPr>
                <w:rFonts w:ascii="Arial" w:cs="Arial" w:eastAsia="Arial" w:hAnsi="Arial"/>
                <w:sz w:val="14"/>
                <w:szCs w:val="14"/>
                <w:color w:val="auto"/>
                <w:w w:val="96"/>
              </w:rPr>
              <w:t>Net Of Interest</w:t>
            </w:r>
          </w:p>
        </w:tc>
      </w:tr>
      <w:tr>
        <w:trPr>
          <w:trHeight w:val="167"/>
        </w:trPr>
        <w:tc>
          <w:tcPr>
            <w:tcW w:w="340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Change In Interest Rates</w:t>
            </w:r>
          </w:p>
        </w:tc>
        <w:tc>
          <w:tcPr>
            <w:tcW w:w="2500" w:type="dxa"/>
            <w:vAlign w:val="bottom"/>
          </w:tcPr>
          <w:p>
            <w:pPr>
              <w:jc w:val="center"/>
              <w:ind w:left="488"/>
              <w:spacing w:after="0"/>
              <w:rPr>
                <w:sz w:val="20"/>
                <w:szCs w:val="20"/>
                <w:color w:val="auto"/>
              </w:rPr>
            </w:pPr>
            <w:r>
              <w:rPr>
                <w:rFonts w:ascii="Arial" w:cs="Arial" w:eastAsia="Arial" w:hAnsi="Arial"/>
                <w:sz w:val="14"/>
                <w:szCs w:val="14"/>
                <w:color w:val="auto"/>
                <w:w w:val="92"/>
              </w:rPr>
              <w:t>(in thousands)</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0" w:type="dxa"/>
            <w:vAlign w:val="bottom"/>
          </w:tcPr>
          <w:p>
            <w:pPr>
              <w:jc w:val="center"/>
              <w:ind w:right="408"/>
              <w:spacing w:after="0"/>
              <w:rPr>
                <w:sz w:val="20"/>
                <w:szCs w:val="20"/>
                <w:color w:val="auto"/>
              </w:rPr>
            </w:pPr>
            <w:r>
              <w:rPr>
                <w:rFonts w:ascii="Arial" w:cs="Arial" w:eastAsia="Arial" w:hAnsi="Arial"/>
                <w:sz w:val="14"/>
                <w:szCs w:val="14"/>
                <w:color w:val="auto"/>
                <w:w w:val="88"/>
              </w:rPr>
              <w:t>Expense Per Share</w:t>
            </w:r>
          </w:p>
        </w:tc>
      </w:tr>
      <w:tr>
        <w:trPr>
          <w:trHeight w:val="142"/>
        </w:trPr>
        <w:tc>
          <w:tcPr>
            <w:tcW w:w="2960" w:type="dxa"/>
            <w:vAlign w:val="bottom"/>
            <w:tcBorders>
              <w:top w:val="single" w:sz="8" w:color="auto"/>
            </w:tcBorders>
            <w:shd w:val="clear" w:color="auto" w:fill="CCECFF"/>
          </w:tcPr>
          <w:p>
            <w:pPr>
              <w:jc w:val="center"/>
              <w:spacing w:after="0" w:line="142" w:lineRule="exact"/>
              <w:rPr>
                <w:sz w:val="20"/>
                <w:szCs w:val="20"/>
                <w:color w:val="auto"/>
              </w:rPr>
            </w:pPr>
            <w:r>
              <w:rPr>
                <w:rFonts w:ascii="Arial" w:cs="Arial" w:eastAsia="Arial" w:hAnsi="Arial"/>
                <w:sz w:val="14"/>
                <w:szCs w:val="14"/>
                <w:color w:val="auto"/>
                <w:w w:val="95"/>
              </w:rPr>
              <w:t>Up 1%</w:t>
            </w:r>
          </w:p>
        </w:tc>
        <w:tc>
          <w:tcPr>
            <w:tcW w:w="440" w:type="dxa"/>
            <w:vAlign w:val="bottom"/>
            <w:tcBorders>
              <w:top w:val="single" w:sz="8" w:color="CCECFF"/>
            </w:tcBorders>
            <w:shd w:val="clear" w:color="auto" w:fill="CCECFF"/>
          </w:tcPr>
          <w:p>
            <w:pPr>
              <w:spacing w:after="0"/>
              <w:rPr>
                <w:sz w:val="12"/>
                <w:szCs w:val="12"/>
                <w:color w:val="auto"/>
              </w:rPr>
            </w:pPr>
          </w:p>
        </w:tc>
        <w:tc>
          <w:tcPr>
            <w:tcW w:w="2500" w:type="dxa"/>
            <w:vAlign w:val="bottom"/>
            <w:tcBorders>
              <w:top w:val="single" w:sz="8" w:color="auto"/>
            </w:tcBorders>
            <w:shd w:val="clear" w:color="auto" w:fill="CCECFF"/>
          </w:tcPr>
          <w:p>
            <w:pPr>
              <w:jc w:val="right"/>
              <w:ind w:right="2228"/>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CFF"/>
          </w:tcPr>
          <w:p>
            <w:pPr>
              <w:jc w:val="right"/>
              <w:spacing w:after="0" w:line="142" w:lineRule="exact"/>
              <w:rPr>
                <w:sz w:val="20"/>
                <w:szCs w:val="20"/>
                <w:color w:val="auto"/>
              </w:rPr>
            </w:pPr>
            <w:r>
              <w:rPr>
                <w:rFonts w:ascii="Arial" w:cs="Arial" w:eastAsia="Arial" w:hAnsi="Arial"/>
                <w:sz w:val="14"/>
                <w:szCs w:val="14"/>
                <w:color w:val="auto"/>
              </w:rPr>
              <w:t>3,593</w:t>
            </w:r>
          </w:p>
        </w:tc>
        <w:tc>
          <w:tcPr>
            <w:tcW w:w="440" w:type="dxa"/>
            <w:vAlign w:val="bottom"/>
            <w:tcBorders>
              <w:top w:val="single" w:sz="8" w:color="CCECFF"/>
            </w:tcBorders>
            <w:shd w:val="clear" w:color="auto" w:fill="CCECFF"/>
          </w:tcPr>
          <w:p>
            <w:pPr>
              <w:spacing w:after="0"/>
              <w:rPr>
                <w:sz w:val="12"/>
                <w:szCs w:val="12"/>
                <w:color w:val="auto"/>
              </w:rPr>
            </w:pPr>
          </w:p>
        </w:tc>
        <w:tc>
          <w:tcPr>
            <w:tcW w:w="460" w:type="dxa"/>
            <w:vAlign w:val="bottom"/>
            <w:tcBorders>
              <w:top w:val="single" w:sz="8" w:color="auto"/>
            </w:tcBorders>
            <w:shd w:val="clear" w:color="auto" w:fill="CCECFF"/>
          </w:tcPr>
          <w:p>
            <w:pPr>
              <w:jc w:val="right"/>
              <w:ind w:right="349"/>
              <w:spacing w:after="0"/>
              <w:rPr>
                <w:sz w:val="20"/>
                <w:szCs w:val="20"/>
                <w:color w:val="auto"/>
              </w:rPr>
            </w:pPr>
            <w:r>
              <w:rPr>
                <w:rFonts w:ascii="Arial" w:cs="Arial" w:eastAsia="Arial" w:hAnsi="Arial"/>
                <w:sz w:val="10"/>
                <w:szCs w:val="10"/>
                <w:color w:val="auto"/>
                <w:w w:val="71"/>
              </w:rPr>
              <w:t>$</w:t>
            </w:r>
          </w:p>
        </w:tc>
        <w:tc>
          <w:tcPr>
            <w:tcW w:w="2800" w:type="dxa"/>
            <w:vAlign w:val="bottom"/>
            <w:tcBorders>
              <w:top w:val="single" w:sz="8" w:color="auto"/>
            </w:tcBorders>
            <w:shd w:val="clear" w:color="auto" w:fill="CCECFF"/>
          </w:tcPr>
          <w:p>
            <w:pPr>
              <w:jc w:val="right"/>
              <w:ind w:right="388"/>
              <w:spacing w:after="0" w:line="142" w:lineRule="exact"/>
              <w:rPr>
                <w:sz w:val="20"/>
                <w:szCs w:val="20"/>
                <w:color w:val="auto"/>
              </w:rPr>
            </w:pPr>
            <w:r>
              <w:rPr>
                <w:rFonts w:ascii="Arial" w:cs="Arial" w:eastAsia="Arial" w:hAnsi="Arial"/>
                <w:sz w:val="14"/>
                <w:szCs w:val="14"/>
                <w:color w:val="auto"/>
              </w:rPr>
              <w:t>0.11</w:t>
            </w:r>
          </w:p>
        </w:tc>
      </w:tr>
      <w:tr>
        <w:trPr>
          <w:trHeight w:val="148"/>
        </w:trPr>
        <w:tc>
          <w:tcPr>
            <w:tcW w:w="34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5"/>
              </w:rPr>
              <w:t>Up 2%</w:t>
            </w:r>
          </w:p>
        </w:tc>
        <w:tc>
          <w:tcPr>
            <w:tcW w:w="2500" w:type="dxa"/>
            <w:vAlign w:val="bottom"/>
          </w:tcPr>
          <w:p>
            <w:pPr>
              <w:jc w:val="right"/>
              <w:ind w:right="222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7,845</w:t>
            </w:r>
          </w:p>
        </w:tc>
        <w:tc>
          <w:tcPr>
            <w:tcW w:w="900" w:type="dxa"/>
            <w:vAlign w:val="bottom"/>
            <w:gridSpan w:val="2"/>
          </w:tcPr>
          <w:p>
            <w:pPr>
              <w:jc w:val="right"/>
              <w:ind w:right="349"/>
              <w:spacing w:after="0" w:line="149" w:lineRule="exact"/>
              <w:rPr>
                <w:sz w:val="20"/>
                <w:szCs w:val="20"/>
                <w:color w:val="auto"/>
              </w:rPr>
            </w:pPr>
            <w:r>
              <w:rPr>
                <w:rFonts w:ascii="Arial" w:cs="Arial" w:eastAsia="Arial" w:hAnsi="Arial"/>
                <w:sz w:val="14"/>
                <w:szCs w:val="14"/>
                <w:color w:val="auto"/>
              </w:rPr>
              <w:t>$</w:t>
            </w:r>
          </w:p>
        </w:tc>
        <w:tc>
          <w:tcPr>
            <w:tcW w:w="280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0.24</w:t>
            </w:r>
          </w:p>
        </w:tc>
      </w:tr>
      <w:tr>
        <w:trPr>
          <w:trHeight w:val="149"/>
        </w:trPr>
        <w:tc>
          <w:tcPr>
            <w:tcW w:w="3400" w:type="dxa"/>
            <w:vAlign w:val="bottom"/>
            <w:gridSpan w:val="2"/>
            <w:shd w:val="clear" w:color="auto" w:fill="CCECFF"/>
          </w:tcPr>
          <w:p>
            <w:pPr>
              <w:jc w:val="center"/>
              <w:ind w:right="440"/>
              <w:spacing w:after="0" w:line="149" w:lineRule="exact"/>
              <w:rPr>
                <w:sz w:val="20"/>
                <w:szCs w:val="20"/>
                <w:color w:val="auto"/>
              </w:rPr>
            </w:pPr>
            <w:r>
              <w:rPr>
                <w:rFonts w:ascii="Arial" w:cs="Arial" w:eastAsia="Arial" w:hAnsi="Arial"/>
                <w:sz w:val="14"/>
                <w:szCs w:val="14"/>
                <w:color w:val="auto"/>
                <w:w w:val="95"/>
              </w:rPr>
              <w:t>Up 3%</w:t>
            </w:r>
          </w:p>
        </w:tc>
        <w:tc>
          <w:tcPr>
            <w:tcW w:w="2500" w:type="dxa"/>
            <w:vAlign w:val="bottom"/>
            <w:shd w:val="clear" w:color="auto" w:fill="CCECFF"/>
          </w:tcPr>
          <w:p>
            <w:pPr>
              <w:jc w:val="right"/>
              <w:ind w:right="2228"/>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CFF"/>
          </w:tcPr>
          <w:p>
            <w:pPr>
              <w:jc w:val="right"/>
              <w:spacing w:after="0" w:line="149" w:lineRule="exact"/>
              <w:rPr>
                <w:sz w:val="20"/>
                <w:szCs w:val="20"/>
                <w:color w:val="auto"/>
              </w:rPr>
            </w:pPr>
            <w:r>
              <w:rPr>
                <w:rFonts w:ascii="Arial" w:cs="Arial" w:eastAsia="Arial" w:hAnsi="Arial"/>
                <w:sz w:val="14"/>
                <w:szCs w:val="14"/>
                <w:color w:val="auto"/>
              </w:rPr>
              <w:t>12,097</w:t>
            </w:r>
          </w:p>
        </w:tc>
        <w:tc>
          <w:tcPr>
            <w:tcW w:w="900" w:type="dxa"/>
            <w:vAlign w:val="bottom"/>
            <w:gridSpan w:val="2"/>
            <w:shd w:val="clear" w:color="auto" w:fill="CCECFF"/>
          </w:tcPr>
          <w:p>
            <w:pPr>
              <w:jc w:val="right"/>
              <w:ind w:right="349"/>
              <w:spacing w:after="0" w:line="149" w:lineRule="exact"/>
              <w:rPr>
                <w:sz w:val="20"/>
                <w:szCs w:val="20"/>
                <w:color w:val="auto"/>
              </w:rPr>
            </w:pPr>
            <w:r>
              <w:rPr>
                <w:rFonts w:ascii="Arial" w:cs="Arial" w:eastAsia="Arial" w:hAnsi="Arial"/>
                <w:sz w:val="14"/>
                <w:szCs w:val="14"/>
                <w:color w:val="auto"/>
              </w:rPr>
              <w:t>$</w:t>
            </w:r>
          </w:p>
        </w:tc>
        <w:tc>
          <w:tcPr>
            <w:tcW w:w="2800" w:type="dxa"/>
            <w:vAlign w:val="bottom"/>
            <w:shd w:val="clear" w:color="auto" w:fill="CCECFF"/>
          </w:tcPr>
          <w:p>
            <w:pPr>
              <w:jc w:val="right"/>
              <w:ind w:right="388"/>
              <w:spacing w:after="0" w:line="149" w:lineRule="exact"/>
              <w:rPr>
                <w:sz w:val="20"/>
                <w:szCs w:val="20"/>
                <w:color w:val="auto"/>
              </w:rPr>
            </w:pPr>
            <w:r>
              <w:rPr>
                <w:rFonts w:ascii="Arial" w:cs="Arial" w:eastAsia="Arial" w:hAnsi="Arial"/>
                <w:sz w:val="14"/>
                <w:szCs w:val="14"/>
                <w:color w:val="auto"/>
              </w:rPr>
              <w:t>0.37</w:t>
            </w:r>
          </w:p>
        </w:tc>
      </w:tr>
      <w:tr>
        <w:trPr>
          <w:trHeight w:val="182"/>
        </w:trPr>
        <w:tc>
          <w:tcPr>
            <w:tcW w:w="3400" w:type="dxa"/>
            <w:vAlign w:val="bottom"/>
            <w:gridSpan w:val="2"/>
          </w:tcPr>
          <w:p>
            <w:pPr>
              <w:jc w:val="center"/>
              <w:ind w:right="440"/>
              <w:spacing w:after="0"/>
              <w:rPr>
                <w:sz w:val="20"/>
                <w:szCs w:val="20"/>
                <w:color w:val="auto"/>
              </w:rPr>
            </w:pPr>
            <w:r>
              <w:rPr>
                <w:rFonts w:ascii="Arial" w:cs="Arial" w:eastAsia="Arial" w:hAnsi="Arial"/>
                <w:sz w:val="14"/>
                <w:szCs w:val="14"/>
                <w:color w:val="auto"/>
                <w:w w:val="95"/>
              </w:rPr>
              <w:t>Up 4%</w:t>
            </w:r>
          </w:p>
        </w:tc>
        <w:tc>
          <w:tcPr>
            <w:tcW w:w="2500" w:type="dxa"/>
            <w:vAlign w:val="bottom"/>
          </w:tcPr>
          <w:p>
            <w:pPr>
              <w:jc w:val="right"/>
              <w:ind w:right="22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16,349</w:t>
            </w:r>
          </w:p>
        </w:tc>
        <w:tc>
          <w:tcPr>
            <w:tcW w:w="900" w:type="dxa"/>
            <w:vAlign w:val="bottom"/>
            <w:gridSpan w:val="2"/>
          </w:tcPr>
          <w:p>
            <w:pPr>
              <w:jc w:val="right"/>
              <w:ind w:right="349"/>
              <w:spacing w:after="0"/>
              <w:rPr>
                <w:sz w:val="20"/>
                <w:szCs w:val="20"/>
                <w:color w:val="auto"/>
              </w:rPr>
            </w:pPr>
            <w:r>
              <w:rPr>
                <w:rFonts w:ascii="Arial" w:cs="Arial" w:eastAsia="Arial" w:hAnsi="Arial"/>
                <w:sz w:val="14"/>
                <w:szCs w:val="14"/>
                <w:color w:val="auto"/>
              </w:rPr>
              <w:t>$</w:t>
            </w:r>
          </w:p>
        </w:tc>
        <w:tc>
          <w:tcPr>
            <w:tcW w:w="2800" w:type="dxa"/>
            <w:vAlign w:val="bottom"/>
          </w:tcPr>
          <w:p>
            <w:pPr>
              <w:jc w:val="right"/>
              <w:ind w:right="388"/>
              <w:spacing w:after="0"/>
              <w:rPr>
                <w:sz w:val="20"/>
                <w:szCs w:val="20"/>
                <w:color w:val="auto"/>
              </w:rPr>
            </w:pPr>
            <w:r>
              <w:rPr>
                <w:rFonts w:ascii="Arial" w:cs="Arial" w:eastAsia="Arial" w:hAnsi="Arial"/>
                <w:sz w:val="14"/>
                <w:szCs w:val="14"/>
                <w:color w:val="auto"/>
              </w:rPr>
              <w:t>0.50</w:t>
            </w:r>
          </w:p>
        </w:tc>
      </w:tr>
    </w:tbl>
    <w:p>
      <w:pPr>
        <w:spacing w:after="0" w:line="96" w:lineRule="exact"/>
        <w:rPr>
          <w:sz w:val="20"/>
          <w:szCs w:val="20"/>
          <w:color w:val="auto"/>
        </w:rPr>
      </w:pPr>
    </w:p>
    <w:p>
      <w:pPr>
        <w:ind w:right="60" w:firstLine="394"/>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180" w:firstLine="394"/>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firstLine="394"/>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Report, we did not engage in interest rate hedging activities.</w:t>
      </w:r>
    </w:p>
    <w:p>
      <w:pPr>
        <w:spacing w:after="0" w:line="113"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60" w:firstLine="394"/>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60" w:firstLine="394"/>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March 31, 2017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PART II – OTHER INFORMATION</w:t>
      </w:r>
    </w:p>
    <w:p>
      <w:pPr>
        <w:spacing w:after="0" w:line="123"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54" w:lineRule="exact"/>
        <w:rPr>
          <w:sz w:val="20"/>
          <w:szCs w:val="20"/>
          <w:color w:val="auto"/>
        </w:rPr>
      </w:pPr>
    </w:p>
    <w:p>
      <w:pPr>
        <w:ind w:firstLine="394"/>
        <w:spacing w:after="0" w:line="248" w:lineRule="auto"/>
        <w:rPr>
          <w:sz w:val="20"/>
          <w:szCs w:val="20"/>
          <w:color w:val="auto"/>
        </w:rPr>
      </w:pPr>
      <w:r>
        <w:rPr>
          <w:rFonts w:ascii="Arial" w:cs="Arial" w:eastAsia="Arial" w:hAnsi="Arial"/>
          <w:sz w:val="13"/>
          <w:szCs w:val="13"/>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MCG Capital Corporation, or MCG, was a party to certain legal proceedings, including the enforcement of its rights under contracts with its portfolio companies. We inherited this litigation upon the closing of our acquisition of MCG. While the outcome of these and any future legal proceedings cannot be predicted with certainty, we do not expect that these proceedings will have a material effect upon our financial condition or results of operations, although we cannot assure you that amounts received in settlement may not be requested to be returned or that we may not be found liable in any such litigation.</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54" w:lineRule="exact"/>
        <w:rPr>
          <w:sz w:val="20"/>
          <w:szCs w:val="20"/>
          <w:color w:val="auto"/>
        </w:rPr>
      </w:pPr>
    </w:p>
    <w:p>
      <w:pPr>
        <w:ind w:right="60" w:firstLine="394"/>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2016, which could materially affect our business, financial condition and/or operating results. The risks described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00"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Not Applicable.</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2" w:name="page33"/>
    <w:bookmarkEnd w:id="32"/>
    <w:p>
      <w:pPr>
        <w:spacing w:after="0"/>
        <w:tabs>
          <w:tab w:leader="none" w:pos="74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85" w:lineRule="exact"/>
        <w:rPr>
          <w:sz w:val="20"/>
          <w:szCs w:val="20"/>
          <w:color w:val="auto"/>
        </w:rPr>
      </w:pPr>
    </w:p>
    <w:p>
      <w:pPr>
        <w:ind w:left="540" w:hanging="539"/>
        <w:spacing w:after="0" w:line="253" w:lineRule="auto"/>
        <w:tabs>
          <w:tab w:leader="none" w:pos="5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Articles of Amendment and Restatement of the Registrant (Incorporated by reference to the Registrant's Pre-Effective Amendment No. 3 to the Registration Statement on Form N-2 (File No. 333-170243), filed on March 29, 2011).</w:t>
      </w:r>
    </w:p>
    <w:p>
      <w:pPr>
        <w:spacing w:after="0" w:line="106"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color w:val="auto"/>
        </w:rPr>
        <w:t>Amended and Restated Bylaws of the Registrant (Incorporated by reference to Exhibit 3.1 to the Registrant’s Current Report on Form 8-K (File No. 814-00891), filed on December 2,</w:t>
      </w:r>
    </w:p>
    <w:p>
      <w:pPr>
        <w:ind w:left="540"/>
        <w:spacing w:after="0"/>
        <w:rPr>
          <w:sz w:val="20"/>
          <w:szCs w:val="20"/>
          <w:color w:val="auto"/>
        </w:rPr>
      </w:pPr>
      <w:r>
        <w:rPr>
          <w:rFonts w:ascii="Arial" w:cs="Arial" w:eastAsia="Arial" w:hAnsi="Arial"/>
          <w:sz w:val="14"/>
          <w:szCs w:val="14"/>
          <w:color w:val="auto"/>
        </w:rPr>
        <w:t>2015).</w:t>
      </w:r>
    </w:p>
    <w:p>
      <w:pPr>
        <w:spacing w:after="0" w:line="124" w:lineRule="exact"/>
        <w:rPr>
          <w:sz w:val="20"/>
          <w:szCs w:val="20"/>
          <w:color w:val="auto"/>
        </w:rPr>
      </w:pPr>
    </w:p>
    <w:p>
      <w:pPr>
        <w:ind w:left="540" w:right="320" w:hanging="539"/>
        <w:spacing w:after="0" w:line="253" w:lineRule="auto"/>
        <w:tabs>
          <w:tab w:leader="none" w:pos="5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Form of Share Certificate (Incorporated by reference to the Registrant's Pre-Effective Amendment No. 5 to the Registration Statement on Form N-2 (File No. 333-170243), filed on April 5, 2011).</w:t>
      </w:r>
    </w:p>
    <w:p>
      <w:pPr>
        <w:spacing w:after="0" w:line="106" w:lineRule="exact"/>
        <w:rPr>
          <w:sz w:val="20"/>
          <w:szCs w:val="20"/>
          <w:color w:val="auto"/>
        </w:rPr>
      </w:pPr>
    </w:p>
    <w:p>
      <w:pPr>
        <w:ind w:right="3480" w:firstLine="8"/>
        <w:spacing w:after="0" w:line="476" w:lineRule="auto"/>
        <w:tabs>
          <w:tab w:leader="none" w:pos="5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Computation of Per Share Earnings (included in the notes to the Consolidated Financial Statements contained in this Report). 31.1* Certification of Chief Executive Officer pursuant to Rule 13a-14 of the Securities Exchange Act of 1934, as amended.</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31.2*   Certification of Chief Financial Officer pursuant to Rule 13a-14 of the Securities Exchange Act of 1934, as amended.</w:t>
      </w:r>
    </w:p>
    <w:p>
      <w:pPr>
        <w:spacing w:after="0" w:line="1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32.1*   Certification of Chief Executive Officer pursuant to section 906 of The Sarbanes-Oxley Act of 2002.</w:t>
      </w:r>
    </w:p>
    <w:p>
      <w:pPr>
        <w:spacing w:after="0" w:line="1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32.2*   Certification of Chief Financial Officer pursuant to section 906 of The Sarbanes-Oxley Act of 2002.</w:t>
      </w:r>
    </w:p>
    <w:p>
      <w:pPr>
        <w:spacing w:after="0" w:line="136" w:lineRule="exact"/>
        <w:rPr>
          <w:rFonts w:ascii="Arial" w:cs="Arial" w:eastAsia="Arial" w:hAnsi="Arial"/>
          <w:sz w:val="13"/>
          <w:szCs w:val="13"/>
          <w:color w:val="auto"/>
        </w:rPr>
      </w:pPr>
    </w:p>
    <w:p>
      <w:pPr>
        <w:ind w:right="1420"/>
        <w:spacing w:after="0" w:line="534" w:lineRule="auto"/>
        <w:rPr>
          <w:rFonts w:ascii="Arial" w:cs="Arial" w:eastAsia="Arial" w:hAnsi="Arial"/>
          <w:sz w:val="13"/>
          <w:szCs w:val="13"/>
          <w:color w:val="auto"/>
        </w:rPr>
      </w:pPr>
      <w:r>
        <w:rPr>
          <w:rFonts w:ascii="Arial" w:cs="Arial" w:eastAsia="Arial" w:hAnsi="Arial"/>
          <w:sz w:val="14"/>
          <w:szCs w:val="14"/>
          <w:color w:val="auto"/>
        </w:rPr>
        <w:t>99.1 Privacy Policy of the Registrant (Incorporated by reference to the Registrant’s Annual Report on Form 10-K (File No. 814-00891), filed on November 17, 2011).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18599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3" w:name="page34"/>
    <w:bookmarkEnd w:id="33"/>
    <w:p>
      <w:pPr>
        <w:jc w:val="center"/>
        <w:ind w:right="-259"/>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firstLine="496"/>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0980"/>
          </w:cols>
          <w:pgMar w:left="320" w:top="265"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60" w:type="dxa"/>
            <w:vAlign w:val="bottom"/>
          </w:tcPr>
          <w:p>
            <w:pPr>
              <w:spacing w:after="0"/>
              <w:rPr>
                <w:sz w:val="20"/>
                <w:szCs w:val="20"/>
                <w:color w:val="auto"/>
              </w:rPr>
            </w:pPr>
            <w:r>
              <w:rPr>
                <w:rFonts w:ascii="Arial" w:cs="Arial" w:eastAsia="Arial" w:hAnsi="Arial"/>
                <w:sz w:val="14"/>
                <w:szCs w:val="14"/>
                <w:color w:val="auto"/>
              </w:rPr>
              <w:t>Date: May 9, 2017</w:t>
            </w:r>
          </w:p>
        </w:tc>
        <w:tc>
          <w:tcPr>
            <w:tcW w:w="2300" w:type="dxa"/>
            <w:vAlign w:val="bottom"/>
            <w:vMerge w:val="restart"/>
          </w:tcPr>
          <w:p>
            <w:pPr>
              <w:ind w:left="2080"/>
              <w:spacing w:after="0"/>
              <w:rPr>
                <w:sz w:val="20"/>
                <w:szCs w:val="20"/>
                <w:color w:val="auto"/>
              </w:rPr>
            </w:pPr>
            <w:r>
              <w:rPr>
                <w:rFonts w:ascii="Arial" w:cs="Arial" w:eastAsia="Arial" w:hAnsi="Arial"/>
                <w:sz w:val="14"/>
                <w:szCs w:val="14"/>
                <w:color w:val="auto"/>
                <w:w w:val="98"/>
              </w:rPr>
              <w:t>By:</w:t>
            </w: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3"/>
        </w:trPr>
        <w:tc>
          <w:tcPr>
            <w:tcW w:w="3160" w:type="dxa"/>
            <w:vAlign w:val="bottom"/>
          </w:tcPr>
          <w:p>
            <w:pPr>
              <w:spacing w:after="0"/>
              <w:rPr>
                <w:sz w:val="20"/>
                <w:szCs w:val="20"/>
                <w:color w:val="auto"/>
              </w:rPr>
            </w:pPr>
            <w:r>
              <w:rPr>
                <w:rFonts w:ascii="Arial" w:cs="Arial" w:eastAsia="Arial" w:hAnsi="Arial"/>
                <w:sz w:val="14"/>
                <w:szCs w:val="14"/>
                <w:color w:val="auto"/>
              </w:rPr>
              <w:t>Date: May 9, 2017</w:t>
            </w:r>
          </w:p>
        </w:tc>
        <w:tc>
          <w:tcPr>
            <w:tcW w:w="2300" w:type="dxa"/>
            <w:vAlign w:val="bottom"/>
            <w:vMerge w:val="restart"/>
          </w:tcPr>
          <w:p>
            <w:pPr>
              <w:ind w:left="2080"/>
              <w:spacing w:after="0"/>
              <w:rPr>
                <w:sz w:val="20"/>
                <w:szCs w:val="20"/>
                <w:color w:val="auto"/>
              </w:rPr>
            </w:pPr>
            <w:r>
              <w:rPr>
                <w:rFonts w:ascii="Arial" w:cs="Arial" w:eastAsia="Arial" w:hAnsi="Arial"/>
                <w:sz w:val="14"/>
                <w:szCs w:val="14"/>
                <w:color w:val="auto"/>
                <w:w w:val="98"/>
              </w:rPr>
              <w:t>By:</w:t>
            </w: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PENNANTPARK FLOATING RATE CAPITAL LTD.</w:t>
      </w:r>
    </w:p>
    <w:p>
      <w:pPr>
        <w:spacing w:after="0" w:line="231"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3810</wp:posOffset>
            </wp:positionV>
            <wp:extent cx="32486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8"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Arthur H. Penn</w:t>
      </w:r>
    </w:p>
    <w:p>
      <w:pPr>
        <w:spacing w:after="0" w:line="3" w:lineRule="exact"/>
        <w:rPr>
          <w:sz w:val="20"/>
          <w:szCs w:val="20"/>
          <w:color w:val="auto"/>
        </w:rPr>
      </w:pPr>
    </w:p>
    <w:p>
      <w:pPr>
        <w:jc w:val="center"/>
        <w:ind w:right="280"/>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jc w:val="center"/>
        <w:ind w:right="280"/>
        <w:spacing w:after="0"/>
        <w:rPr>
          <w:sz w:val="20"/>
          <w:szCs w:val="20"/>
          <w:color w:val="auto"/>
        </w:rPr>
      </w:pPr>
      <w:r>
        <w:rPr>
          <w:rFonts w:ascii="Arial" w:cs="Arial" w:eastAsia="Arial" w:hAnsi="Arial"/>
          <w:sz w:val="14"/>
          <w:szCs w:val="14"/>
          <w:b w:val="1"/>
          <w:bCs w:val="1"/>
          <w:color w:val="auto"/>
        </w:rPr>
        <w:t>(Principal Executive Officer)</w:t>
      </w:r>
    </w:p>
    <w:p>
      <w:pPr>
        <w:spacing w:after="0" w:line="192"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3810</wp:posOffset>
            </wp:positionV>
            <wp:extent cx="32486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8"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Aviv Efrat</w:t>
      </w:r>
    </w:p>
    <w:p>
      <w:pPr>
        <w:spacing w:after="0" w:line="82"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2">
            <w:col w:w="5940" w:space="720"/>
            <w:col w:w="4320"/>
          </w:cols>
          <w:pgMar w:left="320" w:top="265" w:right="59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0980"/>
          </w:cols>
          <w:pgMar w:left="320" w:top="265" w:right="59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4"/>
          <w:szCs w:val="14"/>
          <w:b w:val="1"/>
          <w:bCs w:val="1"/>
          <w:color w:val="auto"/>
        </w:rPr>
        <w:t>EXHIBIT 31.1</w:t>
      </w:r>
    </w:p>
    <w:p>
      <w:pPr>
        <w:ind w:left="4040"/>
        <w:spacing w:after="0" w:line="226" w:lineRule="auto"/>
        <w:rPr>
          <w:sz w:val="20"/>
          <w:szCs w:val="20"/>
          <w:color w:val="auto"/>
        </w:rPr>
      </w:pPr>
      <w:r>
        <w:rPr>
          <w:rFonts w:ascii="Arial" w:cs="Arial" w:eastAsia="Arial" w:hAnsi="Arial"/>
          <w:sz w:val="14"/>
          <w:szCs w:val="14"/>
          <w:b w:val="1"/>
          <w:bCs w:val="1"/>
          <w:color w:val="auto"/>
        </w:rPr>
        <w:t>CERTIFICATION PURSUANT TO SECTION 302</w:t>
      </w: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1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16"/>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1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1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1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1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May 9, 2017</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33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4"/>
          <w:szCs w:val="14"/>
          <w:b w:val="1"/>
          <w:bCs w:val="1"/>
          <w:color w:val="auto"/>
        </w:rPr>
        <w:t>EXHIBIT 31.2</w:t>
      </w:r>
    </w:p>
    <w:p>
      <w:pPr>
        <w:ind w:left="4040"/>
        <w:spacing w:after="0" w:line="226" w:lineRule="auto"/>
        <w:rPr>
          <w:sz w:val="20"/>
          <w:szCs w:val="20"/>
          <w:color w:val="auto"/>
        </w:rPr>
      </w:pPr>
      <w:r>
        <w:rPr>
          <w:rFonts w:ascii="Arial" w:cs="Arial" w:eastAsia="Arial" w:hAnsi="Arial"/>
          <w:sz w:val="14"/>
          <w:szCs w:val="14"/>
          <w:b w:val="1"/>
          <w:bCs w:val="1"/>
          <w:color w:val="auto"/>
        </w:rPr>
        <w:t>CERTIFICATION PURSUANT TO SECTION 302</w:t>
      </w: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1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1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1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1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1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1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May 9, 2017</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240"/>
          </w:cols>
          <w:pgMar w:left="320" w:top="333"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4"/>
          <w:szCs w:val="14"/>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79"/>
        <w:spacing w:after="0" w:line="290" w:lineRule="auto"/>
        <w:rPr>
          <w:sz w:val="20"/>
          <w:szCs w:val="20"/>
          <w:color w:val="auto"/>
        </w:rPr>
      </w:pPr>
      <w:r>
        <w:rPr>
          <w:rFonts w:ascii="Arial" w:cs="Arial" w:eastAsia="Arial" w:hAnsi="Arial"/>
          <w:sz w:val="13"/>
          <w:szCs w:val="13"/>
          <w:color w:val="auto"/>
        </w:rPr>
        <w:t>In connection with this Report on Form 10-Q for the three and six months ended March 31, 2017,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17" w:lineRule="exact"/>
        <w:rPr>
          <w:sz w:val="20"/>
          <w:szCs w:val="20"/>
          <w:color w:val="auto"/>
        </w:rPr>
      </w:pPr>
    </w:p>
    <w:p>
      <w:pPr>
        <w:ind w:left="760" w:hanging="374"/>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May 9, 2017</w:t>
      </w:r>
    </w:p>
    <w:p>
      <w:pPr>
        <w:sectPr>
          <w:pgSz w:w="11900" w:h="16838" w:orient="portrait"/>
          <w:cols w:equalWidth="0" w:num="1">
            <w:col w:w="11240"/>
          </w:cols>
          <w:pgMar w:left="320" w:top="333"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4"/>
          <w:szCs w:val="14"/>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79"/>
        <w:spacing w:after="0" w:line="253" w:lineRule="auto"/>
        <w:rPr>
          <w:sz w:val="20"/>
          <w:szCs w:val="20"/>
          <w:color w:val="auto"/>
        </w:rPr>
      </w:pPr>
      <w:r>
        <w:rPr>
          <w:rFonts w:ascii="Arial" w:cs="Arial" w:eastAsia="Arial" w:hAnsi="Arial"/>
          <w:sz w:val="14"/>
          <w:szCs w:val="14"/>
          <w:color w:val="auto"/>
        </w:rPr>
        <w:t>In connection with this Report on Form 10-Q for the three and six months ended March 31, 2017,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39" w:lineRule="exact"/>
        <w:rPr>
          <w:sz w:val="20"/>
          <w:szCs w:val="20"/>
          <w:color w:val="auto"/>
        </w:rPr>
      </w:pPr>
    </w:p>
    <w:p>
      <w:pPr>
        <w:ind w:left="760" w:hanging="374"/>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May 9, 2017</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lowerLetter"/>
      <w:start w:val="5"/>
    </w:lvl>
    <w:lvl w:ilvl="1">
      <w:lvlJc w:val="left"/>
      <w:lvlText w:val="%2."/>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2020-05-05T12:10:33Z</dcterms:created>
  <dcterms:modified xsi:type="dcterms:W3CDTF">2020-05-05T12:10:33Z</dcterms:modified>
</cp:coreProperties>
</file>