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November 13, 2014</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4"/>
          <w:szCs w:val="24"/>
          <w:color w:val="auto"/>
        </w:rPr>
      </w:pPr>
    </w:p>
    <w:p>
      <w:pPr>
        <w:jc w:val="both"/>
        <w:ind w:left="40" w:right="20"/>
        <w:spacing w:after="0"/>
        <w:rPr>
          <w:sz w:val="20"/>
          <w:szCs w:val="20"/>
          <w:color w:val="auto"/>
        </w:rPr>
      </w:pPr>
      <w:r>
        <w:rPr>
          <w:rFonts w:ascii="Arial" w:cs="Arial" w:eastAsia="Arial" w:hAnsi="Arial"/>
          <w:sz w:val="22"/>
          <w:szCs w:val="22"/>
          <w:color w:val="auto"/>
        </w:rPr>
        <w:t>On November 13, 2014, PennantPark Floating Rate Capital Ltd. issued a press release announcing financial results for the fourth quarter and fiscal year ended September 30, 2014. A copy of the press release is furnished as Exhibit 99.1 to this report pursuant to Item 2.02 on Form 8-K and Regulation FD.</w:t>
      </w:r>
    </w:p>
    <w:p>
      <w:pPr>
        <w:spacing w:after="0" w:line="213" w:lineRule="exact"/>
        <w:rPr>
          <w:sz w:val="24"/>
          <w:szCs w:val="24"/>
          <w:color w:val="auto"/>
        </w:rPr>
      </w:pPr>
    </w:p>
    <w:p>
      <w:pPr>
        <w:ind w:left="40" w:right="20"/>
        <w:spacing w:after="0" w:line="249" w:lineRule="auto"/>
        <w:rPr>
          <w:sz w:val="20"/>
          <w:szCs w:val="20"/>
          <w:color w:val="auto"/>
        </w:rPr>
      </w:pPr>
      <w:r>
        <w:rPr>
          <w:rFonts w:ascii="Arial" w:cs="Arial" w:eastAsia="Arial" w:hAnsi="Arial"/>
          <w:sz w:val="21"/>
          <w:szCs w:val="21"/>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205"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80"/>
        <w:spacing w:after="0" w:line="274" w:lineRule="auto"/>
        <w:rPr>
          <w:sz w:val="20"/>
          <w:szCs w:val="20"/>
          <w:color w:val="auto"/>
        </w:rPr>
      </w:pPr>
      <w:r>
        <w:rPr>
          <w:rFonts w:ascii="Arial" w:cs="Arial" w:eastAsia="Arial" w:hAnsi="Arial"/>
          <w:sz w:val="19"/>
          <w:szCs w:val="19"/>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All forward-looking statements speak only as of the date of this report on Form 8-K.</w:t>
      </w:r>
    </w:p>
    <w:p>
      <w:pPr>
        <w:sectPr>
          <w:pgSz w:w="11900" w:h="16838" w:orient="portrait"/>
          <w:cols w:equalWidth="0" w:num="1">
            <w:col w:w="11200"/>
          </w:cols>
          <w:pgMar w:left="320" w:top="828" w:right="379" w:bottom="0" w:gutter="0" w:footer="0" w:header="0"/>
        </w:sectPr>
      </w:pPr>
    </w:p>
    <w:bookmarkStart w:id="1" w:name="page2"/>
    <w:bookmarkEnd w:id="1"/>
    <w:p>
      <w:pPr>
        <w:ind w:right="100"/>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49" w:lineRule="exact"/>
        <w:rPr>
          <w:sz w:val="20"/>
          <w:szCs w:val="20"/>
          <w:color w:val="auto"/>
        </w:rPr>
      </w:pPr>
    </w:p>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November 13,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980" w:type="dxa"/>
            <w:vAlign w:val="bottom"/>
          </w:tcPr>
          <w:p>
            <w:pPr>
              <w:spacing w:after="0"/>
              <w:rPr>
                <w:sz w:val="20"/>
                <w:szCs w:val="20"/>
                <w:color w:val="auto"/>
              </w:rPr>
            </w:pPr>
            <w:r>
              <w:rPr>
                <w:rFonts w:ascii="Arial" w:cs="Arial" w:eastAsia="Arial" w:hAnsi="Arial"/>
                <w:sz w:val="22"/>
                <w:szCs w:val="22"/>
                <w:color w:val="auto"/>
              </w:rPr>
              <w:t>Dated: November 13, 2014</w:t>
            </w:r>
          </w:p>
        </w:tc>
        <w:tc>
          <w:tcPr>
            <w:tcW w:w="6640" w:type="dxa"/>
            <w:vAlign w:val="bottom"/>
            <w:gridSpan w:val="3"/>
          </w:tcPr>
          <w:p>
            <w:pPr>
              <w:ind w:left="164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980" w:type="dxa"/>
            <w:vAlign w:val="bottom"/>
          </w:tcPr>
          <w:p>
            <w:pPr>
              <w:spacing w:after="0"/>
              <w:rPr>
                <w:sz w:val="24"/>
                <w:szCs w:val="24"/>
                <w:color w:val="auto"/>
              </w:rPr>
            </w:pPr>
          </w:p>
        </w:tc>
        <w:tc>
          <w:tcPr>
            <w:tcW w:w="6640" w:type="dxa"/>
            <w:vAlign w:val="bottom"/>
            <w:gridSpan w:val="3"/>
          </w:tcPr>
          <w:p>
            <w:pPr>
              <w:ind w:left="1640"/>
              <w:spacing w:after="0"/>
              <w:rPr>
                <w:sz w:val="20"/>
                <w:szCs w:val="20"/>
                <w:color w:val="auto"/>
              </w:rPr>
            </w:pPr>
            <w:r>
              <w:rPr>
                <w:rFonts w:ascii="Arial" w:cs="Arial" w:eastAsia="Arial" w:hAnsi="Arial"/>
                <w:sz w:val="22"/>
                <w:szCs w:val="22"/>
                <w:color w:val="auto"/>
              </w:rPr>
              <w:t>By: /s/ Aviv Efrat</w:t>
            </w:r>
          </w:p>
        </w:tc>
      </w:tr>
      <w:tr>
        <w:trPr>
          <w:trHeight w:val="20"/>
        </w:trPr>
        <w:tc>
          <w:tcPr>
            <w:tcW w:w="3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980" w:type="dxa"/>
            <w:vAlign w:val="bottom"/>
          </w:tcPr>
          <w:p>
            <w:pPr>
              <w:spacing w:after="0"/>
              <w:rPr>
                <w:sz w:val="21"/>
                <w:szCs w:val="21"/>
                <w:color w:val="auto"/>
              </w:rPr>
            </w:pPr>
          </w:p>
        </w:tc>
        <w:tc>
          <w:tcPr>
            <w:tcW w:w="6640" w:type="dxa"/>
            <w:vAlign w:val="bottom"/>
            <w:gridSpan w:val="3"/>
          </w:tcPr>
          <w:p>
            <w:pPr>
              <w:ind w:left="188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980" w:type="dxa"/>
            <w:vAlign w:val="bottom"/>
          </w:tcPr>
          <w:p>
            <w:pPr>
              <w:spacing w:after="0"/>
              <w:rPr>
                <w:sz w:val="23"/>
                <w:szCs w:val="23"/>
                <w:color w:val="auto"/>
              </w:rPr>
            </w:pPr>
          </w:p>
        </w:tc>
        <w:tc>
          <w:tcPr>
            <w:tcW w:w="6640" w:type="dxa"/>
            <w:vAlign w:val="bottom"/>
            <w:gridSpan w:val="3"/>
          </w:tcPr>
          <w:p>
            <w:pPr>
              <w:ind w:left="1900"/>
              <w:spacing w:after="0"/>
              <w:rPr>
                <w:sz w:val="20"/>
                <w:szCs w:val="20"/>
                <w:color w:val="auto"/>
              </w:rPr>
            </w:pPr>
            <w:r>
              <w:rPr>
                <w:rFonts w:ascii="Arial" w:cs="Arial" w:eastAsia="Arial" w:hAnsi="Arial"/>
                <w:sz w:val="22"/>
                <w:szCs w:val="22"/>
                <w:i w:val="1"/>
                <w:iCs w:val="1"/>
                <w:color w:val="auto"/>
              </w:rPr>
              <w:t>Chief Financial Officer and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32"/>
              <w:spacing w:after="0"/>
              <w:rPr>
                <w:sz w:val="20"/>
                <w:szCs w:val="20"/>
                <w:color w:val="auto"/>
              </w:rPr>
            </w:pPr>
            <w:r>
              <w:rPr>
                <w:rFonts w:ascii="Arial" w:cs="Arial" w:eastAsia="Arial" w:hAnsi="Arial"/>
                <w:sz w:val="22"/>
                <w:szCs w:val="22"/>
                <w:color w:val="auto"/>
                <w:w w:val="89"/>
              </w:rPr>
              <w:t>November 13, 2014</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8" w:right="459" w:bottom="1440" w:gutter="0" w:footer="0" w:header="0"/>
        </w:sectPr>
      </w:pPr>
    </w:p>
    <w:bookmarkStart w:id="2" w:name="page3"/>
    <w:bookmarkEnd w:id="2"/>
    <w:p>
      <w:pPr>
        <w:spacing w:after="0" w:line="84" w:lineRule="exact"/>
        <w:rPr>
          <w:sz w:val="20"/>
          <w:szCs w:val="20"/>
          <w:color w:val="auto"/>
        </w:rPr>
      </w:pPr>
    </w:p>
    <w:p>
      <w:pPr>
        <w:ind w:right="480"/>
        <w:spacing w:after="0" w:line="257" w:lineRule="auto"/>
        <w:rPr>
          <w:sz w:val="20"/>
          <w:szCs w:val="20"/>
          <w:color w:val="auto"/>
        </w:rPr>
      </w:pPr>
      <w:r>
        <w:rPr>
          <w:rFonts w:ascii="Arial" w:cs="Arial" w:eastAsia="Arial" w:hAnsi="Arial"/>
          <w:sz w:val="22"/>
          <w:szCs w:val="22"/>
          <w:b w:val="1"/>
          <w:bCs w:val="1"/>
          <w:color w:val="auto"/>
        </w:rPr>
        <w:t>PennantPark Floating Rate Capital Ltd. Announces Financial Results for the Fourth Quarter and Fiscal Year Ended September 30, 2014</w:t>
      </w:r>
    </w:p>
    <w:p>
      <w:pPr>
        <w:spacing w:after="0" w:line="167" w:lineRule="exact"/>
        <w:rPr>
          <w:sz w:val="20"/>
          <w:szCs w:val="20"/>
          <w:color w:val="auto"/>
        </w:rPr>
      </w:pPr>
    </w:p>
    <w:p>
      <w:pPr>
        <w:ind w:right="960"/>
        <w:spacing w:after="0" w:line="274" w:lineRule="auto"/>
        <w:rPr>
          <w:sz w:val="20"/>
          <w:szCs w:val="20"/>
          <w:color w:val="auto"/>
        </w:rPr>
      </w:pPr>
      <w:r>
        <w:rPr>
          <w:rFonts w:ascii="Arial" w:cs="Arial" w:eastAsia="Arial" w:hAnsi="Arial"/>
          <w:sz w:val="21"/>
          <w:szCs w:val="21"/>
          <w:color w:val="auto"/>
        </w:rPr>
        <w:t>NEW YORK, NY -- (Marketwired - November 13, 2014) - PennantPark Floating Rate Capital Ltd. (NASDAQ: PFLT) announced today financial results for the fourth quarter and fiscal year ended September 30, 2014.</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HIGHLIGHTS</w:t>
      </w:r>
    </w:p>
    <w:p>
      <w:pPr>
        <w:spacing w:after="0" w:line="238" w:lineRule="auto"/>
        <w:rPr>
          <w:sz w:val="20"/>
          <w:szCs w:val="20"/>
          <w:color w:val="auto"/>
        </w:rPr>
      </w:pPr>
      <w:r>
        <w:rPr>
          <w:rFonts w:ascii="Courier New" w:cs="Courier New" w:eastAsia="Courier New" w:hAnsi="Courier New"/>
          <w:sz w:val="18"/>
          <w:szCs w:val="18"/>
          <w:color w:val="auto"/>
        </w:rPr>
        <w:t>Quarter ended September 30, 2014</w:t>
      </w:r>
    </w:p>
    <w:p>
      <w:pPr>
        <w:spacing w:after="0" w:line="238" w:lineRule="auto"/>
        <w:rPr>
          <w:sz w:val="20"/>
          <w:szCs w:val="20"/>
          <w:color w:val="auto"/>
        </w:rPr>
      </w:pPr>
      <w:r>
        <w:rPr>
          <w:rFonts w:ascii="Courier New" w:cs="Courier New" w:eastAsia="Courier New" w:hAnsi="Courier New"/>
          <w:sz w:val="18"/>
          <w:szCs w:val="18"/>
          <w:color w:val="auto"/>
        </w:rPr>
        <w:t>($in millions,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0" w:type="dxa"/>
            <w:vAlign w:val="bottom"/>
          </w:tcPr>
          <w:p>
            <w:pPr>
              <w:spacing w:after="0"/>
              <w:rPr>
                <w:sz w:val="20"/>
                <w:szCs w:val="20"/>
                <w:color w:val="auto"/>
              </w:rPr>
            </w:pPr>
            <w:r>
              <w:rPr>
                <w:rFonts w:ascii="Courier New" w:cs="Courier New" w:eastAsia="Courier New" w:hAnsi="Courier New"/>
                <w:sz w:val="18"/>
                <w:szCs w:val="18"/>
                <w:color w:val="auto"/>
              </w:rPr>
              <w:t>Assets and Liabilities:</w:t>
            </w: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 portfolio</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348.4</w:t>
            </w: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214.5</w:t>
            </w: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14.40</w:t>
            </w: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Facility (cost $146.4)</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146.9</w:t>
            </w: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Yield on debt investments at quarter-end</w:t>
            </w:r>
          </w:p>
        </w:tc>
        <w:tc>
          <w:tcPr>
            <w:tcW w:w="3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8.2%</w:t>
            </w: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Operating Results:</w:t>
            </w:r>
          </w:p>
        </w:tc>
        <w:tc>
          <w:tcPr>
            <w:tcW w:w="320" w:type="dxa"/>
            <w:vAlign w:val="bottom"/>
          </w:tcPr>
          <w:p>
            <w:pPr>
              <w:spacing w:after="0"/>
              <w:rPr>
                <w:sz w:val="24"/>
                <w:szCs w:val="24"/>
                <w:color w:val="auto"/>
              </w:rPr>
            </w:pP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9"/>
              </w:rPr>
              <w:t>Year Ended</w:t>
            </w:r>
          </w:p>
        </w:tc>
        <w:tc>
          <w:tcPr>
            <w:tcW w:w="15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Quarter Ended</w:t>
            </w:r>
          </w:p>
        </w:tc>
      </w:tr>
      <w:tr>
        <w:trPr>
          <w:trHeight w:val="203"/>
        </w:trPr>
        <w:tc>
          <w:tcPr>
            <w:tcW w:w="48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16.6</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GAAP net investment income per share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1.12</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0.36</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Reversal of capital gain incentive fee</w:t>
            </w: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accrued but not payable per share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(0.04)</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Facility amendment costs per share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0.05</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Core net investment income per share (1)</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1.17</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0.32</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Distributions declared per share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1.08</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0.27</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Portfolio Activity:</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investments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248.1</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63.1</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 and repayments of investments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225.6</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78.8</w:t>
            </w:r>
          </w:p>
        </w:tc>
      </w:tr>
      <w:tr>
        <w:trPr>
          <w:trHeight w:val="405"/>
        </w:trPr>
        <w:tc>
          <w:tcPr>
            <w:tcW w:w="4800" w:type="dxa"/>
            <w:vAlign w:val="bottom"/>
          </w:tcPr>
          <w:p>
            <w:pPr>
              <w:ind w:left="220"/>
              <w:spacing w:after="0"/>
              <w:rPr>
                <w:sz w:val="20"/>
                <w:szCs w:val="20"/>
                <w:color w:val="auto"/>
              </w:rPr>
            </w:pPr>
            <w:r>
              <w:rPr>
                <w:rFonts w:ascii="Courier New" w:cs="Courier New" w:eastAsia="Courier New" w:hAnsi="Courier New"/>
                <w:sz w:val="18"/>
                <w:szCs w:val="18"/>
                <w:color w:val="auto"/>
              </w:rPr>
              <w:t>Number of new portfolio companies invested</w:t>
            </w:r>
          </w:p>
        </w:tc>
        <w:tc>
          <w:tcPr>
            <w:tcW w:w="320" w:type="dxa"/>
            <w:vAlign w:val="bottom"/>
          </w:tcPr>
          <w:p>
            <w:pPr>
              <w:spacing w:after="0"/>
              <w:rPr>
                <w:sz w:val="24"/>
                <w:szCs w:val="24"/>
                <w:color w:val="auto"/>
              </w:rPr>
            </w:pPr>
          </w:p>
        </w:tc>
        <w:tc>
          <w:tcPr>
            <w:tcW w:w="1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36</w:t>
            </w:r>
          </w:p>
        </w:tc>
        <w:tc>
          <w:tcPr>
            <w:tcW w:w="54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existing portfolio companies</w:t>
            </w: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2"/>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invested</w:t>
            </w:r>
          </w:p>
        </w:tc>
        <w:tc>
          <w:tcPr>
            <w:tcW w:w="3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w:t>
            </w:r>
          </w:p>
        </w:tc>
        <w:tc>
          <w:tcPr>
            <w:tcW w:w="54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portfolio companies</w:t>
            </w:r>
          </w:p>
        </w:tc>
        <w:tc>
          <w:tcPr>
            <w:tcW w:w="3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w:t>
            </w:r>
          </w:p>
        </w:tc>
        <w:tc>
          <w:tcPr>
            <w:tcW w:w="54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72</w:t>
            </w:r>
          </w:p>
        </w:tc>
      </w:tr>
    </w:tbl>
    <w:p>
      <w:pPr>
        <w:spacing w:after="0" w:line="207" w:lineRule="exact"/>
        <w:rPr>
          <w:sz w:val="20"/>
          <w:szCs w:val="20"/>
          <w:color w:val="auto"/>
        </w:rPr>
      </w:pPr>
    </w:p>
    <w:p>
      <w:pPr>
        <w:ind w:left="420" w:right="3220" w:hanging="412"/>
        <w:spacing w:after="0" w:line="237"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Core net investment income is a non-GAAP financial measure. The Company believes that core net investment income provides useful information to investors and management because it reflects the Company's financial performance excluding both the charges related to incentive fee on net unrealized gains accrued under GAAP but not payable unless such net unrealized gains are realized and the costs associated with amending our senior secured revolving credit facility, or the Credit Facility. The presentation of this additional information is not meant to be considered in isolation or as a substitute for financial results prepared in accordance with GAAP.</w:t>
      </w: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NOVEMBER 14, 2014</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PennantPark Floating Rate Capital Ltd. ("we," "our," "us" or "Company") will host a conference call at 10:00 a.m. (Eastern Time) on Friday, November 14, 2014 to discuss its financial results. All interested parties are welcome to participate. You can access the conference call by dialing (888) 378-0320 approximately 5-10 minutes prior to the call. International callers should dial (719)</w:t>
      </w:r>
    </w:p>
    <w:p>
      <w:pPr>
        <w:spacing w:after="0" w:line="1" w:lineRule="exact"/>
        <w:rPr>
          <w:sz w:val="20"/>
          <w:szCs w:val="20"/>
          <w:color w:val="auto"/>
        </w:rPr>
      </w:pPr>
    </w:p>
    <w:p>
      <w:pPr>
        <w:jc w:val="both"/>
        <w:ind w:right="280"/>
        <w:spacing w:after="0" w:line="234" w:lineRule="auto"/>
        <w:rPr>
          <w:sz w:val="20"/>
          <w:szCs w:val="20"/>
          <w:color w:val="auto"/>
        </w:rPr>
      </w:pPr>
      <w:r>
        <w:rPr>
          <w:rFonts w:ascii="Arial" w:cs="Arial" w:eastAsia="Arial" w:hAnsi="Arial"/>
          <w:sz w:val="22"/>
          <w:szCs w:val="22"/>
          <w:color w:val="auto"/>
        </w:rPr>
        <w:t>325-2393. All callers should reference PennantPark Floating Rate Capital Ltd. An archived replay of the call will be available through November 28, 2014 by calling (888) 203-1112. International callers please dial (719) 457-0820. For all phone replays, please reference conference ID #1113253.</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As of September 30, 2014, our portfolio totaled $348.4 million and consisted of $302.5 million of senior secured loans, $36.5 million of second lien secured debt and $9.4 million of subordinated debt, preferred and common equity. Our debt portfolio consisted of 95% variable-rate investments (including 92% with a London Interbank Offered Rate, or LIBOR, or prime floor) and 5% fixed-rate investments. As of September 30, 2014, we had one non-accrual debt investment, representing 0.6% of our overall portfolio on a cost basis. Overall, the portfolio had unrealized appreciation of $0.1 million. Our overall portfolio consisted of 72 companies with an average investment size of $4.8 million, had a weighted average yield on debt investments of 8.2%, and was invested 87% in senior secured loans, 10% in second lien secured debt and 3% in subordinated debt, preferred and common equity.</w:t>
      </w:r>
    </w:p>
    <w:p>
      <w:pPr>
        <w:spacing w:after="0" w:line="187" w:lineRule="exact"/>
        <w:rPr>
          <w:sz w:val="20"/>
          <w:szCs w:val="20"/>
          <w:color w:val="auto"/>
        </w:rPr>
      </w:pPr>
    </w:p>
    <w:p>
      <w:pPr>
        <w:ind w:right="360"/>
        <w:spacing w:after="0" w:line="279" w:lineRule="auto"/>
        <w:rPr>
          <w:sz w:val="20"/>
          <w:szCs w:val="20"/>
          <w:color w:val="auto"/>
        </w:rPr>
      </w:pPr>
      <w:r>
        <w:rPr>
          <w:rFonts w:ascii="Arial" w:cs="Arial" w:eastAsia="Arial" w:hAnsi="Arial"/>
          <w:sz w:val="19"/>
          <w:szCs w:val="19"/>
          <w:color w:val="auto"/>
        </w:rPr>
        <w:t>As of September 30, 2013, our portfolio totaled $317.8 million and consisted of $281.0 million of senior secured loans, $27.5 million of second lien secured debt and $9.3 million of subordinated debt, preferred and common equity. Our debt portfolio consisted of 92% variable-rate investments (including 89% with a LIBOR or prime floor) and 8% fixed-rate investments. Overall, the portfolio had net unrealized depreciation of $1.5 million. Our overall portfolio consisted of 83 companies with an average investment size of $3.8 million, had a weighted average yield on debt investments of 8.1%, and was invested 88% in senior secured loans, 9% in second lien secured debt and 3% in subordinated debt, preferred and common equity.</w:t>
      </w:r>
    </w:p>
    <w:p>
      <w:pPr>
        <w:sectPr>
          <w:pgSz w:w="11900" w:h="16922" w:orient="portrait"/>
          <w:cols w:equalWidth="0" w:num="1">
            <w:col w:w="11240"/>
          </w:cols>
          <w:pgMar w:left="320" w:top="111" w:right="339" w:bottom="0" w:gutter="0" w:footer="0" w:header="0"/>
        </w:sectPr>
      </w:pPr>
    </w:p>
    <w:bookmarkStart w:id="3" w:name="page4"/>
    <w:bookmarkEnd w:id="3"/>
    <w:p>
      <w:pPr>
        <w:ind w:right="140"/>
        <w:spacing w:after="0" w:line="249" w:lineRule="auto"/>
        <w:rPr>
          <w:sz w:val="20"/>
          <w:szCs w:val="20"/>
          <w:color w:val="auto"/>
        </w:rPr>
      </w:pPr>
      <w:r>
        <w:rPr>
          <w:rFonts w:ascii="Arial" w:cs="Arial" w:eastAsia="Arial" w:hAnsi="Arial"/>
          <w:sz w:val="21"/>
          <w:szCs w:val="21"/>
          <w:color w:val="auto"/>
        </w:rPr>
        <w:t>For the three months ended September 30, 2014, we invested $63.1 million in seven new and eight existing portfolio companies with a weighted average yield on debt investments of 9.3%. Sales and repayments of investments for the three months ended September 30, 2014 totaled $78.8 million. This compares to the three months ended September 30, 2013, in which we invested $118.2 million in 21 new and eight existing portfolio companies with a weighted average yield on debt investments of 7.8%. Sales and repayments of investments totaled $54.3 million for the same period.</w:t>
      </w:r>
    </w:p>
    <w:p>
      <w:pPr>
        <w:spacing w:after="0" w:line="179"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For the fiscal year ended September 30, 2014, we invested $248.1 million of investments in 36 new and 33 existing portfolio companies with a weighted average yield on debt investments of 8.2%. Sales and repayments of investments for the year ended September 30, 2014 totaled $225.6 million. This compares to the fiscal year ended September 30, 2013, in which we invested $316.5 million issued by 75 new and 19 existing portfolio companies with a weighted average yield on debt investments of 7.9%. Sales and repayments of investments totaled $174.9 million for the same period.</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Set forth below are the results of operations for the three months and fiscal years ended September 30, 2014 and 2013.</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ind w:right="20"/>
        <w:spacing w:after="0"/>
        <w:rPr>
          <w:sz w:val="20"/>
          <w:szCs w:val="20"/>
          <w:color w:val="auto"/>
        </w:rPr>
      </w:pPr>
      <w:r>
        <w:rPr>
          <w:rFonts w:ascii="Arial" w:cs="Arial" w:eastAsia="Arial" w:hAnsi="Arial"/>
          <w:sz w:val="22"/>
          <w:szCs w:val="22"/>
          <w:color w:val="auto"/>
        </w:rPr>
        <w:t>Investment income for the three months ended September 30, 2014 and 2013 was $8.2 million and $6.1 million, respectively, and was attributable to $6.4 million and $5.2 million from senior secured loans, $1.3 million and $0.6 million from second lien secured debt and $0.5 million and $0.3 million from subordinated debt, respectively.</w:t>
      </w:r>
    </w:p>
    <w:p>
      <w:pPr>
        <w:spacing w:after="0" w:line="186"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Investment income for the years ended September 30, 2014 and 2013 was $30.4 million and $18.9 million, respectively, and was attributable to $24.5 million and $16.0 million from senior secured loans, $4.2 million and $1.6 million from second lien secured debt and $1.7 million and $1.3 million from subordinated debt, respectively. The increase in investment income over the prior year is primarily due to the growth of our portfolio.</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ind w:right="300"/>
        <w:spacing w:after="0" w:line="249" w:lineRule="auto"/>
        <w:rPr>
          <w:sz w:val="20"/>
          <w:szCs w:val="20"/>
          <w:color w:val="auto"/>
        </w:rPr>
      </w:pPr>
      <w:r>
        <w:rPr>
          <w:rFonts w:ascii="Arial" w:cs="Arial" w:eastAsia="Arial" w:hAnsi="Arial"/>
          <w:sz w:val="21"/>
          <w:szCs w:val="21"/>
          <w:color w:val="auto"/>
        </w:rPr>
        <w:t>Expenses for the three months ended September 30, 2014 and 2013 totaled $2.9 million and $2.5 million, respectively. Base management fee for the same periods totaled $0.9 million and $0.7 million, incentive fee totaled $0.5 million and $0.9 million (including $(0.6) million and $0.4 million, respectively, on net unrealized gains accrued but not payable), Credit Facility expenses totaled $0.9 million and $0.4 million, general and administrative expenses totaled $0.5 million and $0.4 million and excise taxes were $0.1 million and less than $0.1 million, respectively.</w:t>
      </w:r>
    </w:p>
    <w:p>
      <w:pPr>
        <w:spacing w:after="0" w:line="178" w:lineRule="exact"/>
        <w:rPr>
          <w:sz w:val="20"/>
          <w:szCs w:val="20"/>
          <w:color w:val="auto"/>
        </w:rPr>
      </w:pPr>
    </w:p>
    <w:p>
      <w:pPr>
        <w:ind w:right="60"/>
        <w:spacing w:after="0" w:line="234" w:lineRule="auto"/>
        <w:rPr>
          <w:sz w:val="20"/>
          <w:szCs w:val="20"/>
          <w:color w:val="auto"/>
        </w:rPr>
      </w:pPr>
      <w:r>
        <w:rPr>
          <w:rFonts w:ascii="Arial" w:cs="Arial" w:eastAsia="Arial" w:hAnsi="Arial"/>
          <w:sz w:val="22"/>
          <w:szCs w:val="22"/>
          <w:color w:val="auto"/>
        </w:rPr>
        <w:t>Expenses for the years ended September 30, 2014 and 2013 totaled $13.7 million and $8.3 million, respectively. Base management fee for the same periods totaled $3.7 million and $2.2 million, incentive fee totaled $3.5 million and $1.9 million (including $0.1 million and $0.4 million, respectively, on net unrealized gains accrued but not payable), Credit Facility expenses totaled $4.2 million and $2.3 million (including $0.7 million and $0.4 million, respectively, of Credit Facility amendment expenses), general and administrative expenses totaled $1.8 million and $1.8 million and excise taxes were $0.5 million and $0.1 million, respectively. The increase in expenses was due to the growth of our portfolio and expanding our borrowing capacity under our Credit Facility.</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Net investment income totaled $5.3 million and $3.6 million, or $0.36 and $0.25 per share, for the three months ended September 30, 2014 and 2013, respectively. Core net investment income, a non-GAAP financial measure, totaled $4.8 million and $4.0 million, or $0.32 and $0.28 per share, for the three months ended September 30, 2014 and 2013, respectively.</w:t>
      </w:r>
    </w:p>
    <w:p>
      <w:pPr>
        <w:spacing w:after="0" w:line="134"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Net investment income totaled $16.6 million and $10.5 million, or $1.12 and $1.10 per share, for the years ended September 30, 2014 and 2013, respectively. Core net investment income, a non-GAAP financial measure, totaled $17.4 million and $11.3 million, or $1.17 and $1.18 per share, for the same periods. The increase in net investment income was due to a larger portfolio, which was partially offset by Credit Facility amendment costs.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ind w:right="240"/>
        <w:spacing w:after="0" w:line="328" w:lineRule="auto"/>
        <w:rPr>
          <w:sz w:val="20"/>
          <w:szCs w:val="20"/>
          <w:color w:val="auto"/>
        </w:rPr>
      </w:pPr>
      <w:r>
        <w:rPr>
          <w:rFonts w:ascii="Arial" w:cs="Arial" w:eastAsia="Arial" w:hAnsi="Arial"/>
          <w:sz w:val="19"/>
          <w:szCs w:val="19"/>
          <w:color w:val="auto"/>
        </w:rPr>
        <w:t>Sales and repayments of investments for the three months ended September 30, 2014 and 2013 totaled $78.8 million and $54.3 million, respectively. Net realized gains totaled $1.1 million and $0.4 million for the same periods, respectively.</w:t>
      </w:r>
    </w:p>
    <w:p>
      <w:pPr>
        <w:spacing w:after="0" w:line="105" w:lineRule="exact"/>
        <w:rPr>
          <w:sz w:val="20"/>
          <w:szCs w:val="20"/>
          <w:color w:val="auto"/>
        </w:rPr>
      </w:pPr>
    </w:p>
    <w:p>
      <w:pPr>
        <w:ind w:right="260"/>
        <w:spacing w:after="0"/>
        <w:rPr>
          <w:sz w:val="20"/>
          <w:szCs w:val="20"/>
          <w:color w:val="auto"/>
        </w:rPr>
      </w:pPr>
      <w:r>
        <w:rPr>
          <w:rFonts w:ascii="Arial" w:cs="Arial" w:eastAsia="Arial" w:hAnsi="Arial"/>
          <w:sz w:val="22"/>
          <w:szCs w:val="22"/>
          <w:color w:val="auto"/>
        </w:rPr>
        <w:t>Sales and repayments of investments for the years ended September 30, 2014 and 2013 totaled $225.6 million and $174.9 million, respectively. Net realized gains totaled $2.9 million and $3.6 million, respectively. The decrease in realized gains over the prior year was driven by changes in market conditions of our investments.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and Credit Facility</w:t>
      </w:r>
    </w:p>
    <w:p>
      <w:pPr>
        <w:spacing w:after="0" w:line="212"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For the three months ended September 30, 2014 and 2013, we reported unrealized (depreciation) appreciation on investments of $(3.6) million and $1.5 million, respectively. Net change in unrealized appreciation on our Credit Facility totaled $0.5 million and zero, respectively, for the same periods.</w:t>
      </w:r>
    </w:p>
    <w:p>
      <w:pPr>
        <w:sectPr>
          <w:pgSz w:w="11900" w:h="16838" w:orient="portrait"/>
          <w:cols w:equalWidth="0" w:num="1">
            <w:col w:w="11220"/>
          </w:cols>
          <w:pgMar w:left="320" w:top="118" w:right="359" w:bottom="60" w:gutter="0" w:footer="0" w:header="0"/>
        </w:sectPr>
      </w:pPr>
    </w:p>
    <w:bookmarkStart w:id="4" w:name="page5"/>
    <w:bookmarkEnd w:id="4"/>
    <w:p>
      <w:pPr>
        <w:ind w:right="100"/>
        <w:spacing w:after="0" w:line="238" w:lineRule="auto"/>
        <w:rPr>
          <w:sz w:val="20"/>
          <w:szCs w:val="20"/>
          <w:color w:val="auto"/>
        </w:rPr>
      </w:pPr>
      <w:r>
        <w:rPr>
          <w:rFonts w:ascii="Arial" w:cs="Arial" w:eastAsia="Arial" w:hAnsi="Arial"/>
          <w:sz w:val="22"/>
          <w:szCs w:val="22"/>
          <w:color w:val="auto"/>
        </w:rPr>
        <w:t>For the years ended September 30, 2014 and 2013, we reported unrealized appreciation (depreciation) on investments of $1.6 million and $(1.7) million, respectively. As of September 30, 2014 and 2013, net unrealized appreciation (depreciation) on investments totaled $0.1 million and $(1.5) million, respectively. The change compared to prior year was the result of the overall variation in the leveraged finance markets.</w:t>
      </w:r>
    </w:p>
    <w:p>
      <w:pPr>
        <w:spacing w:after="0" w:line="185"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For the years ended September 30, 2014 and 2013, our Credit Facility had a change in unrealized appreciation of $0.5 million and $0.4 million, respectively. As of September 30, 2014 and 2013, net unrealized appreciation on our Credit Facility totaled $0.5 million and zero, respectively. The change compared to prior year was due to changes in the capital markets.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2" w:lineRule="exact"/>
        <w:rPr>
          <w:sz w:val="20"/>
          <w:szCs w:val="20"/>
          <w:color w:val="auto"/>
        </w:rPr>
      </w:pPr>
    </w:p>
    <w:p>
      <w:pPr>
        <w:ind w:right="440"/>
        <w:spacing w:after="0" w:line="250" w:lineRule="auto"/>
        <w:rPr>
          <w:sz w:val="20"/>
          <w:szCs w:val="20"/>
          <w:color w:val="auto"/>
        </w:rPr>
      </w:pPr>
      <w:r>
        <w:rPr>
          <w:rFonts w:ascii="Arial" w:cs="Arial" w:eastAsia="Arial" w:hAnsi="Arial"/>
          <w:sz w:val="22"/>
          <w:szCs w:val="22"/>
          <w:color w:val="auto"/>
        </w:rPr>
        <w:t>Net change in net assets resulting from operations totaled $2.3 million and $5.4 million, or $0.15 and $0.39 per share, for the three months ended September 30, 2014 and 2013, respectively.</w:t>
      </w:r>
    </w:p>
    <w:p>
      <w:pPr>
        <w:spacing w:after="0" w:line="175" w:lineRule="exact"/>
        <w:rPr>
          <w:sz w:val="20"/>
          <w:szCs w:val="20"/>
          <w:color w:val="auto"/>
        </w:rPr>
      </w:pPr>
    </w:p>
    <w:p>
      <w:pPr>
        <w:jc w:val="both"/>
        <w:ind w:right="220"/>
        <w:spacing w:after="0"/>
        <w:rPr>
          <w:sz w:val="20"/>
          <w:szCs w:val="20"/>
          <w:color w:val="auto"/>
        </w:rPr>
      </w:pPr>
      <w:r>
        <w:rPr>
          <w:rFonts w:ascii="Arial" w:cs="Arial" w:eastAsia="Arial" w:hAnsi="Arial"/>
          <w:sz w:val="22"/>
          <w:szCs w:val="22"/>
          <w:color w:val="auto"/>
        </w:rPr>
        <w:t>Net change in net assets resulting from operations totaled $20.5 million and $12.0 million, or $1.38 and $1.25 per share, for the fiscal years ended September 30, 2014 and 2013, respectively. We found attractive investment opportunities to grow net assets from operations.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87" w:lineRule="exact"/>
        <w:rPr>
          <w:sz w:val="20"/>
          <w:szCs w:val="20"/>
          <w:color w:val="auto"/>
        </w:rPr>
      </w:pPr>
    </w:p>
    <w:p>
      <w:pPr>
        <w:jc w:val="both"/>
        <w:ind w:right="660"/>
        <w:spacing w:after="0"/>
        <w:rPr>
          <w:sz w:val="20"/>
          <w:szCs w:val="20"/>
          <w:color w:val="auto"/>
        </w:rPr>
      </w:pPr>
      <w:r>
        <w:rPr>
          <w:rFonts w:ascii="Arial" w:cs="Arial" w:eastAsia="Arial" w:hAnsi="Arial"/>
          <w:sz w:val="22"/>
          <w:szCs w:val="22"/>
          <w:color w:val="auto"/>
        </w:rPr>
        <w:t>As of September 30, 2014 and 2013, we had $146.4 million and $99.6 million of outstanding borrowings under the Credit Facility, respectively, and carried an annual interest rate of 2.16% and 2.18%, respectively, excluding the 0.375% undrawn commitment fee.</w:t>
      </w:r>
    </w:p>
    <w:p>
      <w:pPr>
        <w:spacing w:after="0" w:line="186" w:lineRule="exact"/>
        <w:rPr>
          <w:sz w:val="20"/>
          <w:szCs w:val="20"/>
          <w:color w:val="auto"/>
        </w:rPr>
      </w:pPr>
    </w:p>
    <w:p>
      <w:pPr>
        <w:ind w:right="580"/>
        <w:spacing w:after="0" w:line="328" w:lineRule="auto"/>
        <w:rPr>
          <w:sz w:val="20"/>
          <w:szCs w:val="20"/>
          <w:color w:val="auto"/>
        </w:rPr>
      </w:pPr>
      <w:r>
        <w:rPr>
          <w:rFonts w:ascii="Arial" w:cs="Arial" w:eastAsia="Arial" w:hAnsi="Arial"/>
          <w:sz w:val="19"/>
          <w:szCs w:val="19"/>
          <w:color w:val="auto"/>
        </w:rPr>
        <w:t>The annualized weighted average cost of debt for the years ended September 30, 2014 and 2013, inclusive of the fee on the undrawn commitment on the Credit Facility but excluding amendment costs, was 2.35% and 2.59%, respectively.</w:t>
      </w:r>
    </w:p>
    <w:p>
      <w:pPr>
        <w:spacing w:after="0" w:line="105"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Our operating activities used cash of $22.2 million for the year ended September 30, 2014, and our financing activities provided cash of $30.8 million for the same period. Our operating activities used cash primarily for our investment activities and our financing activities provided cash primarily from net draws under the Credit Facility.</w:t>
      </w:r>
    </w:p>
    <w:p>
      <w:pPr>
        <w:spacing w:after="0" w:line="186" w:lineRule="exact"/>
        <w:rPr>
          <w:sz w:val="20"/>
          <w:szCs w:val="20"/>
          <w:color w:val="auto"/>
        </w:rPr>
      </w:pPr>
    </w:p>
    <w:p>
      <w:pPr>
        <w:jc w:val="both"/>
        <w:ind w:right="40"/>
        <w:spacing w:after="0"/>
        <w:rPr>
          <w:sz w:val="20"/>
          <w:szCs w:val="20"/>
          <w:color w:val="auto"/>
        </w:rPr>
      </w:pPr>
      <w:r>
        <w:rPr>
          <w:rFonts w:ascii="Arial" w:cs="Arial" w:eastAsia="Arial" w:hAnsi="Arial"/>
          <w:sz w:val="22"/>
          <w:szCs w:val="22"/>
          <w:color w:val="auto"/>
        </w:rPr>
        <w:t>Our operating activities used cash of $124.4 million for the year ended September 30, 2013, and our financing activities provided cash of $125.1 million for the same period. Our operating activities used cash primarily for net investing that was provided from public offerings and net draws under the Credit Facility.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ind w:right="40"/>
        <w:spacing w:after="0" w:line="246" w:lineRule="auto"/>
        <w:rPr>
          <w:sz w:val="20"/>
          <w:szCs w:val="20"/>
          <w:color w:val="auto"/>
        </w:rPr>
      </w:pPr>
      <w:r>
        <w:rPr>
          <w:rFonts w:ascii="Arial" w:cs="Arial" w:eastAsia="Arial" w:hAnsi="Arial"/>
          <w:sz w:val="21"/>
          <w:szCs w:val="21"/>
          <w:color w:val="auto"/>
        </w:rPr>
        <w:t>During the three months ended September 30, 2014 and 2013, we declared distributions of $0.27 and $0.26 per share, respectively, for total distributions of $4.0 million and $3.9 million, respectively. During the years ended September 30, 2014 and 2013, we declared distributions of $1.08 and $1.03 per share, respectively, for total distributions of $16.1 million and $10.0 million, respectively.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1099-DIV after the end of the calendar year and in our periodic reports filed with the Securities and Exchange Commission, or the SEC.</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The Company makes available on its website its report on Form 10-K filed with the SEC and stockholders may find the report on its website at www.pennantpark.com.</w:t>
      </w:r>
    </w:p>
    <w:p>
      <w:pPr>
        <w:spacing w:after="0" w:line="200" w:lineRule="exact"/>
        <w:rPr>
          <w:sz w:val="20"/>
          <w:szCs w:val="20"/>
          <w:color w:val="auto"/>
        </w:rPr>
      </w:pPr>
    </w:p>
    <w:p>
      <w:pPr>
        <w:spacing w:after="0" w:line="398"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8"/>
          <w:szCs w:val="18"/>
          <w:color w:val="auto"/>
        </w:rPr>
        <w:t>PENNANTPARK FLOATING RATE CAPITAL LTD. AND SUBSIDIARY</w:t>
      </w:r>
    </w:p>
    <w:p>
      <w:pPr>
        <w:jc w:val="center"/>
        <w:ind w:right="3320"/>
        <w:spacing w:after="0" w:line="238" w:lineRule="auto"/>
        <w:rPr>
          <w:sz w:val="20"/>
          <w:szCs w:val="20"/>
          <w:color w:val="auto"/>
        </w:rPr>
      </w:pPr>
      <w:r>
        <w:rPr>
          <w:rFonts w:ascii="Courier New" w:cs="Courier New" w:eastAsia="Courier New" w:hAnsi="Courier New"/>
          <w:sz w:val="18"/>
          <w:szCs w:val="18"/>
          <w:color w:val="auto"/>
        </w:rPr>
        <w:t>CONSOLIDATED STATEMENTS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0" w:type="dxa"/>
            <w:vAlign w:val="bottom"/>
          </w:tcPr>
          <w:p>
            <w:pPr>
              <w:spacing w:after="0"/>
              <w:rPr>
                <w:sz w:val="17"/>
                <w:szCs w:val="17"/>
                <w:color w:val="auto"/>
              </w:rPr>
            </w:pPr>
          </w:p>
        </w:tc>
        <w:tc>
          <w:tcPr>
            <w:tcW w:w="16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September 30,</w:t>
            </w:r>
          </w:p>
        </w:tc>
        <w:tc>
          <w:tcPr>
            <w:tcW w:w="1460" w:type="dxa"/>
            <w:vAlign w:val="bottom"/>
          </w:tcPr>
          <w:p>
            <w:pPr>
              <w:jc w:val="right"/>
              <w:spacing w:after="0"/>
              <w:rPr>
                <w:sz w:val="20"/>
                <w:szCs w:val="20"/>
                <w:color w:val="auto"/>
              </w:rPr>
            </w:pPr>
            <w:r>
              <w:rPr>
                <w:rFonts w:ascii="Courier New" w:cs="Courier New" w:eastAsia="Courier New" w:hAnsi="Courier New"/>
                <w:sz w:val="18"/>
                <w:szCs w:val="18"/>
                <w:color w:val="auto"/>
              </w:rPr>
              <w:t>September 30,</w:t>
            </w:r>
          </w:p>
        </w:tc>
      </w:tr>
      <w:tr>
        <w:trPr>
          <w:trHeight w:val="203"/>
        </w:trPr>
        <w:tc>
          <w:tcPr>
            <w:tcW w:w="4800" w:type="dxa"/>
            <w:vAlign w:val="bottom"/>
          </w:tcPr>
          <w:p>
            <w:pPr>
              <w:spacing w:after="0"/>
              <w:rPr>
                <w:sz w:val="17"/>
                <w:szCs w:val="17"/>
                <w:color w:val="auto"/>
              </w:rPr>
            </w:pP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2014</w:t>
            </w:r>
          </w:p>
        </w:tc>
        <w:tc>
          <w:tcPr>
            <w:tcW w:w="14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2013</w:t>
            </w:r>
          </w:p>
        </w:tc>
      </w:tr>
      <w:tr>
        <w:trPr>
          <w:trHeight w:val="202"/>
        </w:trPr>
        <w:tc>
          <w:tcPr>
            <w:tcW w:w="4800" w:type="dxa"/>
            <w:vAlign w:val="bottom"/>
          </w:tcPr>
          <w:p>
            <w:pPr>
              <w:spacing w:after="0"/>
              <w:rPr>
                <w:sz w:val="17"/>
                <w:szCs w:val="17"/>
                <w:color w:val="auto"/>
              </w:rPr>
            </w:pP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6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at fair value</w:t>
            </w:r>
          </w:p>
        </w:tc>
        <w:tc>
          <w:tcPr>
            <w:tcW w:w="16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non-affiliated investments</w:t>
            </w:r>
          </w:p>
        </w:tc>
        <w:tc>
          <w:tcPr>
            <w:tcW w:w="16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 -- $348,354,295 and $319,283,468,</w:t>
            </w:r>
          </w:p>
        </w:tc>
        <w:tc>
          <w:tcPr>
            <w:tcW w:w="16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2"/>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$ 348,428,492</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$ 317,803,894</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equivalents</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13,113,817</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4,578,249</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receivable</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1,773,870</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2,140,802</w:t>
            </w:r>
          </w:p>
        </w:tc>
      </w:tr>
    </w:tbl>
    <w:p>
      <w:pPr>
        <w:sectPr>
          <w:pgSz w:w="11900" w:h="16838" w:orient="portrait"/>
          <w:cols w:equalWidth="0" w:num="1">
            <w:col w:w="11240"/>
          </w:cols>
          <w:pgMar w:left="320" w:top="118" w:right="3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spacing w:after="0"/>
              <w:rPr>
                <w:sz w:val="20"/>
                <w:szCs w:val="20"/>
                <w:color w:val="auto"/>
              </w:rPr>
            </w:pPr>
            <w:r>
              <w:rPr>
                <w:rFonts w:ascii="Courier New" w:cs="Courier New" w:eastAsia="Courier New" w:hAnsi="Courier New"/>
                <w:sz w:val="18"/>
                <w:szCs w:val="18"/>
                <w:color w:val="auto"/>
              </w:rPr>
              <w:t>Receivable for investments sold</w:t>
            </w:r>
          </w:p>
        </w:tc>
        <w:tc>
          <w:tcPr>
            <w:tcW w:w="220" w:type="dxa"/>
            <w:vAlign w:val="bottom"/>
          </w:tcPr>
          <w:p>
            <w:pPr>
              <w:spacing w:after="0"/>
              <w:rPr>
                <w:sz w:val="17"/>
                <w:szCs w:val="17"/>
                <w:color w:val="auto"/>
              </w:rPr>
            </w:pPr>
          </w:p>
        </w:tc>
        <w:tc>
          <w:tcPr>
            <w:tcW w:w="1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9,001,938</w:t>
            </w:r>
          </w:p>
        </w:tc>
        <w:tc>
          <w:tcPr>
            <w:tcW w:w="260" w:type="dxa"/>
            <w:vAlign w:val="bottom"/>
          </w:tcPr>
          <w:p>
            <w:pPr>
              <w:spacing w:after="0"/>
              <w:rPr>
                <w:sz w:val="17"/>
                <w:szCs w:val="17"/>
                <w:color w:val="auto"/>
              </w:rPr>
            </w:pP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3,659,185</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556,359</w:t>
            </w:r>
          </w:p>
        </w:tc>
        <w:tc>
          <w:tcPr>
            <w:tcW w:w="2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619,737</w:t>
            </w:r>
          </w:p>
        </w:tc>
      </w:tr>
      <w:tr>
        <w:trPr>
          <w:trHeight w:val="203"/>
        </w:trPr>
        <w:tc>
          <w:tcPr>
            <w:tcW w:w="49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assets</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372,874,476</w:t>
            </w:r>
          </w:p>
        </w:tc>
        <w:tc>
          <w:tcPr>
            <w:tcW w:w="2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328,801,867</w:t>
            </w:r>
          </w:p>
        </w:tc>
      </w:tr>
      <w:tr>
        <w:trPr>
          <w:trHeight w:val="203"/>
        </w:trPr>
        <w:tc>
          <w:tcPr>
            <w:tcW w:w="49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payable</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1,340,825</w:t>
            </w:r>
          </w:p>
        </w:tc>
        <w:tc>
          <w:tcPr>
            <w:tcW w:w="2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1,303,580</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 for investments purchased</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3,162,000</w:t>
            </w:r>
          </w:p>
        </w:tc>
        <w:tc>
          <w:tcPr>
            <w:tcW w:w="2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14,021,588</w:t>
            </w:r>
          </w:p>
        </w:tc>
      </w:tr>
      <w:tr>
        <w:trPr>
          <w:trHeight w:val="202"/>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Unfunded investments</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2,705,882</w:t>
            </w:r>
          </w:p>
        </w:tc>
        <w:tc>
          <w:tcPr>
            <w:tcW w:w="2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934,555</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 Facility payable (cost -- $146,400,000</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$99,600,000, respectively)</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146,949,000</w:t>
            </w:r>
          </w:p>
        </w:tc>
        <w:tc>
          <w:tcPr>
            <w:tcW w:w="2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99,600,000</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payable on Credit Facility</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284,906</w:t>
            </w:r>
          </w:p>
        </w:tc>
        <w:tc>
          <w:tcPr>
            <w:tcW w:w="2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189,934</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fee payable</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914,978</w:t>
            </w:r>
          </w:p>
        </w:tc>
        <w:tc>
          <w:tcPr>
            <w:tcW w:w="2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731,635</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Performance-based incentive fee payable</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2,180,604</w:t>
            </w:r>
          </w:p>
        </w:tc>
        <w:tc>
          <w:tcPr>
            <w:tcW w:w="2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1,164,090</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other expenses</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808,571</w:t>
            </w:r>
          </w:p>
        </w:tc>
        <w:tc>
          <w:tcPr>
            <w:tcW w:w="2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790,091</w:t>
            </w:r>
          </w:p>
        </w:tc>
      </w:tr>
      <w:tr>
        <w:trPr>
          <w:trHeight w:val="203"/>
        </w:trPr>
        <w:tc>
          <w:tcPr>
            <w:tcW w:w="49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158,346,766</w:t>
            </w:r>
          </w:p>
        </w:tc>
        <w:tc>
          <w:tcPr>
            <w:tcW w:w="2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118,735,473</w:t>
            </w:r>
          </w:p>
        </w:tc>
      </w:tr>
      <w:tr>
        <w:trPr>
          <w:trHeight w:val="203"/>
        </w:trPr>
        <w:tc>
          <w:tcPr>
            <w:tcW w:w="49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 and contingencies</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14,898,056 shares issued and</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outstanding. Par value $0.001 per share and</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100,000,000 shares authorized.</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14,898</w:t>
            </w:r>
          </w:p>
        </w:tc>
        <w:tc>
          <w:tcPr>
            <w:tcW w:w="2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14,898</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Paid-in capital in excess of par value</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207,226,615</w:t>
            </w:r>
          </w:p>
        </w:tc>
        <w:tc>
          <w:tcPr>
            <w:tcW w:w="2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207,481,368</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Undistributed net investment income</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4,878,091</w:t>
            </w:r>
          </w:p>
        </w:tc>
        <w:tc>
          <w:tcPr>
            <w:tcW w:w="2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474,766</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net realized gain on investments</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2,882,909</w:t>
            </w:r>
          </w:p>
        </w:tc>
        <w:tc>
          <w:tcPr>
            <w:tcW w:w="2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3,574,936</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unrealized appreciation (depreciation) on</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74,197</w:t>
            </w:r>
          </w:p>
        </w:tc>
        <w:tc>
          <w:tcPr>
            <w:tcW w:w="26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(1,479,574)</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unrealized appreciation on Credit Facility</w:t>
            </w:r>
          </w:p>
        </w:tc>
        <w:tc>
          <w:tcPr>
            <w:tcW w:w="22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(549,000)</w:t>
            </w:r>
          </w:p>
        </w:tc>
        <w:tc>
          <w:tcPr>
            <w:tcW w:w="2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net assets</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$ 214,527,710</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$ 210,066,394</w:t>
            </w:r>
          </w:p>
        </w:tc>
      </w:tr>
      <w:tr>
        <w:trPr>
          <w:trHeight w:val="203"/>
        </w:trPr>
        <w:tc>
          <w:tcPr>
            <w:tcW w:w="49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 and net assets</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$ 372,874,476</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$ 328,801,867</w:t>
            </w:r>
          </w:p>
        </w:tc>
      </w:tr>
      <w:tr>
        <w:trPr>
          <w:trHeight w:val="203"/>
        </w:trPr>
        <w:tc>
          <w:tcPr>
            <w:tcW w:w="49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14.40</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14.10</w:t>
            </w:r>
          </w:p>
        </w:tc>
      </w:tr>
      <w:tr>
        <w:trPr>
          <w:trHeight w:val="203"/>
        </w:trPr>
        <w:tc>
          <w:tcPr>
            <w:tcW w:w="49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810"/>
        </w:trPr>
        <w:tc>
          <w:tcPr>
            <w:tcW w:w="6740" w:type="dxa"/>
            <w:vAlign w:val="bottom"/>
            <w:gridSpan w:val="4"/>
          </w:tcPr>
          <w:p>
            <w:pPr>
              <w:ind w:left="1160"/>
              <w:spacing w:after="0"/>
              <w:rPr>
                <w:sz w:val="20"/>
                <w:szCs w:val="20"/>
                <w:color w:val="auto"/>
              </w:rPr>
            </w:pPr>
            <w:r>
              <w:rPr>
                <w:rFonts w:ascii="Courier New" w:cs="Courier New" w:eastAsia="Courier New" w:hAnsi="Courier New"/>
                <w:sz w:val="18"/>
                <w:szCs w:val="18"/>
                <w:color w:val="auto"/>
                <w:w w:val="97"/>
              </w:rPr>
              <w:t>PENNANTPARK FLOATING RATE CAPITAL LTD. AND SUBSIDIARY</w:t>
            </w:r>
          </w:p>
        </w:tc>
        <w:tc>
          <w:tcPr>
            <w:tcW w:w="1280" w:type="dxa"/>
            <w:vAlign w:val="bottom"/>
          </w:tcPr>
          <w:p>
            <w:pPr>
              <w:spacing w:after="0"/>
              <w:rPr>
                <w:sz w:val="24"/>
                <w:szCs w:val="24"/>
                <w:color w:val="auto"/>
              </w:rPr>
            </w:pPr>
          </w:p>
        </w:tc>
      </w:tr>
      <w:tr>
        <w:trPr>
          <w:trHeight w:val="203"/>
        </w:trPr>
        <w:tc>
          <w:tcPr>
            <w:tcW w:w="6480" w:type="dxa"/>
            <w:vAlign w:val="bottom"/>
            <w:gridSpan w:val="3"/>
          </w:tcPr>
          <w:p>
            <w:pPr>
              <w:jc w:val="right"/>
              <w:ind w:right="492"/>
              <w:spacing w:after="0" w:line="203" w:lineRule="exact"/>
              <w:rPr>
                <w:sz w:val="20"/>
                <w:szCs w:val="20"/>
                <w:color w:val="auto"/>
              </w:rPr>
            </w:pPr>
            <w:r>
              <w:rPr>
                <w:rFonts w:ascii="Courier New" w:cs="Courier New" w:eastAsia="Courier New" w:hAnsi="Courier New"/>
                <w:sz w:val="18"/>
                <w:szCs w:val="18"/>
                <w:color w:val="auto"/>
              </w:rPr>
              <w:t>CONSOLIDATED STATEMENTS OF OPERATIONS</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4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00" w:type="dxa"/>
            <w:vAlign w:val="bottom"/>
            <w:gridSpan w:val="3"/>
          </w:tcPr>
          <w:p>
            <w:pPr>
              <w:jc w:val="right"/>
              <w:ind w:right="132"/>
              <w:spacing w:after="0"/>
              <w:rPr>
                <w:sz w:val="20"/>
                <w:szCs w:val="20"/>
                <w:color w:val="auto"/>
              </w:rPr>
            </w:pPr>
            <w:r>
              <w:rPr>
                <w:rFonts w:ascii="Courier New" w:cs="Courier New" w:eastAsia="Courier New" w:hAnsi="Courier New"/>
                <w:sz w:val="18"/>
                <w:szCs w:val="18"/>
                <w:color w:val="auto"/>
                <w:w w:val="98"/>
              </w:rPr>
              <w:t>Years Ended September 30,</w:t>
            </w:r>
          </w:p>
        </w:tc>
      </w:tr>
      <w:tr>
        <w:trPr>
          <w:trHeight w:val="203"/>
        </w:trPr>
        <w:tc>
          <w:tcPr>
            <w:tcW w:w="4900" w:type="dxa"/>
            <w:vAlign w:val="bottom"/>
          </w:tcPr>
          <w:p>
            <w:pPr>
              <w:spacing w:after="0"/>
              <w:rPr>
                <w:sz w:val="17"/>
                <w:szCs w:val="17"/>
                <w:color w:val="auto"/>
              </w:rPr>
            </w:pPr>
          </w:p>
        </w:tc>
        <w:tc>
          <w:tcPr>
            <w:tcW w:w="312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2014</w:t>
            </w:r>
          </w:p>
        </w:tc>
        <w:tc>
          <w:tcPr>
            <w:tcW w:w="260" w:type="dxa"/>
            <w:vAlign w:val="bottom"/>
          </w:tcPr>
          <w:p>
            <w:pPr>
              <w:spacing w:after="0"/>
              <w:rPr>
                <w:sz w:val="17"/>
                <w:szCs w:val="17"/>
                <w:color w:val="auto"/>
              </w:rPr>
            </w:pP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2013</w:t>
            </w:r>
          </w:p>
        </w:tc>
      </w:tr>
      <w:tr>
        <w:trPr>
          <w:trHeight w:val="203"/>
        </w:trPr>
        <w:tc>
          <w:tcPr>
            <w:tcW w:w="49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income:</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non-controlled, non-affiliated</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2"/>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29,256,441</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17,635,914</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1,100,391</w:t>
            </w:r>
          </w:p>
        </w:tc>
        <w:tc>
          <w:tcPr>
            <w:tcW w:w="2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1,231,654</w:t>
            </w:r>
          </w:p>
        </w:tc>
      </w:tr>
      <w:tr>
        <w:trPr>
          <w:trHeight w:val="203"/>
        </w:trPr>
        <w:tc>
          <w:tcPr>
            <w:tcW w:w="49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investment income</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30,356,832</w:t>
            </w:r>
          </w:p>
        </w:tc>
        <w:tc>
          <w:tcPr>
            <w:tcW w:w="2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18,867,568</w:t>
            </w:r>
          </w:p>
        </w:tc>
      </w:tr>
      <w:tr>
        <w:trPr>
          <w:trHeight w:val="203"/>
        </w:trPr>
        <w:tc>
          <w:tcPr>
            <w:tcW w:w="49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Base management fee</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3,702,826</w:t>
            </w:r>
          </w:p>
        </w:tc>
        <w:tc>
          <w:tcPr>
            <w:tcW w:w="2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2,196,038</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Performance-based incentive fee</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3,464,344</w:t>
            </w:r>
          </w:p>
        </w:tc>
        <w:tc>
          <w:tcPr>
            <w:tcW w:w="2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1,891,302</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Interest and expenses on the Credit Facility</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3,471,347</w:t>
            </w:r>
          </w:p>
        </w:tc>
        <w:tc>
          <w:tcPr>
            <w:tcW w:w="2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1,853,958</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 services expenses</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879,000</w:t>
            </w:r>
          </w:p>
        </w:tc>
        <w:tc>
          <w:tcPr>
            <w:tcW w:w="2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864,561</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general and administrative expenses</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1,011,285</w:t>
            </w:r>
          </w:p>
        </w:tc>
        <w:tc>
          <w:tcPr>
            <w:tcW w:w="2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988,541</w:t>
            </w:r>
          </w:p>
        </w:tc>
      </w:tr>
      <w:tr>
        <w:trPr>
          <w:trHeight w:val="203"/>
        </w:trPr>
        <w:tc>
          <w:tcPr>
            <w:tcW w:w="49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Expenses before excise tax and amendment</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costs</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12,528,802</w:t>
            </w:r>
          </w:p>
        </w:tc>
        <w:tc>
          <w:tcPr>
            <w:tcW w:w="2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7,794,400</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Excise tax</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479,425</w:t>
            </w:r>
          </w:p>
        </w:tc>
        <w:tc>
          <w:tcPr>
            <w:tcW w:w="2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122,897</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Credit Facility issuance and amendment costs</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712,930</w:t>
            </w:r>
          </w:p>
        </w:tc>
        <w:tc>
          <w:tcPr>
            <w:tcW w:w="2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426,924</w:t>
            </w:r>
          </w:p>
        </w:tc>
      </w:tr>
      <w:tr>
        <w:trPr>
          <w:trHeight w:val="203"/>
        </w:trPr>
        <w:tc>
          <w:tcPr>
            <w:tcW w:w="49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expenses</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13,721,157</w:t>
            </w:r>
          </w:p>
        </w:tc>
        <w:tc>
          <w:tcPr>
            <w:tcW w:w="2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8,344,221</w:t>
            </w:r>
          </w:p>
        </w:tc>
      </w:tr>
      <w:tr>
        <w:trPr>
          <w:trHeight w:val="203"/>
        </w:trPr>
        <w:tc>
          <w:tcPr>
            <w:tcW w:w="49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2"/>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16,635,675</w:t>
            </w:r>
          </w:p>
        </w:tc>
        <w:tc>
          <w:tcPr>
            <w:tcW w:w="2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10,523,347</w:t>
            </w:r>
          </w:p>
        </w:tc>
      </w:tr>
      <w:tr>
        <w:trPr>
          <w:trHeight w:val="202"/>
        </w:trPr>
        <w:tc>
          <w:tcPr>
            <w:tcW w:w="49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Realized and unrealized gain (loss) on</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 Credit Facility:</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2"/>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gain on non-controlled, non-</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affiliated investments</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2,873,525</w:t>
            </w:r>
          </w:p>
        </w:tc>
        <w:tc>
          <w:tcPr>
            <w:tcW w:w="2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3,574,936</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 unrealized appreciation</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on:</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non-affiliated investments</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1,553,771</w:t>
            </w:r>
          </w:p>
        </w:tc>
        <w:tc>
          <w:tcPr>
            <w:tcW w:w="26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(1,735,965)</w:t>
            </w:r>
          </w:p>
        </w:tc>
      </w:tr>
      <w:tr>
        <w:trPr>
          <w:trHeight w:val="202"/>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Facility (appreciation) depreciation</w:t>
            </w:r>
          </w:p>
        </w:tc>
        <w:tc>
          <w:tcPr>
            <w:tcW w:w="22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(549,000)</w:t>
            </w:r>
          </w:p>
        </w:tc>
        <w:tc>
          <w:tcPr>
            <w:tcW w:w="26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(377,500)</w:t>
            </w:r>
          </w:p>
        </w:tc>
      </w:tr>
      <w:tr>
        <w:trPr>
          <w:trHeight w:val="203"/>
        </w:trPr>
        <w:tc>
          <w:tcPr>
            <w:tcW w:w="49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 in unrealized appreciation</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 on investments and Credit</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bl>
    <w:p>
      <w:pPr>
        <w:sectPr>
          <w:pgSz w:w="11900" w:h="16838" w:orient="portrait"/>
          <w:cols w:equalWidth="0" w:num="1">
            <w:col w:w="10139"/>
          </w:cols>
          <w:pgMar w:left="320" w:top="136"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ind w:left="320"/>
              <w:spacing w:after="0"/>
              <w:rPr>
                <w:sz w:val="20"/>
                <w:szCs w:val="20"/>
                <w:color w:val="auto"/>
              </w:rPr>
            </w:pPr>
            <w:r>
              <w:rPr>
                <w:rFonts w:ascii="Courier New" w:cs="Courier New" w:eastAsia="Courier New" w:hAnsi="Courier New"/>
                <w:sz w:val="18"/>
                <w:szCs w:val="18"/>
                <w:color w:val="auto"/>
              </w:rPr>
              <w:t>Facility</w:t>
            </w:r>
          </w:p>
        </w:tc>
        <w:tc>
          <w:tcPr>
            <w:tcW w:w="640" w:type="dxa"/>
            <w:vAlign w:val="bottom"/>
          </w:tcPr>
          <w:p>
            <w:pPr>
              <w:spacing w:after="0"/>
              <w:rPr>
                <w:sz w:val="17"/>
                <w:szCs w:val="17"/>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1,004,771</w:t>
            </w: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(2,113,465)</w:t>
            </w:r>
          </w:p>
        </w:tc>
      </w:tr>
      <w:tr>
        <w:trPr>
          <w:trHeight w:val="203"/>
        </w:trPr>
        <w:tc>
          <w:tcPr>
            <w:tcW w:w="4640" w:type="dxa"/>
            <w:vAlign w:val="bottom"/>
          </w:tcPr>
          <w:p>
            <w:pPr>
              <w:spacing w:after="0"/>
              <w:rPr>
                <w:sz w:val="17"/>
                <w:szCs w:val="17"/>
                <w:color w:val="auto"/>
              </w:rPr>
            </w:pPr>
          </w:p>
        </w:tc>
        <w:tc>
          <w:tcPr>
            <w:tcW w:w="18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and unrealized gain from</w:t>
            </w: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 Credit Facility</w:t>
            </w:r>
          </w:p>
        </w:tc>
        <w:tc>
          <w:tcPr>
            <w:tcW w:w="64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3,878,296</w:t>
            </w:r>
          </w:p>
        </w:tc>
        <w:tc>
          <w:tcPr>
            <w:tcW w:w="3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1,461,471</w:t>
            </w:r>
          </w:p>
        </w:tc>
      </w:tr>
      <w:tr>
        <w:trPr>
          <w:trHeight w:val="203"/>
        </w:trPr>
        <w:tc>
          <w:tcPr>
            <w:tcW w:w="4640" w:type="dxa"/>
            <w:vAlign w:val="bottom"/>
          </w:tcPr>
          <w:p>
            <w:pPr>
              <w:spacing w:after="0"/>
              <w:rPr>
                <w:sz w:val="17"/>
                <w:szCs w:val="17"/>
                <w:color w:val="auto"/>
              </w:rPr>
            </w:pPr>
          </w:p>
        </w:tc>
        <w:tc>
          <w:tcPr>
            <w:tcW w:w="18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net assets resulting from</w:t>
            </w: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20,513,971</w:t>
            </w:r>
          </w:p>
        </w:tc>
        <w:tc>
          <w:tcPr>
            <w:tcW w:w="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11,984,818</w:t>
            </w:r>
          </w:p>
        </w:tc>
      </w:tr>
      <w:tr>
        <w:trPr>
          <w:trHeight w:val="203"/>
        </w:trPr>
        <w:tc>
          <w:tcPr>
            <w:tcW w:w="4640" w:type="dxa"/>
            <w:vAlign w:val="bottom"/>
          </w:tcPr>
          <w:p>
            <w:pPr>
              <w:spacing w:after="0"/>
              <w:rPr>
                <w:sz w:val="17"/>
                <w:szCs w:val="17"/>
                <w:color w:val="auto"/>
              </w:rPr>
            </w:pPr>
          </w:p>
        </w:tc>
        <w:tc>
          <w:tcPr>
            <w:tcW w:w="18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net assets resulting from</w:t>
            </w: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 per common share</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1.38</w:t>
            </w:r>
          </w:p>
        </w:tc>
        <w:tc>
          <w:tcPr>
            <w:tcW w:w="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1.25</w:t>
            </w:r>
          </w:p>
        </w:tc>
      </w:tr>
      <w:tr>
        <w:trPr>
          <w:trHeight w:val="202"/>
        </w:trPr>
        <w:tc>
          <w:tcPr>
            <w:tcW w:w="4640" w:type="dxa"/>
            <w:vAlign w:val="bottom"/>
          </w:tcPr>
          <w:p>
            <w:pPr>
              <w:spacing w:after="0"/>
              <w:rPr>
                <w:sz w:val="17"/>
                <w:szCs w:val="17"/>
                <w:color w:val="auto"/>
              </w:rPr>
            </w:pPr>
          </w:p>
        </w:tc>
        <w:tc>
          <w:tcPr>
            <w:tcW w:w="18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investment income per common share</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1.12</w:t>
            </w:r>
          </w:p>
        </w:tc>
        <w:tc>
          <w:tcPr>
            <w:tcW w:w="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1.10</w:t>
            </w:r>
          </w:p>
        </w:tc>
      </w:tr>
      <w:tr>
        <w:trPr>
          <w:trHeight w:val="203"/>
        </w:trPr>
        <w:tc>
          <w:tcPr>
            <w:tcW w:w="4640" w:type="dxa"/>
            <w:vAlign w:val="bottom"/>
          </w:tcPr>
          <w:p>
            <w:pPr>
              <w:spacing w:after="0"/>
              <w:rPr>
                <w:sz w:val="17"/>
                <w:szCs w:val="17"/>
                <w:color w:val="auto"/>
              </w:rPr>
            </w:pPr>
          </w:p>
        </w:tc>
        <w:tc>
          <w:tcPr>
            <w:tcW w:w="18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FLOATING RATE CAPITAL LTD.</w:t>
      </w:r>
    </w:p>
    <w:p>
      <w:pPr>
        <w:spacing w:after="0" w:line="212" w:lineRule="exact"/>
        <w:rPr>
          <w:sz w:val="20"/>
          <w:szCs w:val="20"/>
          <w:color w:val="auto"/>
        </w:rPr>
      </w:pPr>
    </w:p>
    <w:p>
      <w:pPr>
        <w:ind w:right="56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ind w:right="100"/>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 herein. All forward-looking statements speak only as of the date of this press release.</w:t>
      </w:r>
    </w:p>
    <w:p>
      <w:pPr>
        <w:spacing w:after="0" w:line="159"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 You should not place undue influence on such forward-looking statements as such statements speak only as of the date on which they are made. We do not undertake to update our forward-looking statements unless required by law.</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rPr>
          <w:sz w:val="20"/>
          <w:szCs w:val="20"/>
          <w:color w:val="auto"/>
        </w:rPr>
      </w:pPr>
      <w:r>
        <w:rPr>
          <w:rFonts w:ascii="Courier New" w:cs="Courier New" w:eastAsia="Courier New" w:hAnsi="Courier New"/>
          <w:sz w:val="18"/>
          <w:szCs w:val="18"/>
          <w:color w:val="auto"/>
        </w:rPr>
        <w:t>Reception: (212) 905-1000</w:t>
      </w:r>
    </w:p>
    <w:p>
      <w:pPr>
        <w:spacing w:after="0" w:line="237" w:lineRule="auto"/>
        <w:rPr>
          <w:sz w:val="20"/>
          <w:szCs w:val="20"/>
          <w:color w:val="auto"/>
        </w:rPr>
      </w:pPr>
      <w:r>
        <w:rPr>
          <w:rFonts w:ascii="Courier New" w:cs="Courier New" w:eastAsia="Courier New" w:hAnsi="Courier New"/>
          <w:sz w:val="18"/>
          <w:szCs w:val="18"/>
          <w:color w:val="auto"/>
        </w:rPr>
        <w:t>www.pennantpark.com</w:t>
      </w:r>
    </w:p>
    <w:sectPr>
      <w:pgSz w:w="11900" w:h="16838" w:orient="portrait"/>
      <w:cols w:equalWidth="0" w:num="1">
        <w:col w:w="11200"/>
      </w:cols>
      <w:pgMar w:left="320" w:top="13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2020-05-05T12:04:37Z</dcterms:created>
  <dcterms:modified xsi:type="dcterms:W3CDTF">2020-05-05T12:04:37Z</dcterms:modified>
</cp:coreProperties>
</file>