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As filed with the Securities and Exchange Commission on September 18, 2013.</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Securities Act Registration No. 333-190602</w:t>
      </w:r>
    </w:p>
    <w:p>
      <w:pPr>
        <w:jc w:val="center"/>
        <w:ind w:right="-99"/>
        <w:spacing w:after="0"/>
        <w:rPr>
          <w:sz w:val="20"/>
          <w:szCs w:val="20"/>
          <w:color w:val="auto"/>
        </w:rPr>
      </w:pPr>
      <w:r>
        <w:rPr>
          <w:rFonts w:ascii="Arial" w:cs="Arial" w:eastAsia="Arial" w:hAnsi="Arial"/>
          <w:sz w:val="14"/>
          <w:szCs w:val="14"/>
          <w:b w:val="1"/>
          <w:bCs w:val="1"/>
          <w:color w:val="auto"/>
        </w:rPr>
        <w:t>Investment Company Act of 1940 File No.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42545</wp:posOffset>
            </wp:positionV>
            <wp:extent cx="6955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68580</wp:posOffset>
            </wp:positionV>
            <wp:extent cx="6955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6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153035</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8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255270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Registration Statement under the Securities Act Of 1933</w:t>
      </w:r>
    </w:p>
    <w:p>
      <w:pPr>
        <w:sectPr>
          <w:pgSz w:w="11900" w:h="16838" w:orient="portrait"/>
          <w:cols w:equalWidth="0" w:num="1">
            <w:col w:w="11320"/>
          </w:cols>
          <w:pgMar w:left="240" w:top="230" w:right="339" w:bottom="1440" w:gutter="0" w:footer="0" w:header="0"/>
        </w:sectPr>
      </w:pPr>
    </w:p>
    <w:p>
      <w:pPr>
        <w:spacing w:after="0" w:line="44" w:lineRule="exact"/>
        <w:rPr>
          <w:sz w:val="24"/>
          <w:szCs w:val="24"/>
          <w:color w:val="auto"/>
        </w:rPr>
      </w:pPr>
    </w:p>
    <w:p>
      <w:pPr>
        <w:ind w:left="4520"/>
        <w:spacing w:after="0" w:line="207" w:lineRule="exact"/>
        <w:tabs>
          <w:tab w:leader="none" w:pos="6720" w:val="left"/>
        </w:tabs>
        <w:rPr>
          <w:sz w:val="20"/>
          <w:szCs w:val="20"/>
          <w:color w:val="auto"/>
        </w:rPr>
      </w:pPr>
      <w:r>
        <w:rPr>
          <w:rFonts w:ascii="Arial" w:cs="Arial" w:eastAsia="Arial" w:hAnsi="Arial"/>
          <w:sz w:val="18"/>
          <w:szCs w:val="18"/>
          <w:b w:val="1"/>
          <w:bCs w:val="1"/>
          <w:color w:val="auto"/>
        </w:rPr>
        <w:t>Post-Effective Amendment</w:t>
      </w:r>
      <w:r>
        <w:rPr>
          <w:sz w:val="20"/>
          <w:szCs w:val="20"/>
          <w:color w:val="auto"/>
        </w:rPr>
        <w:tab/>
      </w:r>
      <w:r>
        <w:rPr>
          <w:rFonts w:ascii="MS PGothic" w:cs="MS PGothic" w:eastAsia="MS PGothic" w:hAnsi="MS PGothic"/>
          <w:sz w:val="16"/>
          <w:szCs w:val="16"/>
          <w:color w:val="auto"/>
        </w:rPr>
        <w:t>☐</w:t>
      </w:r>
    </w:p>
    <w:p>
      <w:pPr>
        <w:spacing w:after="0" w:line="17" w:lineRule="exact"/>
        <w:rPr>
          <w:sz w:val="24"/>
          <w:szCs w:val="24"/>
          <w:color w:val="auto"/>
        </w:rPr>
      </w:pPr>
    </w:p>
    <w:p>
      <w:pPr>
        <w:ind w:left="4300"/>
        <w:spacing w:after="0"/>
        <w:rPr>
          <w:sz w:val="20"/>
          <w:szCs w:val="20"/>
          <w:color w:val="auto"/>
        </w:rPr>
      </w:pPr>
      <w:r>
        <w:rPr>
          <w:rFonts w:ascii="Arial" w:cs="Arial" w:eastAsia="Arial" w:hAnsi="Arial"/>
          <w:sz w:val="16"/>
          <w:szCs w:val="16"/>
          <w:b w:val="1"/>
          <w:bCs w:val="1"/>
          <w:color w:val="auto"/>
        </w:rPr>
        <w:t>Pre-Effective Amendment No. 1</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0" w:lineRule="exact"/>
        <w:rPr>
          <w:sz w:val="24"/>
          <w:szCs w:val="24"/>
          <w:color w:val="auto"/>
        </w:rPr>
      </w:pPr>
    </w:p>
    <w:p>
      <w:pPr>
        <w:sectPr>
          <w:pgSz w:w="11900" w:h="16838" w:orient="portrait"/>
          <w:cols w:equalWidth="0" w:num="2">
            <w:col w:w="6900" w:space="60"/>
            <w:col w:w="4360"/>
          </w:cols>
          <w:pgMar w:left="240" w:top="230" w:right="339" w:bottom="1440" w:gutter="0" w:footer="0" w:header="0"/>
          <w:type w:val="continuous"/>
        </w:sectPr>
      </w:pP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PennantPark Floating Rate Capital Ltd.</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128905</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46" w:lineRule="exact"/>
        <w:rPr>
          <w:sz w:val="24"/>
          <w:szCs w:val="24"/>
          <w:color w:val="auto"/>
        </w:rPr>
      </w:pPr>
    </w:p>
    <w:p>
      <w:pPr>
        <w:ind w:left="5420" w:right="5020" w:hanging="301"/>
        <w:spacing w:after="0" w:line="295" w:lineRule="auto"/>
        <w:tabs>
          <w:tab w:leader="none" w:pos="5363" w:val="left"/>
        </w:tabs>
        <w:numPr>
          <w:ilvl w:val="0"/>
          <w:numId w:val="1"/>
        </w:numPr>
        <w:rPr>
          <w:rFonts w:ascii="Arial" w:cs="Arial" w:eastAsia="Arial" w:hAnsi="Arial"/>
          <w:sz w:val="11"/>
          <w:szCs w:val="11"/>
          <w:b w:val="1"/>
          <w:bCs w:val="1"/>
          <w:color w:val="auto"/>
        </w:rPr>
      </w:pPr>
      <w:r>
        <w:rPr>
          <w:rFonts w:ascii="Arial" w:cs="Arial" w:eastAsia="Arial" w:hAnsi="Arial"/>
          <w:sz w:val="11"/>
          <w:szCs w:val="11"/>
          <w:b w:val="1"/>
          <w:bCs w:val="1"/>
          <w:color w:val="auto"/>
        </w:rPr>
        <w:t>Madison Avenue 15th Floor</w:t>
      </w:r>
    </w:p>
    <w:p>
      <w:pPr>
        <w:jc w:val="center"/>
        <w:ind w:right="-99"/>
        <w:spacing w:after="0" w:line="221"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5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(212) 905-1000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Arthur H. Penn</w:t>
      </w:r>
    </w:p>
    <w:p>
      <w:pPr>
        <w:jc w:val="center"/>
        <w:ind w:right="-99"/>
        <w:spacing w:after="0" w:line="223" w:lineRule="auto"/>
        <w:rPr>
          <w:sz w:val="20"/>
          <w:szCs w:val="20"/>
          <w:color w:val="auto"/>
        </w:rPr>
      </w:pPr>
      <w:r>
        <w:rPr>
          <w:rFonts w:ascii="Arial" w:cs="Arial" w:eastAsia="Arial" w:hAnsi="Arial"/>
          <w:sz w:val="14"/>
          <w:szCs w:val="14"/>
          <w:b w:val="1"/>
          <w:bCs w:val="1"/>
          <w:color w:val="auto"/>
        </w:rPr>
        <w:t>c/o PennantPark Floating Rate Capital Ltd.</w:t>
      </w:r>
    </w:p>
    <w:p>
      <w:pPr>
        <w:jc w:val="center"/>
        <w:ind w:right="-99"/>
        <w:spacing w:after="0" w:line="222" w:lineRule="auto"/>
        <w:rPr>
          <w:sz w:val="20"/>
          <w:szCs w:val="20"/>
          <w:color w:val="auto"/>
        </w:rPr>
      </w:pPr>
      <w:r>
        <w:rPr>
          <w:rFonts w:ascii="Arial" w:cs="Arial" w:eastAsia="Arial" w:hAnsi="Arial"/>
          <w:sz w:val="14"/>
          <w:szCs w:val="14"/>
          <w:b w:val="1"/>
          <w:bCs w:val="1"/>
          <w:color w:val="auto"/>
        </w:rPr>
        <w:t>590 Madison Avenue</w:t>
      </w:r>
    </w:p>
    <w:p>
      <w:pPr>
        <w:jc w:val="center"/>
        <w:ind w:right="-99"/>
        <w:spacing w:after="0" w:line="221" w:lineRule="auto"/>
        <w:rPr>
          <w:sz w:val="20"/>
          <w:szCs w:val="20"/>
          <w:color w:val="auto"/>
        </w:rPr>
      </w:pPr>
      <w:r>
        <w:rPr>
          <w:rFonts w:ascii="Arial" w:cs="Arial" w:eastAsia="Arial" w:hAnsi="Arial"/>
          <w:sz w:val="14"/>
          <w:szCs w:val="14"/>
          <w:b w:val="1"/>
          <w:bCs w:val="1"/>
          <w:color w:val="auto"/>
        </w:rPr>
        <w:t>15th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137160</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i w:val="1"/>
          <w:iCs w:val="1"/>
          <w:color w:val="auto"/>
        </w:rPr>
        <w:t>Copies to:</w:t>
      </w:r>
    </w:p>
    <w:p>
      <w:pPr>
        <w:jc w:val="center"/>
        <w:ind w:right="-99"/>
        <w:spacing w:after="0" w:line="221" w:lineRule="auto"/>
        <w:rPr>
          <w:sz w:val="20"/>
          <w:szCs w:val="20"/>
          <w:color w:val="auto"/>
        </w:rPr>
      </w:pPr>
      <w:r>
        <w:rPr>
          <w:rFonts w:ascii="Arial" w:cs="Arial" w:eastAsia="Arial" w:hAnsi="Arial"/>
          <w:sz w:val="14"/>
          <w:szCs w:val="14"/>
          <w:b w:val="1"/>
          <w:bCs w:val="1"/>
          <w:color w:val="auto"/>
        </w:rPr>
        <w:t>Thomas Friedmann</w:t>
      </w:r>
    </w:p>
    <w:p>
      <w:pPr>
        <w:jc w:val="center"/>
        <w:ind w:right="-99"/>
        <w:spacing w:after="0" w:line="221" w:lineRule="auto"/>
        <w:rPr>
          <w:sz w:val="20"/>
          <w:szCs w:val="20"/>
          <w:color w:val="auto"/>
        </w:rPr>
      </w:pPr>
      <w:r>
        <w:rPr>
          <w:rFonts w:ascii="Arial" w:cs="Arial" w:eastAsia="Arial" w:hAnsi="Arial"/>
          <w:sz w:val="14"/>
          <w:szCs w:val="14"/>
          <w:b w:val="1"/>
          <w:bCs w:val="1"/>
          <w:color w:val="auto"/>
        </w:rPr>
        <w:t>David Harris</w:t>
      </w:r>
    </w:p>
    <w:p>
      <w:pPr>
        <w:jc w:val="center"/>
        <w:ind w:right="-99"/>
        <w:spacing w:after="0" w:line="222" w:lineRule="auto"/>
        <w:rPr>
          <w:sz w:val="20"/>
          <w:szCs w:val="20"/>
          <w:color w:val="auto"/>
        </w:rPr>
      </w:pPr>
      <w:r>
        <w:rPr>
          <w:rFonts w:ascii="Arial" w:cs="Arial" w:eastAsia="Arial" w:hAnsi="Arial"/>
          <w:sz w:val="14"/>
          <w:szCs w:val="14"/>
          <w:b w:val="1"/>
          <w:bCs w:val="1"/>
          <w:color w:val="auto"/>
        </w:rPr>
        <w:t>William Tuttle</w:t>
      </w:r>
    </w:p>
    <w:p>
      <w:pPr>
        <w:jc w:val="center"/>
        <w:ind w:right="-99"/>
        <w:spacing w:after="0" w:line="221" w:lineRule="auto"/>
        <w:rPr>
          <w:sz w:val="20"/>
          <w:szCs w:val="20"/>
          <w:color w:val="auto"/>
        </w:rPr>
      </w:pPr>
      <w:r>
        <w:rPr>
          <w:rFonts w:ascii="Arial" w:cs="Arial" w:eastAsia="Arial" w:hAnsi="Arial"/>
          <w:sz w:val="14"/>
          <w:szCs w:val="14"/>
          <w:b w:val="1"/>
          <w:bCs w:val="1"/>
          <w:color w:val="auto"/>
        </w:rPr>
        <w:t>Dechert LLP</w:t>
      </w:r>
    </w:p>
    <w:p>
      <w:pPr>
        <w:jc w:val="center"/>
        <w:ind w:right="-99"/>
        <w:spacing w:after="0" w:line="222" w:lineRule="auto"/>
        <w:rPr>
          <w:sz w:val="20"/>
          <w:szCs w:val="20"/>
          <w:color w:val="auto"/>
        </w:rPr>
      </w:pPr>
      <w:r>
        <w:rPr>
          <w:rFonts w:ascii="Arial" w:cs="Arial" w:eastAsia="Arial" w:hAnsi="Arial"/>
          <w:sz w:val="14"/>
          <w:szCs w:val="14"/>
          <w:b w:val="1"/>
          <w:bCs w:val="1"/>
          <w:color w:val="auto"/>
        </w:rPr>
        <w:t>1900 K Street, N.W.</w:t>
      </w:r>
    </w:p>
    <w:p>
      <w:pPr>
        <w:jc w:val="center"/>
        <w:ind w:right="-99"/>
        <w:spacing w:after="0" w:line="221" w:lineRule="auto"/>
        <w:rPr>
          <w:sz w:val="20"/>
          <w:szCs w:val="20"/>
          <w:color w:val="auto"/>
        </w:rPr>
      </w:pPr>
      <w:r>
        <w:rPr>
          <w:rFonts w:ascii="Arial" w:cs="Arial" w:eastAsia="Arial" w:hAnsi="Arial"/>
          <w:sz w:val="14"/>
          <w:szCs w:val="14"/>
          <w:b w:val="1"/>
          <w:bCs w:val="1"/>
          <w:color w:val="auto"/>
        </w:rPr>
        <w:t>Washington, DC 20006-1110</w:t>
      </w:r>
    </w:p>
    <w:p>
      <w:pPr>
        <w:jc w:val="center"/>
        <w:ind w:right="-99"/>
        <w:spacing w:after="0"/>
        <w:rPr>
          <w:sz w:val="20"/>
          <w:szCs w:val="20"/>
          <w:color w:val="auto"/>
        </w:rPr>
      </w:pPr>
      <w:r>
        <w:rPr>
          <w:rFonts w:ascii="Arial" w:cs="Arial" w:eastAsia="Arial" w:hAnsi="Arial"/>
          <w:sz w:val="14"/>
          <w:szCs w:val="14"/>
          <w:b w:val="1"/>
          <w:bCs w:val="1"/>
          <w:color w:val="auto"/>
        </w:rPr>
        <w:t>APPROXIMATE DATE OF PROPOSED PUBLIC OFFERING:</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137160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53" w:lineRule="exact"/>
        <w:rPr>
          <w:sz w:val="24"/>
          <w:szCs w:val="24"/>
          <w:color w:val="auto"/>
        </w:rPr>
      </w:pPr>
    </w:p>
    <w:p>
      <w:pPr>
        <w:ind w:firstLine="456"/>
        <w:spacing w:after="0" w:line="168"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17" w:lineRule="exact"/>
        <w:rPr>
          <w:sz w:val="24"/>
          <w:szCs w:val="24"/>
          <w:color w:val="auto"/>
        </w:rPr>
      </w:pPr>
    </w:p>
    <w:p>
      <w:pPr>
        <w:ind w:left="460"/>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42" w:lineRule="exact"/>
        <w:rPr>
          <w:sz w:val="24"/>
          <w:szCs w:val="24"/>
          <w:color w:val="auto"/>
        </w:rPr>
      </w:pPr>
    </w:p>
    <w:p>
      <w:pPr>
        <w:ind w:left="620" w:hanging="156"/>
        <w:spacing w:after="0"/>
        <w:tabs>
          <w:tab w:leader="none" w:pos="62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when declared effective pursuant to section 8(c).</w:t>
      </w:r>
    </w:p>
    <w:p>
      <w:pPr>
        <w:sectPr>
          <w:pgSz w:w="11900" w:h="16838" w:orient="portrait"/>
          <w:cols w:equalWidth="0" w:num="1">
            <w:col w:w="11320"/>
          </w:cols>
          <w:pgMar w:left="24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860" w:type="dxa"/>
            <w:vAlign w:val="bottom"/>
            <w:tcBorders>
              <w:top w:val="single" w:sz="8" w:color="auto"/>
              <w:left w:val="single" w:sz="8" w:color="auto"/>
              <w:right w:val="single" w:sz="8" w:color="auto"/>
            </w:tcBorders>
          </w:tcPr>
          <w:p>
            <w:pPr>
              <w:spacing w:after="0"/>
              <w:rPr>
                <w:sz w:val="12"/>
                <w:szCs w:val="12"/>
                <w:color w:val="auto"/>
              </w:rPr>
            </w:pPr>
          </w:p>
        </w:tc>
        <w:tc>
          <w:tcPr>
            <w:tcW w:w="1820" w:type="dxa"/>
            <w:vAlign w:val="bottom"/>
            <w:tcBorders>
              <w:top w:val="single" w:sz="8" w:color="auto"/>
              <w:right w:val="single" w:sz="8" w:color="auto"/>
            </w:tcBorders>
          </w:tcPr>
          <w:p>
            <w:pPr>
              <w:spacing w:after="0"/>
              <w:rPr>
                <w:sz w:val="12"/>
                <w:szCs w:val="12"/>
                <w:color w:val="auto"/>
              </w:rPr>
            </w:pPr>
          </w:p>
        </w:tc>
        <w:tc>
          <w:tcPr>
            <w:tcW w:w="1920" w:type="dxa"/>
            <w:vAlign w:val="bottom"/>
            <w:tcBorders>
              <w:top w:val="single" w:sz="8" w:color="auto"/>
              <w:right w:val="single" w:sz="8" w:color="auto"/>
            </w:tcBorders>
          </w:tcPr>
          <w:p>
            <w:pPr>
              <w:jc w:val="center"/>
              <w:ind w:left="132"/>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380" w:type="dxa"/>
            <w:vAlign w:val="bottom"/>
            <w:tcBorders>
              <w:top w:val="single" w:sz="8" w:color="auto"/>
            </w:tcBorders>
          </w:tcPr>
          <w:p>
            <w:pPr>
              <w:spacing w:after="0"/>
              <w:rPr>
                <w:sz w:val="12"/>
                <w:szCs w:val="12"/>
                <w:color w:val="auto"/>
              </w:rPr>
            </w:pPr>
          </w:p>
        </w:tc>
        <w:tc>
          <w:tcPr>
            <w:tcW w:w="1480" w:type="dxa"/>
            <w:vAlign w:val="bottom"/>
            <w:tcBorders>
              <w:top w:val="single" w:sz="8" w:color="auto"/>
              <w:right w:val="single" w:sz="8" w:color="auto"/>
            </w:tcBorders>
          </w:tcPr>
          <w:p>
            <w:pPr>
              <w:jc w:val="center"/>
              <w:ind w:right="214"/>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420" w:type="dxa"/>
            <w:vAlign w:val="bottom"/>
            <w:tcBorders>
              <w:top w:val="single" w:sz="8" w:color="auto"/>
            </w:tcBorders>
          </w:tcPr>
          <w:p>
            <w:pPr>
              <w:spacing w:after="0"/>
              <w:rPr>
                <w:sz w:val="12"/>
                <w:szCs w:val="12"/>
                <w:color w:val="auto"/>
              </w:rPr>
            </w:pPr>
          </w:p>
        </w:tc>
        <w:tc>
          <w:tcPr>
            <w:tcW w:w="16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Borders>
              <w:left w:val="single" w:sz="8" w:color="auto"/>
              <w:right w:val="single" w:sz="8" w:color="auto"/>
            </w:tcBorders>
          </w:tcPr>
          <w:p>
            <w:pPr>
              <w:ind w:left="800"/>
              <w:spacing w:after="0" w:line="148" w:lineRule="exact"/>
              <w:rPr>
                <w:sz w:val="20"/>
                <w:szCs w:val="20"/>
                <w:color w:val="auto"/>
              </w:rPr>
            </w:pPr>
            <w:r>
              <w:rPr>
                <w:rFonts w:ascii="Arial" w:cs="Arial" w:eastAsia="Arial" w:hAnsi="Arial"/>
                <w:sz w:val="14"/>
                <w:szCs w:val="14"/>
                <w:b w:val="1"/>
                <w:bCs w:val="1"/>
                <w:color w:val="auto"/>
              </w:rPr>
              <w:t>Title of Securities Being</w:t>
            </w:r>
          </w:p>
        </w:tc>
        <w:tc>
          <w:tcPr>
            <w:tcW w:w="1820" w:type="dxa"/>
            <w:vAlign w:val="bottom"/>
            <w:tcBorders>
              <w:right w:val="single" w:sz="8" w:color="auto"/>
            </w:tcBorders>
          </w:tcPr>
          <w:p>
            <w:pPr>
              <w:jc w:val="right"/>
              <w:ind w:right="292"/>
              <w:spacing w:after="0" w:line="148" w:lineRule="exact"/>
              <w:rPr>
                <w:sz w:val="20"/>
                <w:szCs w:val="20"/>
                <w:color w:val="auto"/>
              </w:rPr>
            </w:pPr>
            <w:r>
              <w:rPr>
                <w:rFonts w:ascii="Arial" w:cs="Arial" w:eastAsia="Arial" w:hAnsi="Arial"/>
                <w:sz w:val="14"/>
                <w:szCs w:val="14"/>
                <w:b w:val="1"/>
                <w:bCs w:val="1"/>
                <w:color w:val="auto"/>
              </w:rPr>
              <w:t>Amount Being</w:t>
            </w:r>
          </w:p>
        </w:tc>
        <w:tc>
          <w:tcPr>
            <w:tcW w:w="1920" w:type="dxa"/>
            <w:vAlign w:val="bottom"/>
            <w:tcBorders>
              <w:right w:val="single" w:sz="8" w:color="auto"/>
            </w:tcBorders>
          </w:tcPr>
          <w:p>
            <w:pPr>
              <w:jc w:val="center"/>
              <w:ind w:left="132"/>
              <w:spacing w:after="0" w:line="148" w:lineRule="exact"/>
              <w:rPr>
                <w:sz w:val="20"/>
                <w:szCs w:val="20"/>
                <w:color w:val="auto"/>
              </w:rPr>
            </w:pPr>
            <w:r>
              <w:rPr>
                <w:rFonts w:ascii="Arial" w:cs="Arial" w:eastAsia="Arial" w:hAnsi="Arial"/>
                <w:sz w:val="14"/>
                <w:szCs w:val="14"/>
                <w:b w:val="1"/>
                <w:bCs w:val="1"/>
                <w:color w:val="auto"/>
                <w:w w:val="90"/>
              </w:rPr>
              <w:t>Offering Price</w:t>
            </w:r>
          </w:p>
        </w:tc>
        <w:tc>
          <w:tcPr>
            <w:tcW w:w="380" w:type="dxa"/>
            <w:vAlign w:val="bottom"/>
          </w:tcPr>
          <w:p>
            <w:pPr>
              <w:spacing w:after="0"/>
              <w:rPr>
                <w:sz w:val="12"/>
                <w:szCs w:val="12"/>
                <w:color w:val="auto"/>
              </w:rPr>
            </w:pPr>
          </w:p>
        </w:tc>
        <w:tc>
          <w:tcPr>
            <w:tcW w:w="1480" w:type="dxa"/>
            <w:vAlign w:val="bottom"/>
            <w:tcBorders>
              <w:right w:val="single" w:sz="8" w:color="auto"/>
            </w:tcBorders>
          </w:tcPr>
          <w:p>
            <w:pPr>
              <w:jc w:val="center"/>
              <w:ind w:right="214"/>
              <w:spacing w:after="0" w:line="148" w:lineRule="exact"/>
              <w:rPr>
                <w:sz w:val="20"/>
                <w:szCs w:val="20"/>
                <w:color w:val="auto"/>
              </w:rPr>
            </w:pPr>
            <w:r>
              <w:rPr>
                <w:rFonts w:ascii="Arial" w:cs="Arial" w:eastAsia="Arial" w:hAnsi="Arial"/>
                <w:sz w:val="14"/>
                <w:szCs w:val="14"/>
                <w:b w:val="1"/>
                <w:bCs w:val="1"/>
                <w:color w:val="auto"/>
                <w:w w:val="86"/>
              </w:rPr>
              <w:t>Aggregate</w:t>
            </w:r>
          </w:p>
        </w:tc>
        <w:tc>
          <w:tcPr>
            <w:tcW w:w="420" w:type="dxa"/>
            <w:vAlign w:val="bottom"/>
          </w:tcPr>
          <w:p>
            <w:pPr>
              <w:spacing w:after="0"/>
              <w:rPr>
                <w:sz w:val="12"/>
                <w:szCs w:val="12"/>
                <w:color w:val="auto"/>
              </w:rPr>
            </w:pPr>
          </w:p>
        </w:tc>
        <w:tc>
          <w:tcPr>
            <w:tcW w:w="1640" w:type="dxa"/>
            <w:vAlign w:val="bottom"/>
            <w:tcBorders>
              <w:right w:val="single" w:sz="8" w:color="auto"/>
            </w:tcBorders>
          </w:tcPr>
          <w:p>
            <w:pPr>
              <w:jc w:val="center"/>
              <w:ind w:right="354"/>
              <w:spacing w:after="0" w:line="148"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6"/>
        </w:trPr>
        <w:tc>
          <w:tcPr>
            <w:tcW w:w="2860" w:type="dxa"/>
            <w:vAlign w:val="bottom"/>
            <w:tcBorders>
              <w:left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14"/>
                <w:szCs w:val="14"/>
                <w:b w:val="1"/>
                <w:bCs w:val="1"/>
                <w:color w:val="auto"/>
              </w:rPr>
              <w:t>Registered</w:t>
            </w:r>
          </w:p>
        </w:tc>
        <w:tc>
          <w:tcPr>
            <w:tcW w:w="1820" w:type="dxa"/>
            <w:vAlign w:val="bottom"/>
            <w:tcBorders>
              <w:bottom w:val="single" w:sz="8" w:color="auto"/>
              <w:right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Registered</w:t>
            </w:r>
          </w:p>
        </w:tc>
        <w:tc>
          <w:tcPr>
            <w:tcW w:w="1920" w:type="dxa"/>
            <w:vAlign w:val="bottom"/>
            <w:tcBorders>
              <w:bottom w:val="single" w:sz="8" w:color="auto"/>
              <w:right w:val="single" w:sz="8" w:color="auto"/>
            </w:tcBorders>
          </w:tcPr>
          <w:p>
            <w:pPr>
              <w:jc w:val="center"/>
              <w:ind w:left="132"/>
              <w:spacing w:after="0"/>
              <w:rPr>
                <w:sz w:val="20"/>
                <w:szCs w:val="20"/>
                <w:color w:val="auto"/>
              </w:rPr>
            </w:pPr>
            <w:r>
              <w:rPr>
                <w:rFonts w:ascii="Arial" w:cs="Arial" w:eastAsia="Arial" w:hAnsi="Arial"/>
                <w:sz w:val="14"/>
                <w:szCs w:val="14"/>
                <w:b w:val="1"/>
                <w:bCs w:val="1"/>
                <w:color w:val="auto"/>
                <w:w w:val="89"/>
              </w:rPr>
              <w:t>Per Unit</w:t>
            </w:r>
          </w:p>
        </w:tc>
        <w:tc>
          <w:tcPr>
            <w:tcW w:w="380" w:type="dxa"/>
            <w:vAlign w:val="bottom"/>
            <w:tcBorders>
              <w:bottom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jc w:val="center"/>
              <w:ind w:right="214"/>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42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jc w:val="center"/>
              <w:ind w:right="374"/>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(1)</w:t>
            </w:r>
          </w:p>
        </w:tc>
        <w:tc>
          <w:tcPr>
            <w:tcW w:w="0" w:type="dxa"/>
            <w:vAlign w:val="bottom"/>
          </w:tcPr>
          <w:p>
            <w:pPr>
              <w:spacing w:after="0"/>
              <w:rPr>
                <w:sz w:val="1"/>
                <w:szCs w:val="1"/>
                <w:color w:val="auto"/>
              </w:rPr>
            </w:pPr>
          </w:p>
        </w:tc>
      </w:tr>
      <w:tr>
        <w:trPr>
          <w:trHeight w:val="264"/>
        </w:trPr>
        <w:tc>
          <w:tcPr>
            <w:tcW w:w="2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Common Stock, $0.001 par value</w:t>
            </w:r>
            <w:r>
              <w:rPr>
                <w:rFonts w:ascii="Arial" w:cs="Arial" w:eastAsia="Arial" w:hAnsi="Arial"/>
                <w:sz w:val="22"/>
                <w:szCs w:val="22"/>
                <w:color w:val="auto"/>
                <w:vertAlign w:val="superscript"/>
              </w:rPr>
              <w:t>(2)</w:t>
            </w:r>
          </w:p>
        </w:tc>
        <w:tc>
          <w:tcPr>
            <w:tcW w:w="1820" w:type="dxa"/>
            <w:vAlign w:val="bottom"/>
            <w:tcBorders>
              <w:right w:val="single" w:sz="8" w:color="auto"/>
            </w:tcBorders>
          </w:tcPr>
          <w:p>
            <w:pPr>
              <w:jc w:val="right"/>
              <w:ind w:right="1412"/>
              <w:spacing w:after="0"/>
              <w:rPr>
                <w:sz w:val="20"/>
                <w:szCs w:val="20"/>
                <w:color w:val="auto"/>
              </w:rPr>
            </w:pPr>
            <w:r>
              <w:rPr>
                <w:rFonts w:ascii="Arial" w:cs="Arial" w:eastAsia="Arial" w:hAnsi="Arial"/>
                <w:sz w:val="14"/>
                <w:szCs w:val="14"/>
                <w:color w:val="auto"/>
              </w:rPr>
              <w:t>$</w:t>
            </w:r>
          </w:p>
        </w:tc>
        <w:tc>
          <w:tcPr>
            <w:tcW w:w="1920" w:type="dxa"/>
            <w:vAlign w:val="bottom"/>
            <w:tcBorders>
              <w:right w:val="single" w:sz="8" w:color="auto"/>
            </w:tcBorders>
            <w:vMerge w:val="restart"/>
          </w:tcPr>
          <w:p>
            <w:pPr>
              <w:jc w:val="right"/>
              <w:ind w:right="1492"/>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auto"/>
            </w:tcBorders>
          </w:tcPr>
          <w:p>
            <w:pPr>
              <w:spacing w:after="0"/>
              <w:rPr>
                <w:sz w:val="22"/>
                <w:szCs w:val="2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vMerge w:val="continue"/>
          </w:tcPr>
          <w:p>
            <w:pPr>
              <w:spacing w:after="0"/>
              <w:rPr>
                <w:sz w:val="2"/>
                <w:szCs w:val="2"/>
                <w:color w:val="auto"/>
              </w:rPr>
            </w:pPr>
          </w:p>
        </w:tc>
        <w:tc>
          <w:tcPr>
            <w:tcW w:w="380" w:type="dxa"/>
            <w:vAlign w:val="bottom"/>
            <w:tcBorders>
              <w:bottom w:val="single" w:sz="8" w:color="auto"/>
            </w:tcBorders>
            <w:vMerge w:val="continue"/>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vMerge w:val="continue"/>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8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Preferred Stock, $0.001 par value</w:t>
            </w:r>
            <w:r>
              <w:rPr>
                <w:rFonts w:ascii="Arial" w:cs="Arial" w:eastAsia="Arial" w:hAnsi="Arial"/>
                <w:sz w:val="16"/>
                <w:szCs w:val="16"/>
                <w:color w:val="auto"/>
                <w:vertAlign w:val="superscript"/>
              </w:rPr>
              <w:t>(2)</w:t>
            </w:r>
          </w:p>
        </w:tc>
        <w:tc>
          <w:tcPr>
            <w:tcW w:w="18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Warrants</w:t>
            </w:r>
            <w:r>
              <w:rPr>
                <w:rFonts w:ascii="Arial" w:cs="Arial" w:eastAsia="Arial" w:hAnsi="Arial"/>
                <w:sz w:val="16"/>
                <w:szCs w:val="16"/>
                <w:color w:val="auto"/>
                <w:vertAlign w:val="superscript"/>
              </w:rPr>
              <w:t>(2)</w:t>
            </w:r>
          </w:p>
        </w:tc>
        <w:tc>
          <w:tcPr>
            <w:tcW w:w="18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Subscription Rights</w:t>
            </w:r>
            <w:r>
              <w:rPr>
                <w:rFonts w:ascii="Arial" w:cs="Arial" w:eastAsia="Arial" w:hAnsi="Arial"/>
                <w:sz w:val="16"/>
                <w:szCs w:val="16"/>
                <w:color w:val="auto"/>
                <w:vertAlign w:val="superscript"/>
              </w:rPr>
              <w:t>(3)</w:t>
            </w:r>
          </w:p>
        </w:tc>
        <w:tc>
          <w:tcPr>
            <w:tcW w:w="18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Debt Securities</w:t>
            </w:r>
            <w:r>
              <w:rPr>
                <w:rFonts w:ascii="Arial" w:cs="Arial" w:eastAsia="Arial" w:hAnsi="Arial"/>
                <w:sz w:val="16"/>
                <w:szCs w:val="16"/>
                <w:color w:val="auto"/>
                <w:vertAlign w:val="superscript"/>
              </w:rPr>
              <w:t>(4)</w:t>
            </w:r>
          </w:p>
        </w:tc>
        <w:tc>
          <w:tcPr>
            <w:tcW w:w="18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Total</w:t>
            </w:r>
          </w:p>
        </w:tc>
        <w:tc>
          <w:tcPr>
            <w:tcW w:w="1820" w:type="dxa"/>
            <w:vAlign w:val="bottom"/>
            <w:tcBorders>
              <w:right w:val="single" w:sz="8" w:color="auto"/>
            </w:tcBorders>
            <w:vMerge w:val="restart"/>
          </w:tcPr>
          <w:p>
            <w:pPr>
              <w:jc w:val="right"/>
              <w:ind w:right="1412"/>
              <w:spacing w:after="0"/>
              <w:rPr>
                <w:sz w:val="20"/>
                <w:szCs w:val="20"/>
                <w:color w:val="auto"/>
              </w:rPr>
            </w:pPr>
            <w:r>
              <w:rPr>
                <w:rFonts w:ascii="Arial" w:cs="Arial" w:eastAsia="Arial" w:hAnsi="Arial"/>
                <w:sz w:val="14"/>
                <w:szCs w:val="14"/>
                <w:color w:val="auto"/>
              </w:rPr>
              <w:t>$</w:t>
            </w:r>
          </w:p>
        </w:tc>
        <w:tc>
          <w:tcPr>
            <w:tcW w:w="1920" w:type="dxa"/>
            <w:vAlign w:val="bottom"/>
            <w:tcBorders>
              <w:right w:val="single" w:sz="8" w:color="auto"/>
            </w:tcBorders>
            <w:vMerge w:val="restart"/>
          </w:tcPr>
          <w:p>
            <w:pPr>
              <w:jc w:val="right"/>
              <w:ind w:right="1492"/>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800,000,000</w:t>
            </w:r>
            <w:r>
              <w:rPr>
                <w:rFonts w:ascii="Arial" w:cs="Arial" w:eastAsia="Arial" w:hAnsi="Arial"/>
                <w:sz w:val="22"/>
                <w:szCs w:val="22"/>
                <w:color w:val="auto"/>
                <w:vertAlign w:val="superscript"/>
              </w:rPr>
              <w:t>(5)</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right w:val="single" w:sz="8" w:color="auto"/>
            </w:tcBorders>
            <w:vMerge w:val="restart"/>
          </w:tcPr>
          <w:p>
            <w:pPr>
              <w:jc w:val="right"/>
              <w:ind w:right="114"/>
              <w:spacing w:after="0"/>
              <w:rPr>
                <w:sz w:val="20"/>
                <w:szCs w:val="20"/>
                <w:color w:val="auto"/>
              </w:rPr>
            </w:pPr>
            <w:r>
              <w:rPr>
                <w:rFonts w:ascii="Arial" w:cs="Arial" w:eastAsia="Arial" w:hAnsi="Arial"/>
                <w:sz w:val="14"/>
                <w:szCs w:val="14"/>
                <w:color w:val="auto"/>
              </w:rPr>
              <w:t>109,120</w:t>
            </w:r>
            <w:r>
              <w:rPr>
                <w:rFonts w:ascii="Arial" w:cs="Arial" w:eastAsia="Arial" w:hAnsi="Arial"/>
                <w:sz w:val="22"/>
                <w:szCs w:val="22"/>
                <w:color w:val="auto"/>
                <w:vertAlign w:val="superscript"/>
              </w:rPr>
              <w:t>(6)</w:t>
            </w:r>
          </w:p>
        </w:tc>
        <w:tc>
          <w:tcPr>
            <w:tcW w:w="0" w:type="dxa"/>
            <w:vAlign w:val="bottom"/>
          </w:tcPr>
          <w:p>
            <w:pPr>
              <w:spacing w:after="0"/>
              <w:rPr>
                <w:sz w:val="1"/>
                <w:szCs w:val="1"/>
                <w:color w:val="auto"/>
              </w:rPr>
            </w:pPr>
          </w:p>
        </w:tc>
      </w:tr>
      <w:tr>
        <w:trPr>
          <w:trHeight w:val="125"/>
        </w:trPr>
        <w:tc>
          <w:tcPr>
            <w:tcW w:w="2860" w:type="dxa"/>
            <w:vAlign w:val="bottom"/>
            <w:tcBorders>
              <w:left w:val="single" w:sz="8" w:color="auto"/>
              <w:bottom w:val="single" w:sz="8" w:color="auto"/>
              <w:right w:val="single" w:sz="8" w:color="auto"/>
            </w:tcBorders>
          </w:tcPr>
          <w:p>
            <w:pPr>
              <w:spacing w:after="0"/>
              <w:rPr>
                <w:sz w:val="10"/>
                <w:szCs w:val="10"/>
                <w:color w:val="auto"/>
              </w:rPr>
            </w:pPr>
          </w:p>
        </w:tc>
        <w:tc>
          <w:tcPr>
            <w:tcW w:w="1820" w:type="dxa"/>
            <w:vAlign w:val="bottom"/>
            <w:tcBorders>
              <w:bottom w:val="single" w:sz="8" w:color="auto"/>
              <w:right w:val="single" w:sz="8" w:color="auto"/>
            </w:tcBorders>
            <w:vMerge w:val="continue"/>
          </w:tcPr>
          <w:p>
            <w:pPr>
              <w:spacing w:after="0"/>
              <w:rPr>
                <w:sz w:val="10"/>
                <w:szCs w:val="10"/>
                <w:color w:val="auto"/>
              </w:rPr>
            </w:pPr>
          </w:p>
        </w:tc>
        <w:tc>
          <w:tcPr>
            <w:tcW w:w="1920" w:type="dxa"/>
            <w:vAlign w:val="bottom"/>
            <w:tcBorders>
              <w:bottom w:val="single" w:sz="8" w:color="auto"/>
              <w:right w:val="single" w:sz="8" w:color="auto"/>
            </w:tcBorders>
            <w:vMerge w:val="continue"/>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16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680" w:hanging="334"/>
        <w:spacing w:after="0" w:line="239" w:lineRule="auto"/>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57" w:lineRule="exact"/>
        <w:rPr>
          <w:rFonts w:ascii="Arial" w:cs="Arial" w:eastAsia="Arial" w:hAnsi="Arial"/>
          <w:sz w:val="14"/>
          <w:szCs w:val="14"/>
          <w:color w:val="auto"/>
        </w:rPr>
      </w:pPr>
    </w:p>
    <w:p>
      <w:pPr>
        <w:ind w:left="680" w:right="160" w:hanging="334"/>
        <w:spacing w:after="0" w:line="239" w:lineRule="auto"/>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Note 5 below, there is being registered hereunder an indeterminate number of shares of common stock, preferred stock or warrants as may be sold, from time to time. Warrants represent rights to purchase common stock, preferred stock or debt securities.</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number of subscription rights as may be sold, from time to time, representing rights to purchase common stock.</w:t>
      </w:r>
    </w:p>
    <w:p>
      <w:pPr>
        <w:spacing w:after="0" w:line="91" w:lineRule="exact"/>
        <w:rPr>
          <w:rFonts w:ascii="Arial" w:cs="Arial" w:eastAsia="Arial" w:hAnsi="Arial"/>
          <w:sz w:val="12"/>
          <w:szCs w:val="12"/>
          <w:color w:val="auto"/>
        </w:rPr>
      </w:pPr>
    </w:p>
    <w:p>
      <w:pPr>
        <w:ind w:left="680" w:right="280" w:hanging="334"/>
        <w:spacing w:after="0" w:line="318" w:lineRule="auto"/>
        <w:tabs>
          <w:tab w:leader="none" w:pos="6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$800,000,000.</w:t>
      </w:r>
    </w:p>
    <w:p>
      <w:pPr>
        <w:spacing w:after="0" w:line="12" w:lineRule="exact"/>
        <w:rPr>
          <w:rFonts w:ascii="Arial" w:cs="Arial" w:eastAsia="Arial" w:hAnsi="Arial"/>
          <w:sz w:val="12"/>
          <w:szCs w:val="12"/>
          <w:color w:val="auto"/>
        </w:rPr>
      </w:pPr>
    </w:p>
    <w:p>
      <w:pPr>
        <w:ind w:left="680" w:hanging="334"/>
        <w:spacing w:after="0"/>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$800,000,000.</w:t>
      </w:r>
    </w:p>
    <w:p>
      <w:pPr>
        <w:spacing w:after="0" w:line="68" w:lineRule="exact"/>
        <w:rPr>
          <w:rFonts w:ascii="Arial" w:cs="Arial" w:eastAsia="Arial" w:hAnsi="Arial"/>
          <w:sz w:val="14"/>
          <w:szCs w:val="14"/>
          <w:color w:val="auto"/>
        </w:rPr>
      </w:pPr>
    </w:p>
    <w:p>
      <w:pPr>
        <w:ind w:left="680" w:hanging="334"/>
        <w:spacing w:after="0"/>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67" w:lineRule="exact"/>
        <w:rPr>
          <w:sz w:val="20"/>
          <w:szCs w:val="20"/>
          <w:color w:val="auto"/>
        </w:rPr>
      </w:pPr>
    </w:p>
    <w:p>
      <w:pPr>
        <w:ind w:right="340" w:firstLine="342"/>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$800,000,000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139700</wp:posOffset>
            </wp:positionV>
            <wp:extent cx="2383790" cy="51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79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4"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PennantPark Floating Rate Capital Ltd. is a closed-end, externally managed, non-diversified investment company that has elected to be treated as a business development company, or BDC, under the Investment Company Act of 1940, as amended, or the 1940 Act.</w:t>
      </w:r>
    </w:p>
    <w:p>
      <w:pPr>
        <w:spacing w:after="0" w:line="58" w:lineRule="exact"/>
        <w:rPr>
          <w:sz w:val="20"/>
          <w:szCs w:val="20"/>
          <w:color w:val="auto"/>
        </w:rPr>
      </w:pPr>
    </w:p>
    <w:p>
      <w:pPr>
        <w:ind w:right="180" w:firstLine="456"/>
        <w:spacing w:after="0" w:line="233" w:lineRule="auto"/>
        <w:rPr>
          <w:sz w:val="20"/>
          <w:szCs w:val="20"/>
          <w:color w:val="auto"/>
        </w:rPr>
      </w:pPr>
      <w:r>
        <w:rPr>
          <w:rFonts w:ascii="Arial" w:cs="Arial" w:eastAsia="Arial" w:hAnsi="Arial"/>
          <w:sz w:val="14"/>
          <w:szCs w:val="14"/>
          <w:color w:val="auto"/>
        </w:rPr>
        <w:t>Our investment objectives are to generate current income and capital appreciation by investing primarily in Floating Rate Loans and other investments made to U.S. middle-market private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are managed by PennantPark Investment Advisers, LLC. PennantPark Investment Administration, LLC provides the administrative services necessary for us to operate.</w:t>
      </w:r>
    </w:p>
    <w:p>
      <w:pPr>
        <w:spacing w:after="0" w:line="69"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may offer, from time to time, in one or more offerings or series, together or separately, up to $800,000,000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6 and “Sales of Common Stock Below Net Asset Value” on page 39 of this prospectus for more information.</w:t>
      </w:r>
    </w:p>
    <w:p>
      <w:pPr>
        <w:spacing w:after="0" w:line="46"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Our common stock has been approved for quotation on the NASDAQ Global Select Market under the symbol “PFLT.” The last reported closing price for our common stock on September 13, 2013 was $13.61 per share, and our net asset value on June 30, 2013 was $13.98 per share.</w:t>
      </w:r>
    </w:p>
    <w:p>
      <w:pPr>
        <w:spacing w:after="0" w:line="58"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i w:val="1"/>
          <w:iCs w:val="1"/>
          <w:color w:val="auto"/>
        </w:rPr>
        <w:t>.</w:t>
      </w:r>
      <w:r>
        <w:rPr>
          <w:rFonts w:ascii="Arial" w:cs="Arial" w:eastAsia="Arial" w:hAnsi="Arial"/>
          <w:sz w:val="12"/>
          <w:szCs w:val="12"/>
          <w:color w:val="auto"/>
        </w:rPr>
        <w:t xml:space="preserve"> The information on our website is not incorporated by reference into this prospectus. The SEC also maintains a website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7" w:lineRule="exact"/>
        <w:rPr>
          <w:sz w:val="20"/>
          <w:szCs w:val="20"/>
          <w:color w:val="auto"/>
        </w:rPr>
      </w:pPr>
    </w:p>
    <w:p>
      <w:pPr>
        <w:ind w:right="80"/>
        <w:spacing w:after="0" w:line="241"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1">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6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ind w:right="220"/>
        <w:spacing w:after="0" w:line="241"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prospectus may not be used to consummate sales of securities unless accompanied by a prospectus supplement.</w:t>
      </w:r>
    </w:p>
    <w:p>
      <w:pPr>
        <w:spacing w:after="0" w:line="69" w:lineRule="exact"/>
        <w:rPr>
          <w:sz w:val="20"/>
          <w:szCs w:val="20"/>
          <w:color w:val="auto"/>
        </w:rPr>
      </w:pPr>
    </w:p>
    <w:p>
      <w:pPr>
        <w:ind w:left="4980"/>
        <w:spacing w:after="0"/>
        <w:tabs>
          <w:tab w:leader="none" w:pos="6080" w:val="left"/>
        </w:tabs>
        <w:rPr>
          <w:sz w:val="20"/>
          <w:szCs w:val="20"/>
          <w:color w:val="auto"/>
        </w:rPr>
      </w:pPr>
      <w:r>
        <w:rPr>
          <w:rFonts w:ascii="Arial" w:cs="Arial" w:eastAsia="Arial" w:hAnsi="Arial"/>
          <w:sz w:val="14"/>
          <w:szCs w:val="14"/>
          <w:b w:val="1"/>
          <w:bCs w:val="1"/>
          <w:color w:val="auto"/>
        </w:rPr>
        <w:t>Prospectus dated</w:t>
      </w:r>
      <w:r>
        <w:rPr>
          <w:sz w:val="20"/>
          <w:szCs w:val="20"/>
          <w:color w:val="auto"/>
        </w:rPr>
        <w:tab/>
      </w:r>
      <w:r>
        <w:rPr>
          <w:rFonts w:ascii="Arial" w:cs="Arial" w:eastAsia="Arial" w:hAnsi="Arial"/>
          <w:sz w:val="12"/>
          <w:szCs w:val="12"/>
          <w:b w:val="1"/>
          <w:bCs w:val="1"/>
          <w:color w:val="auto"/>
        </w:rPr>
        <w:t>, 2013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799"/>
        <w:spacing w:after="0" w:line="273" w:lineRule="auto"/>
        <w:rPr>
          <w:sz w:val="20"/>
          <w:szCs w:val="20"/>
          <w:color w:val="auto"/>
        </w:rPr>
      </w:pPr>
      <w:r>
        <w:rPr>
          <w:rFonts w:ascii="Arial" w:cs="Arial" w:eastAsia="Arial" w:hAnsi="Arial"/>
          <w:sz w:val="12"/>
          <w:szCs w:val="12"/>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340" w:type="dxa"/>
            <w:vAlign w:val="bottom"/>
            <w:gridSpan w:val="2"/>
          </w:tcPr>
          <w:p>
            <w:pPr>
              <w:ind w:left="540"/>
              <w:spacing w:after="0"/>
              <w:rPr>
                <w:sz w:val="20"/>
                <w:szCs w:val="20"/>
                <w:color w:val="auto"/>
              </w:rPr>
            </w:pPr>
            <w:r>
              <w:rPr>
                <w:rFonts w:ascii="Arial" w:cs="Arial" w:eastAsia="Arial" w:hAnsi="Arial"/>
                <w:sz w:val="14"/>
                <w:szCs w:val="14"/>
                <w:b w:val="1"/>
                <w:bCs w:val="1"/>
                <w:color w:val="auto"/>
              </w:rPr>
              <w:t>TABLE OF CONTENTS</w:t>
            </w:r>
          </w:p>
        </w:tc>
        <w:tc>
          <w:tcPr>
            <w:tcW w:w="560" w:type="dxa"/>
            <w:vAlign w:val="bottom"/>
          </w:tcPr>
          <w:p>
            <w:pPr>
              <w:spacing w:after="0"/>
              <w:rPr>
                <w:sz w:val="15"/>
                <w:szCs w:val="15"/>
                <w:color w:val="auto"/>
              </w:rPr>
            </w:pPr>
          </w:p>
        </w:tc>
      </w:tr>
      <w:tr>
        <w:trPr>
          <w:trHeight w:val="338"/>
        </w:trPr>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183"/>
        </w:trPr>
        <w:tc>
          <w:tcPr>
            <w:tcW w:w="1580" w:type="dxa"/>
            <w:vAlign w:val="bottom"/>
            <w:tcBorders>
              <w:bottom w:val="single" w:sz="8" w:color="0000EE"/>
            </w:tcBorders>
            <w:gridSpan w:val="11"/>
          </w:tcPr>
          <w:p>
            <w:pPr>
              <w:spacing w:after="0"/>
              <w:rPr>
                <w:rFonts w:ascii="Arial" w:cs="Arial" w:eastAsia="Arial" w:hAnsi="Arial"/>
                <w:sz w:val="14"/>
                <w:szCs w:val="14"/>
                <w:color w:val="0000EE"/>
                <w:w w:val="90"/>
              </w:rPr>
            </w:pPr>
            <w:hyperlink w:anchor="page6">
              <w:r>
                <w:rPr>
                  <w:rFonts w:ascii="Arial" w:cs="Arial" w:eastAsia="Arial" w:hAnsi="Arial"/>
                  <w:sz w:val="14"/>
                  <w:szCs w:val="14"/>
                  <w:color w:val="0000EE"/>
                  <w:w w:val="90"/>
                </w:rPr>
                <w:t>PROSPECTUS SUMMARY</w:t>
              </w:r>
            </w:hyperlink>
          </w:p>
        </w:tc>
        <w:tc>
          <w:tcPr>
            <w:tcW w:w="9220" w:type="dxa"/>
            <w:vAlign w:val="bottom"/>
            <w:gridSpan w:val="21"/>
          </w:tcPr>
          <w:p>
            <w:pPr>
              <w:spacing w:after="0"/>
              <w:rPr>
                <w:sz w:val="15"/>
                <w:szCs w:val="15"/>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w:t>
            </w:r>
          </w:p>
        </w:tc>
      </w:tr>
      <w:tr>
        <w:trPr>
          <w:trHeight w:val="196"/>
        </w:trPr>
        <w:tc>
          <w:tcPr>
            <w:tcW w:w="1360" w:type="dxa"/>
            <w:vAlign w:val="bottom"/>
            <w:tcBorders>
              <w:bottom w:val="single" w:sz="8" w:color="0000EE"/>
            </w:tcBorders>
            <w:gridSpan w:val="9"/>
          </w:tcPr>
          <w:p>
            <w:pPr>
              <w:spacing w:after="0"/>
              <w:rPr>
                <w:rFonts w:ascii="Arial" w:cs="Arial" w:eastAsia="Arial" w:hAnsi="Arial"/>
                <w:sz w:val="14"/>
                <w:szCs w:val="14"/>
                <w:color w:val="0000EE"/>
                <w:w w:val="89"/>
              </w:rPr>
            </w:pPr>
            <w:hyperlink w:anchor="page9">
              <w:r>
                <w:rPr>
                  <w:rFonts w:ascii="Arial" w:cs="Arial" w:eastAsia="Arial" w:hAnsi="Arial"/>
                  <w:sz w:val="14"/>
                  <w:szCs w:val="14"/>
                  <w:color w:val="0000EE"/>
                  <w:w w:val="89"/>
                </w:rPr>
                <w:t>FEES AND EXPENSES</w:t>
              </w:r>
            </w:hyperlink>
          </w:p>
        </w:tc>
        <w:tc>
          <w:tcPr>
            <w:tcW w:w="9440" w:type="dxa"/>
            <w:vAlign w:val="bottom"/>
            <w:gridSpan w:val="23"/>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RISK FACTORS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27">
              <w:r>
                <w:rPr>
                  <w:rFonts w:ascii="Arial" w:cs="Arial" w:eastAsia="Arial" w:hAnsi="Arial"/>
                  <w:sz w:val="14"/>
                  <w:szCs w:val="14"/>
                  <w:color w:val="0000EE"/>
                </w:rPr>
                <w:t>FORWARD-LOOKING STATEMENTS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22</w:t>
            </w:r>
          </w:p>
        </w:tc>
      </w:tr>
      <w:tr>
        <w:trPr>
          <w:trHeight w:val="196"/>
        </w:trPr>
        <w:tc>
          <w:tcPr>
            <w:tcW w:w="1200" w:type="dxa"/>
            <w:vAlign w:val="bottom"/>
            <w:tcBorders>
              <w:top w:val="single" w:sz="8" w:color="0000EE"/>
              <w:bottom w:val="single" w:sz="8" w:color="0000EE"/>
            </w:tcBorders>
            <w:gridSpan w:val="7"/>
          </w:tcPr>
          <w:p>
            <w:pPr>
              <w:spacing w:after="0"/>
              <w:rPr>
                <w:rFonts w:ascii="Arial" w:cs="Arial" w:eastAsia="Arial" w:hAnsi="Arial"/>
                <w:sz w:val="14"/>
                <w:szCs w:val="14"/>
                <w:color w:val="0000EE"/>
                <w:w w:val="87"/>
              </w:rPr>
            </w:pPr>
            <w:hyperlink w:anchor="page28">
              <w:r>
                <w:rPr>
                  <w:rFonts w:ascii="Arial" w:cs="Arial" w:eastAsia="Arial" w:hAnsi="Arial"/>
                  <w:sz w:val="14"/>
                  <w:szCs w:val="14"/>
                  <w:color w:val="0000EE"/>
                  <w:w w:val="87"/>
                </w:rPr>
                <w:t>USE OF PROCEEDS</w:t>
              </w:r>
            </w:hyperlink>
          </w:p>
        </w:tc>
        <w:tc>
          <w:tcPr>
            <w:tcW w:w="1000" w:type="dxa"/>
            <w:vAlign w:val="bottom"/>
            <w:tcBorders>
              <w:top w:val="single" w:sz="8" w:color="0000EE"/>
            </w:tcBorders>
            <w:gridSpan w:val="9"/>
          </w:tcPr>
          <w:p>
            <w:pPr>
              <w:spacing w:after="0"/>
              <w:rPr>
                <w:sz w:val="17"/>
                <w:szCs w:val="17"/>
                <w:color w:val="auto"/>
              </w:rPr>
            </w:pPr>
          </w:p>
        </w:tc>
        <w:tc>
          <w:tcPr>
            <w:tcW w:w="8600" w:type="dxa"/>
            <w:vAlign w:val="bottom"/>
            <w:gridSpan w:val="16"/>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23</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29">
              <w:r>
                <w:rPr>
                  <w:rFonts w:ascii="Arial" w:cs="Arial" w:eastAsia="Arial" w:hAnsi="Arial"/>
                  <w:sz w:val="14"/>
                  <w:szCs w:val="14"/>
                  <w:color w:val="0000EE"/>
                </w:rPr>
                <w:t>SELECTED FINANCIAL DATA</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24</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6700" w:type="dxa"/>
            <w:vAlign w:val="bottom"/>
            <w:tcBorders>
              <w:bottom w:val="single" w:sz="8" w:color="0000EE"/>
            </w:tcBorders>
            <w:gridSpan w:val="31"/>
          </w:tcPr>
          <w:p>
            <w:pPr>
              <w:spacing w:after="0"/>
              <w:rPr>
                <w:rFonts w:ascii="Arial" w:cs="Arial" w:eastAsia="Arial" w:hAnsi="Arial"/>
                <w:sz w:val="14"/>
                <w:szCs w:val="14"/>
                <w:color w:val="0000EE"/>
                <w:w w:val="93"/>
              </w:rPr>
            </w:pPr>
            <w:hyperlink w:anchor="page31">
              <w:r>
                <w:rPr>
                  <w:rFonts w:ascii="Arial" w:cs="Arial" w:eastAsia="Arial" w:hAnsi="Arial"/>
                  <w:sz w:val="14"/>
                  <w:szCs w:val="14"/>
                  <w:color w:val="0000EE"/>
                  <w:w w:val="93"/>
                </w:rPr>
                <w:t>MANAGEMENT’S DISCUSSION AND ANALYSIS OF FINANCIAL CONDITION AND RESULTS OF OPERATIONS</w:t>
              </w:r>
            </w:hyperlink>
          </w:p>
        </w:tc>
        <w:tc>
          <w:tcPr>
            <w:tcW w:w="410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26</w:t>
            </w:r>
          </w:p>
        </w:tc>
      </w:tr>
      <w:tr>
        <w:trPr>
          <w:trHeight w:val="196"/>
        </w:trPr>
        <w:tc>
          <w:tcPr>
            <w:tcW w:w="1300" w:type="dxa"/>
            <w:vAlign w:val="bottom"/>
            <w:tcBorders>
              <w:bottom w:val="single" w:sz="8" w:color="0000EE"/>
            </w:tcBorders>
            <w:gridSpan w:val="8"/>
          </w:tcPr>
          <w:p>
            <w:pPr>
              <w:spacing w:after="0"/>
              <w:rPr>
                <w:rFonts w:ascii="Arial" w:cs="Arial" w:eastAsia="Arial" w:hAnsi="Arial"/>
                <w:sz w:val="14"/>
                <w:szCs w:val="14"/>
                <w:color w:val="0000EE"/>
                <w:w w:val="90"/>
              </w:rPr>
            </w:pPr>
            <w:hyperlink w:anchor="page42">
              <w:r>
                <w:rPr>
                  <w:rFonts w:ascii="Arial" w:cs="Arial" w:eastAsia="Arial" w:hAnsi="Arial"/>
                  <w:sz w:val="14"/>
                  <w:szCs w:val="14"/>
                  <w:color w:val="0000EE"/>
                  <w:w w:val="90"/>
                </w:rPr>
                <w:t>SENIOR SECURITIES</w:t>
              </w:r>
            </w:hyperlink>
          </w:p>
        </w:tc>
        <w:tc>
          <w:tcPr>
            <w:tcW w:w="9500" w:type="dxa"/>
            <w:vAlign w:val="bottom"/>
            <w:gridSpan w:val="24"/>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37</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PRICE RANGE OF COMMON STOCK</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38</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44">
              <w:r>
                <w:rPr>
                  <w:rFonts w:ascii="Arial" w:cs="Arial" w:eastAsia="Arial" w:hAnsi="Arial"/>
                  <w:sz w:val="14"/>
                  <w:szCs w:val="14"/>
                  <w:color w:val="0000EE"/>
                </w:rPr>
                <w:t>SALES OF COMMON STOCK BELOW NET ASSET VALUE</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39</w:t>
            </w:r>
          </w:p>
        </w:tc>
      </w:tr>
      <w:tr>
        <w:trPr>
          <w:trHeight w:val="196"/>
        </w:trPr>
        <w:tc>
          <w:tcPr>
            <w:tcW w:w="3480" w:type="dxa"/>
            <w:vAlign w:val="bottom"/>
            <w:tcBorders>
              <w:top w:val="single" w:sz="8" w:color="0000EE"/>
            </w:tcBorders>
            <w:gridSpan w:val="27"/>
          </w:tcPr>
          <w:p>
            <w:pPr>
              <w:spacing w:after="0"/>
              <w:rPr>
                <w:rFonts w:ascii="Arial" w:cs="Arial" w:eastAsia="Arial" w:hAnsi="Arial"/>
                <w:sz w:val="14"/>
                <w:szCs w:val="14"/>
                <w:color w:val="0000EE"/>
              </w:rPr>
            </w:pPr>
            <w:hyperlink w:anchor="page48">
              <w:r>
                <w:rPr>
                  <w:rFonts w:ascii="Arial" w:cs="Arial" w:eastAsia="Arial" w:hAnsi="Arial"/>
                  <w:sz w:val="14"/>
                  <w:szCs w:val="14"/>
                  <w:color w:val="0000EE"/>
                </w:rPr>
                <w:t>DISTRIBUTIONS</w:t>
              </w:r>
            </w:hyperlink>
          </w:p>
        </w:tc>
        <w:tc>
          <w:tcPr>
            <w:tcW w:w="7320" w:type="dxa"/>
            <w:vAlign w:val="bottom"/>
            <w:gridSpan w:val="5"/>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43</w:t>
            </w:r>
          </w:p>
        </w:tc>
      </w:tr>
      <w:tr>
        <w:trPr>
          <w:trHeight w:val="196"/>
        </w:trPr>
        <w:tc>
          <w:tcPr>
            <w:tcW w:w="1020" w:type="dxa"/>
            <w:vAlign w:val="bottom"/>
            <w:tcBorders>
              <w:top w:val="single" w:sz="8" w:color="0000EE"/>
            </w:tcBorders>
            <w:gridSpan w:val="5"/>
          </w:tcPr>
          <w:p>
            <w:pPr>
              <w:spacing w:after="0"/>
              <w:rPr>
                <w:rFonts w:ascii="Arial" w:cs="Arial" w:eastAsia="Arial" w:hAnsi="Arial"/>
                <w:sz w:val="14"/>
                <w:szCs w:val="14"/>
                <w:color w:val="0000EE"/>
              </w:rPr>
            </w:pPr>
            <w:hyperlink w:anchor="page49">
              <w:r>
                <w:rPr>
                  <w:rFonts w:ascii="Arial" w:cs="Arial" w:eastAsia="Arial" w:hAnsi="Arial"/>
                  <w:sz w:val="14"/>
                  <w:szCs w:val="14"/>
                  <w:color w:val="0000EE"/>
                </w:rPr>
                <w:t>BUSINESS</w:t>
              </w:r>
            </w:hyperlink>
          </w:p>
        </w:tc>
        <w:tc>
          <w:tcPr>
            <w:tcW w:w="9780" w:type="dxa"/>
            <w:vAlign w:val="bottom"/>
            <w:gridSpan w:val="27"/>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44</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660" w:type="dxa"/>
            <w:vAlign w:val="bottom"/>
            <w:tcBorders>
              <w:bottom w:val="single" w:sz="8" w:color="0000EE"/>
            </w:tcBorders>
            <w:gridSpan w:val="21"/>
          </w:tcPr>
          <w:p>
            <w:pPr>
              <w:spacing w:after="0"/>
              <w:rPr>
                <w:rFonts w:ascii="Arial" w:cs="Arial" w:eastAsia="Arial" w:hAnsi="Arial"/>
                <w:sz w:val="14"/>
                <w:szCs w:val="14"/>
                <w:color w:val="0000EE"/>
                <w:w w:val="93"/>
              </w:rPr>
            </w:pPr>
            <w:hyperlink w:anchor="page52">
              <w:r>
                <w:rPr>
                  <w:rFonts w:ascii="Arial" w:cs="Arial" w:eastAsia="Arial" w:hAnsi="Arial"/>
                  <w:sz w:val="14"/>
                  <w:szCs w:val="14"/>
                  <w:color w:val="0000EE"/>
                  <w:w w:val="93"/>
                </w:rPr>
                <w:t>INVESTMENT OBJECTIVES AND POLICIES</w:t>
              </w:r>
            </w:hyperlink>
          </w:p>
        </w:tc>
        <w:tc>
          <w:tcPr>
            <w:tcW w:w="8140" w:type="dxa"/>
            <w:vAlign w:val="bottom"/>
            <w:gridSpan w:val="11"/>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47</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PORTFOLIO COMPANIES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53</w:t>
            </w:r>
          </w:p>
        </w:tc>
      </w:tr>
      <w:tr>
        <w:trPr>
          <w:trHeight w:val="196"/>
        </w:trPr>
        <w:tc>
          <w:tcPr>
            <w:tcW w:w="1540" w:type="dxa"/>
            <w:vAlign w:val="bottom"/>
            <w:tcBorders>
              <w:top w:val="single" w:sz="8" w:color="0000EE"/>
            </w:tcBorders>
            <w:gridSpan w:val="10"/>
          </w:tcPr>
          <w:p>
            <w:pPr>
              <w:spacing w:after="0"/>
              <w:rPr>
                <w:rFonts w:ascii="Arial" w:cs="Arial" w:eastAsia="Arial" w:hAnsi="Arial"/>
                <w:sz w:val="14"/>
                <w:szCs w:val="14"/>
                <w:color w:val="0000EE"/>
              </w:rPr>
            </w:pPr>
            <w:hyperlink w:anchor="page65">
              <w:r>
                <w:rPr>
                  <w:rFonts w:ascii="Arial" w:cs="Arial" w:eastAsia="Arial" w:hAnsi="Arial"/>
                  <w:sz w:val="14"/>
                  <w:szCs w:val="14"/>
                  <w:color w:val="0000EE"/>
                </w:rPr>
                <w:t>MANAGEMENT</w:t>
              </w:r>
            </w:hyperlink>
          </w:p>
        </w:tc>
        <w:tc>
          <w:tcPr>
            <w:tcW w:w="9260" w:type="dxa"/>
            <w:vAlign w:val="bottom"/>
            <w:gridSpan w:val="22"/>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60</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3420" w:type="dxa"/>
            <w:vAlign w:val="bottom"/>
            <w:tcBorders>
              <w:bottom w:val="single" w:sz="8" w:color="0000EE"/>
            </w:tcBorders>
            <w:gridSpan w:val="26"/>
          </w:tcPr>
          <w:p>
            <w:pPr>
              <w:spacing w:after="0"/>
              <w:rPr>
                <w:rFonts w:ascii="Arial" w:cs="Arial" w:eastAsia="Arial" w:hAnsi="Arial"/>
                <w:sz w:val="14"/>
                <w:szCs w:val="14"/>
                <w:color w:val="0000EE"/>
                <w:w w:val="91"/>
              </w:rPr>
            </w:pPr>
            <w:hyperlink w:anchor="page70">
              <w:r>
                <w:rPr>
                  <w:rFonts w:ascii="Arial" w:cs="Arial" w:eastAsia="Arial" w:hAnsi="Arial"/>
                  <w:sz w:val="14"/>
                  <w:szCs w:val="14"/>
                  <w:color w:val="0000EE"/>
                  <w:w w:val="91"/>
                </w:rPr>
                <w:t>CONTROL PERSONS AND PRINCIPAL STOCKHOLDERS</w:t>
              </w:r>
            </w:hyperlink>
          </w:p>
        </w:tc>
        <w:tc>
          <w:tcPr>
            <w:tcW w:w="7380" w:type="dxa"/>
            <w:vAlign w:val="bottom"/>
            <w:gridSpan w:val="6"/>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65</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72">
              <w:r>
                <w:rPr>
                  <w:rFonts w:ascii="Arial" w:cs="Arial" w:eastAsia="Arial" w:hAnsi="Arial"/>
                  <w:sz w:val="14"/>
                  <w:szCs w:val="14"/>
                  <w:color w:val="0000EE"/>
                </w:rPr>
                <w:t>CERTAIN RELATIONSHIPS AND TRANSACTIONS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67</w:t>
            </w:r>
          </w:p>
        </w:tc>
      </w:tr>
      <w:tr>
        <w:trPr>
          <w:trHeight w:val="196"/>
        </w:trPr>
        <w:tc>
          <w:tcPr>
            <w:tcW w:w="2540" w:type="dxa"/>
            <w:vAlign w:val="bottom"/>
            <w:tcBorders>
              <w:top w:val="single" w:sz="8" w:color="0000EE"/>
              <w:bottom w:val="single" w:sz="8" w:color="0000EE"/>
            </w:tcBorders>
            <w:gridSpan w:val="19"/>
          </w:tcPr>
          <w:p>
            <w:pPr>
              <w:spacing w:after="0"/>
              <w:rPr>
                <w:rFonts w:ascii="Arial" w:cs="Arial" w:eastAsia="Arial" w:hAnsi="Arial"/>
                <w:sz w:val="14"/>
                <w:szCs w:val="14"/>
                <w:color w:val="0000EE"/>
                <w:w w:val="93"/>
              </w:rPr>
            </w:pPr>
            <w:hyperlink w:anchor="page78">
              <w:r>
                <w:rPr>
                  <w:rFonts w:ascii="Arial" w:cs="Arial" w:eastAsia="Arial" w:hAnsi="Arial"/>
                  <w:sz w:val="14"/>
                  <w:szCs w:val="14"/>
                  <w:color w:val="0000EE"/>
                  <w:w w:val="93"/>
                </w:rPr>
                <w:t>DETERMINATION OF NET ASSET VALUE</w:t>
              </w:r>
            </w:hyperlink>
          </w:p>
        </w:tc>
        <w:tc>
          <w:tcPr>
            <w:tcW w:w="480" w:type="dxa"/>
            <w:vAlign w:val="bottom"/>
            <w:tcBorders>
              <w:top w:val="single" w:sz="8" w:color="0000EE"/>
            </w:tcBorders>
            <w:gridSpan w:val="5"/>
          </w:tcPr>
          <w:p>
            <w:pPr>
              <w:spacing w:after="0"/>
              <w:rPr>
                <w:sz w:val="17"/>
                <w:szCs w:val="17"/>
                <w:color w:val="auto"/>
              </w:rPr>
            </w:pPr>
          </w:p>
        </w:tc>
        <w:tc>
          <w:tcPr>
            <w:tcW w:w="7780" w:type="dxa"/>
            <w:vAlign w:val="bottom"/>
            <w:gridSpan w:val="8"/>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73</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80">
              <w:r>
                <w:rPr>
                  <w:rFonts w:ascii="Arial" w:cs="Arial" w:eastAsia="Arial" w:hAnsi="Arial"/>
                  <w:sz w:val="14"/>
                  <w:szCs w:val="14"/>
                  <w:color w:val="0000EE"/>
                </w:rPr>
                <w:t>DIVIDEND REINVESTMENT PLAN</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75</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8"/>
          </w:tcPr>
          <w:p>
            <w:pPr>
              <w:spacing w:after="0"/>
              <w:rPr>
                <w:rFonts w:ascii="Arial" w:cs="Arial" w:eastAsia="Arial" w:hAnsi="Arial"/>
                <w:sz w:val="14"/>
                <w:szCs w:val="14"/>
                <w:color w:val="0000EE"/>
                <w:w w:val="91"/>
              </w:rPr>
            </w:pPr>
            <w:hyperlink w:anchor="page81">
              <w:r>
                <w:rPr>
                  <w:rFonts w:ascii="Arial" w:cs="Arial" w:eastAsia="Arial" w:hAnsi="Arial"/>
                  <w:sz w:val="14"/>
                  <w:szCs w:val="14"/>
                  <w:color w:val="0000EE"/>
                  <w:w w:val="91"/>
                </w:rPr>
                <w:t>DESCRIPTION OF OUR CAPITAL STOCK</w:t>
              </w:r>
            </w:hyperlink>
          </w:p>
        </w:tc>
        <w:tc>
          <w:tcPr>
            <w:tcW w:w="8320" w:type="dxa"/>
            <w:vAlign w:val="bottom"/>
            <w:gridSpan w:val="14"/>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76</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85">
              <w:r>
                <w:rPr>
                  <w:rFonts w:ascii="Arial" w:cs="Arial" w:eastAsia="Arial" w:hAnsi="Arial"/>
                  <w:sz w:val="14"/>
                  <w:szCs w:val="14"/>
                  <w:color w:val="0000EE"/>
                </w:rPr>
                <w:t>DESCRIPTION OF OUR PREFERRED STOCK</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80</w:t>
            </w:r>
          </w:p>
        </w:tc>
      </w:tr>
      <w:tr>
        <w:trPr>
          <w:trHeight w:val="196"/>
        </w:trPr>
        <w:tc>
          <w:tcPr>
            <w:tcW w:w="2680" w:type="dxa"/>
            <w:vAlign w:val="bottom"/>
            <w:tcBorders>
              <w:top w:val="single" w:sz="8" w:color="0000EE"/>
            </w:tcBorders>
            <w:gridSpan w:val="22"/>
          </w:tcPr>
          <w:p>
            <w:pPr>
              <w:spacing w:after="0"/>
              <w:rPr>
                <w:rFonts w:ascii="Arial" w:cs="Arial" w:eastAsia="Arial" w:hAnsi="Arial"/>
                <w:sz w:val="14"/>
                <w:szCs w:val="14"/>
                <w:color w:val="0000EE"/>
              </w:rPr>
            </w:pPr>
            <w:hyperlink w:anchor="page86">
              <w:r>
                <w:rPr>
                  <w:rFonts w:ascii="Arial" w:cs="Arial" w:eastAsia="Arial" w:hAnsi="Arial"/>
                  <w:sz w:val="14"/>
                  <w:szCs w:val="14"/>
                  <w:color w:val="0000EE"/>
                </w:rPr>
                <w:t>DESCRIPTION OF OUR WARRANTS</w:t>
              </w:r>
            </w:hyperlink>
          </w:p>
        </w:tc>
        <w:tc>
          <w:tcPr>
            <w:tcW w:w="8120" w:type="dxa"/>
            <w:vAlign w:val="bottom"/>
            <w:gridSpan w:val="10"/>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81</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87">
              <w:r>
                <w:rPr>
                  <w:rFonts w:ascii="Arial" w:cs="Arial" w:eastAsia="Arial" w:hAnsi="Arial"/>
                  <w:sz w:val="14"/>
                  <w:szCs w:val="14"/>
                  <w:color w:val="0000EE"/>
                </w:rPr>
                <w:t>DESCRIPTION OF OUR SUBSCRIPTION RIGHTS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82</w:t>
            </w:r>
          </w:p>
        </w:tc>
      </w:tr>
      <w:tr>
        <w:trPr>
          <w:trHeight w:val="196"/>
        </w:trPr>
        <w:tc>
          <w:tcPr>
            <w:tcW w:w="2600" w:type="dxa"/>
            <w:vAlign w:val="bottom"/>
            <w:tcBorders>
              <w:top w:val="single" w:sz="8" w:color="0000EE"/>
              <w:bottom w:val="single" w:sz="8" w:color="0000EE"/>
            </w:tcBorders>
            <w:gridSpan w:val="20"/>
          </w:tcPr>
          <w:p>
            <w:pPr>
              <w:spacing w:after="0"/>
              <w:rPr>
                <w:rFonts w:ascii="Arial" w:cs="Arial" w:eastAsia="Arial" w:hAnsi="Arial"/>
                <w:sz w:val="14"/>
                <w:szCs w:val="14"/>
                <w:color w:val="0000EE"/>
                <w:w w:val="91"/>
              </w:rPr>
            </w:pPr>
            <w:hyperlink w:anchor="page88">
              <w:r>
                <w:rPr>
                  <w:rFonts w:ascii="Arial" w:cs="Arial" w:eastAsia="Arial" w:hAnsi="Arial"/>
                  <w:sz w:val="14"/>
                  <w:szCs w:val="14"/>
                  <w:color w:val="0000EE"/>
                  <w:w w:val="91"/>
                </w:rPr>
                <w:t>DESCRIPTION OF OUR DEBT SECURITIES</w:t>
              </w:r>
            </w:hyperlink>
          </w:p>
        </w:tc>
        <w:tc>
          <w:tcPr>
            <w:tcW w:w="320" w:type="dxa"/>
            <w:vAlign w:val="bottom"/>
            <w:tcBorders>
              <w:top w:val="single" w:sz="8" w:color="0000EE"/>
            </w:tcBorders>
            <w:gridSpan w:val="3"/>
          </w:tcPr>
          <w:p>
            <w:pPr>
              <w:spacing w:after="0"/>
              <w:rPr>
                <w:sz w:val="17"/>
                <w:szCs w:val="17"/>
                <w:color w:val="auto"/>
              </w:rPr>
            </w:pPr>
          </w:p>
        </w:tc>
        <w:tc>
          <w:tcPr>
            <w:tcW w:w="7880" w:type="dxa"/>
            <w:vAlign w:val="bottom"/>
            <w:gridSpan w:val="9"/>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83</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98">
              <w:r>
                <w:rPr>
                  <w:rFonts w:ascii="Arial" w:cs="Arial" w:eastAsia="Arial" w:hAnsi="Arial"/>
                  <w:sz w:val="14"/>
                  <w:szCs w:val="14"/>
                  <w:color w:val="0000EE"/>
                </w:rPr>
                <w:t>REGULATION</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93</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60" w:type="dxa"/>
            <w:vAlign w:val="bottom"/>
            <w:gridSpan w:val="1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102">
              <w:r>
                <w:rPr>
                  <w:rFonts w:ascii="Arial" w:cs="Arial" w:eastAsia="Arial" w:hAnsi="Arial"/>
                  <w:sz w:val="14"/>
                  <w:szCs w:val="14"/>
                  <w:color w:val="0000EE"/>
                </w:rPr>
                <w:t>BROKERAGE ALLOCATIONS AND OTHER PRACTICES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97</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60" w:type="dxa"/>
            <w:vAlign w:val="bottom"/>
            <w:tcBorders>
              <w:right w:val="single" w:sz="8" w:color="0000EE"/>
            </w:tcBorders>
            <w:gridSpan w:val="1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103">
              <w:r>
                <w:rPr>
                  <w:rFonts w:ascii="Arial" w:cs="Arial" w:eastAsia="Arial" w:hAnsi="Arial"/>
                  <w:sz w:val="14"/>
                  <w:szCs w:val="14"/>
                  <w:color w:val="0000EE"/>
                </w:rPr>
                <w:t>MATERIAL U.S. FEDERAL INCOME TAX CONSIDERATIONS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98</w:t>
            </w:r>
          </w:p>
        </w:tc>
      </w:tr>
      <w:tr>
        <w:trPr>
          <w:trHeight w:val="196"/>
        </w:trPr>
        <w:tc>
          <w:tcPr>
            <w:tcW w:w="3660" w:type="dxa"/>
            <w:vAlign w:val="bottom"/>
            <w:tcBorders>
              <w:top w:val="single" w:sz="8" w:color="0000EE"/>
            </w:tcBorders>
            <w:gridSpan w:val="29"/>
          </w:tcPr>
          <w:p>
            <w:pPr>
              <w:spacing w:after="0"/>
              <w:rPr>
                <w:rFonts w:ascii="Arial" w:cs="Arial" w:eastAsia="Arial" w:hAnsi="Arial"/>
                <w:sz w:val="14"/>
                <w:szCs w:val="14"/>
                <w:color w:val="0000EE"/>
              </w:rPr>
            </w:pPr>
            <w:hyperlink w:anchor="page107">
              <w:r>
                <w:rPr>
                  <w:rFonts w:ascii="Arial" w:cs="Arial" w:eastAsia="Arial" w:hAnsi="Arial"/>
                  <w:sz w:val="14"/>
                  <w:szCs w:val="14"/>
                  <w:color w:val="0000EE"/>
                </w:rPr>
                <w:t>PLAN OF DISTRIBUTION</w:t>
              </w:r>
            </w:hyperlink>
          </w:p>
        </w:tc>
        <w:tc>
          <w:tcPr>
            <w:tcW w:w="7140" w:type="dxa"/>
            <w:vAlign w:val="bottom"/>
            <w:gridSpan w:val="3"/>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102</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60" w:type="dxa"/>
            <w:vAlign w:val="bottom"/>
            <w:gridSpan w:val="1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108">
              <w:r>
                <w:rPr>
                  <w:rFonts w:ascii="Arial" w:cs="Arial" w:eastAsia="Arial" w:hAnsi="Arial"/>
                  <w:sz w:val="14"/>
                  <w:szCs w:val="14"/>
                  <w:color w:val="0000EE"/>
                </w:rPr>
                <w:t>SUB-ADMINISTRATOR, CUSTODIAN, TRANSFER AGENT AND TRUSTEE</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103</w:t>
            </w:r>
          </w:p>
        </w:tc>
      </w:tr>
      <w:tr>
        <w:trPr>
          <w:trHeight w:val="196"/>
        </w:trPr>
        <w:tc>
          <w:tcPr>
            <w:tcW w:w="1100" w:type="dxa"/>
            <w:vAlign w:val="bottom"/>
            <w:tcBorders>
              <w:top w:val="single" w:sz="8" w:color="0000EE"/>
              <w:bottom w:val="single" w:sz="8" w:color="0000EE"/>
            </w:tcBorders>
            <w:gridSpan w:val="6"/>
          </w:tcPr>
          <w:p>
            <w:pPr>
              <w:spacing w:after="0"/>
              <w:rPr>
                <w:rFonts w:ascii="Arial" w:cs="Arial" w:eastAsia="Arial" w:hAnsi="Arial"/>
                <w:sz w:val="14"/>
                <w:szCs w:val="14"/>
                <w:color w:val="0000EE"/>
                <w:w w:val="93"/>
              </w:rPr>
            </w:pPr>
            <w:hyperlink w:anchor="page108">
              <w:r>
                <w:rPr>
                  <w:rFonts w:ascii="Arial" w:cs="Arial" w:eastAsia="Arial" w:hAnsi="Arial"/>
                  <w:sz w:val="14"/>
                  <w:szCs w:val="14"/>
                  <w:color w:val="0000EE"/>
                  <w:w w:val="93"/>
                </w:rPr>
                <w:t>LEGAL MATTERS</w:t>
              </w:r>
            </w:hyperlink>
          </w:p>
        </w:tc>
        <w:tc>
          <w:tcPr>
            <w:tcW w:w="3360" w:type="dxa"/>
            <w:vAlign w:val="bottom"/>
            <w:tcBorders>
              <w:top w:val="single" w:sz="8" w:color="0000EE"/>
            </w:tcBorders>
            <w:gridSpan w:val="24"/>
          </w:tcPr>
          <w:p>
            <w:pPr>
              <w:spacing w:after="0"/>
              <w:rPr>
                <w:sz w:val="17"/>
                <w:szCs w:val="17"/>
                <w:color w:val="auto"/>
              </w:rPr>
            </w:pPr>
          </w:p>
        </w:tc>
        <w:tc>
          <w:tcPr>
            <w:tcW w:w="6340" w:type="dxa"/>
            <w:vAlign w:val="bottom"/>
            <w:gridSpan w:val="2"/>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103</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108">
              <w:r>
                <w:rPr>
                  <w:rFonts w:ascii="Arial" w:cs="Arial" w:eastAsia="Arial" w:hAnsi="Arial"/>
                  <w:sz w:val="14"/>
                  <w:szCs w:val="14"/>
                  <w:color w:val="0000EE"/>
                </w:rPr>
                <w:t>INDEPENDENT REGISTERED PUBLIC ACCOUNTING FIRM</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103</w:t>
            </w:r>
          </w:p>
        </w:tc>
      </w:tr>
      <w:tr>
        <w:trPr>
          <w:trHeight w:val="196"/>
        </w:trPr>
        <w:tc>
          <w:tcPr>
            <w:tcW w:w="3600" w:type="dxa"/>
            <w:vAlign w:val="bottom"/>
            <w:tcBorders>
              <w:top w:val="single" w:sz="8" w:color="0000EE"/>
            </w:tcBorders>
            <w:gridSpan w:val="28"/>
          </w:tcPr>
          <w:p>
            <w:pPr>
              <w:spacing w:after="0"/>
              <w:rPr>
                <w:rFonts w:ascii="Arial" w:cs="Arial" w:eastAsia="Arial" w:hAnsi="Arial"/>
                <w:sz w:val="14"/>
                <w:szCs w:val="14"/>
                <w:color w:val="0000EE"/>
              </w:rPr>
            </w:pPr>
            <w:hyperlink w:anchor="page109">
              <w:r>
                <w:rPr>
                  <w:rFonts w:ascii="Arial" w:cs="Arial" w:eastAsia="Arial" w:hAnsi="Arial"/>
                  <w:sz w:val="14"/>
                  <w:szCs w:val="14"/>
                  <w:color w:val="0000EE"/>
                </w:rPr>
                <w:t>INDEX TO CONSOLIDATED FINANCIAL STATEMENTS</w:t>
              </w:r>
            </w:hyperlink>
          </w:p>
        </w:tc>
        <w:tc>
          <w:tcPr>
            <w:tcW w:w="7200" w:type="dxa"/>
            <w:vAlign w:val="bottom"/>
            <w:gridSpan w:val="4"/>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F-1</w:t>
            </w:r>
          </w:p>
        </w:tc>
      </w:tr>
      <w:tr>
        <w:trPr>
          <w:trHeight w:val="196"/>
        </w:trPr>
        <w:tc>
          <w:tcPr>
            <w:tcW w:w="3360" w:type="dxa"/>
            <w:vAlign w:val="bottom"/>
            <w:tcBorders>
              <w:top w:val="single" w:sz="8" w:color="0000EE"/>
            </w:tcBorders>
            <w:gridSpan w:val="25"/>
          </w:tcPr>
          <w:p>
            <w:pPr>
              <w:spacing w:after="0"/>
              <w:rPr>
                <w:rFonts w:ascii="Arial" w:cs="Arial" w:eastAsia="Arial" w:hAnsi="Arial"/>
                <w:sz w:val="14"/>
                <w:szCs w:val="14"/>
                <w:color w:val="0000EE"/>
              </w:rPr>
            </w:pPr>
            <w:hyperlink w:anchor="page155">
              <w:r>
                <w:rPr>
                  <w:rFonts w:ascii="Arial" w:cs="Arial" w:eastAsia="Arial" w:hAnsi="Arial"/>
                  <w:sz w:val="14"/>
                  <w:szCs w:val="14"/>
                  <w:color w:val="0000EE"/>
                </w:rPr>
                <w:t>PART C OTHER INFORMATION</w:t>
              </w:r>
            </w:hyperlink>
          </w:p>
        </w:tc>
        <w:tc>
          <w:tcPr>
            <w:tcW w:w="7440" w:type="dxa"/>
            <w:vAlign w:val="bottom"/>
            <w:gridSpan w:val="7"/>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C-1</w:t>
            </w:r>
          </w:p>
        </w:tc>
      </w:tr>
      <w:tr>
        <w:trPr>
          <w:trHeight w:val="196"/>
        </w:trPr>
        <w:tc>
          <w:tcPr>
            <w:tcW w:w="860" w:type="dxa"/>
            <w:vAlign w:val="bottom"/>
            <w:tcBorders>
              <w:top w:val="single" w:sz="8" w:color="0000EE"/>
              <w:bottom w:val="single" w:sz="8" w:color="0000EE"/>
            </w:tcBorders>
            <w:gridSpan w:val="2"/>
          </w:tcPr>
          <w:p>
            <w:pPr>
              <w:spacing w:after="0"/>
              <w:rPr>
                <w:rFonts w:ascii="Arial" w:cs="Arial" w:eastAsia="Arial" w:hAnsi="Arial"/>
                <w:sz w:val="14"/>
                <w:szCs w:val="14"/>
                <w:color w:val="0000EE"/>
                <w:w w:val="90"/>
              </w:rPr>
            </w:pPr>
            <w:hyperlink w:anchor="page165">
              <w:r>
                <w:rPr>
                  <w:rFonts w:ascii="Arial" w:cs="Arial" w:eastAsia="Arial" w:hAnsi="Arial"/>
                  <w:sz w:val="14"/>
                  <w:szCs w:val="14"/>
                  <w:color w:val="0000EE"/>
                  <w:w w:val="90"/>
                </w:rPr>
                <w:t>SIGNATURES</w:t>
              </w:r>
            </w:hyperlink>
          </w:p>
        </w:tc>
        <w:tc>
          <w:tcPr>
            <w:tcW w:w="1040" w:type="dxa"/>
            <w:vAlign w:val="bottom"/>
            <w:tcBorders>
              <w:top w:val="single" w:sz="8" w:color="0000EE"/>
            </w:tcBorders>
            <w:gridSpan w:val="11"/>
          </w:tcPr>
          <w:p>
            <w:pPr>
              <w:spacing w:after="0"/>
              <w:rPr>
                <w:sz w:val="17"/>
                <w:szCs w:val="17"/>
                <w:color w:val="auto"/>
              </w:rPr>
            </w:pPr>
          </w:p>
        </w:tc>
        <w:tc>
          <w:tcPr>
            <w:tcW w:w="8900" w:type="dxa"/>
            <w:vAlign w:val="bottom"/>
            <w:gridSpan w:val="19"/>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C-11</w:t>
            </w:r>
          </w:p>
        </w:tc>
      </w:tr>
    </w:tbl>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ABOUT THIS PROSPECTUS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This prospectus is part of a registration statement that we have filed with the SEC using the “shelf” registration process. Under the shelf registration process, we may offer from time to time up to</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$800,000,000 of our common stock, preferred stock, warrants representing rights to purchase shares of our common stock, preferred stock or debt securities, subscription rights, or debt securities, on the terms to</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be determined at the time of the offering. We may sell our securities through underwriters or dealers, “at-the-market” to or through a market maker, into an existing trading market or otherwise directly to one or</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more purchasers or through agents or through a combination of methods of sale. The identities of such underwriters, dealers, market makers or agents, as the case may be, will be described in one or more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supplements to this prospectus. The securities may be offered at prices and on terms described in one or more supplements to this prospectus. This prospectus provides you with a general description of the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securities that we may offer. The information contained in this prospectus is accurate only as of the date on the front of this prospectus and our business, financial condition, results of operations and prospectus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may have changed since that date. Each time we use this prospectus to offer securities, we will provide a prospectus supplement that will contain specific information about the terms of that offering. The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prospectus supplement may also add, update or change information contained in this prospectus. Please carefully read this prospectus and any prospectus supplement, together with any exhibits, before you make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an investment decision.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55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3555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PROSPECTUS SUMMARY</w:t>
      </w:r>
    </w:p>
    <w:p>
      <w:pPr>
        <w:spacing w:after="0" w:line="2" w:lineRule="exact"/>
        <w:rPr>
          <w:sz w:val="20"/>
          <w:szCs w:val="20"/>
          <w:color w:val="auto"/>
        </w:rPr>
      </w:pPr>
    </w:p>
    <w:p>
      <w:pPr>
        <w:ind w:left="200" w:right="20" w:firstLine="443"/>
        <w:spacing w:after="0" w:line="263" w:lineRule="auto"/>
        <w:rPr>
          <w:sz w:val="20"/>
          <w:szCs w:val="20"/>
          <w:color w:val="auto"/>
        </w:rPr>
      </w:pPr>
      <w:r>
        <w:rPr>
          <w:rFonts w:ascii="Arial" w:cs="Arial" w:eastAsia="Arial" w:hAnsi="Arial"/>
          <w:sz w:val="12"/>
          <w:szCs w:val="12"/>
          <w:i w:val="1"/>
          <w:iCs w:val="1"/>
          <w:color w:val="auto"/>
        </w:rPr>
        <w:t>This summary highlights some of the information in this prospectus. It is not complete and may not contain all of the information that you may want to consider.References to our portfolio and investments include investments we make through any consolidated subsidiaries. Some of the statements in this prospectus constitute forward-looking statements, which apply to both us and any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and “Company” refer to PennantPark Floating Rate Capital Ltd. and its consolidated subsidiary; “Funding I” or “our subsidiary” refers to our consolidated subsidiary, PennantPark Floating Rate Funding I, LLC; “PennantPark Investment Advisers” or “Investment Adviser” refers to PennantPark Investment Advisers, LLC; and “PennantPark Investment Administration” or “Administrator” refers to PennantPark Investment Administration, LLC.</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General Business of PennantPark Floating Rate Capital Ltd.</w:t>
      </w:r>
    </w:p>
    <w:p>
      <w:pPr>
        <w:spacing w:after="0" w:line="71" w:lineRule="exact"/>
        <w:rPr>
          <w:sz w:val="20"/>
          <w:szCs w:val="20"/>
          <w:color w:val="auto"/>
        </w:rPr>
      </w:pPr>
    </w:p>
    <w:p>
      <w:pPr>
        <w:ind w:left="200" w:right="280" w:firstLine="443"/>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139" w:lineRule="exact"/>
        <w:rPr>
          <w:sz w:val="20"/>
          <w:szCs w:val="20"/>
          <w:color w:val="auto"/>
        </w:rPr>
      </w:pPr>
    </w:p>
    <w:p>
      <w:pPr>
        <w:ind w:left="200" w:right="40" w:firstLine="443"/>
        <w:spacing w:after="0" w:line="268" w:lineRule="auto"/>
        <w:rPr>
          <w:sz w:val="20"/>
          <w:szCs w:val="20"/>
          <w:color w:val="auto"/>
        </w:rPr>
      </w:pPr>
      <w:r>
        <w:rPr>
          <w:rFonts w:ascii="Arial" w:cs="Arial" w:eastAsia="Arial" w:hAnsi="Arial"/>
          <w:sz w:val="12"/>
          <w:szCs w:val="12"/>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U.S. middle-market public companies that are thinly traded or have a small market-capitalization.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3" w:lineRule="exact"/>
        <w:rPr>
          <w:sz w:val="20"/>
          <w:szCs w:val="20"/>
          <w:color w:val="auto"/>
        </w:rPr>
      </w:pPr>
    </w:p>
    <w:p>
      <w:pPr>
        <w:ind w:left="200" w:right="140" w:firstLine="443"/>
        <w:spacing w:after="0" w:line="228"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which means our net assets plus any borrowings for investment purposes, will be invested in Floating Rate Loans and other investments bearing a variable rate of interest.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$10 million, on average, although we expect that this investment size will vary proportionately with the size of our capital base.</w:t>
      </w:r>
    </w:p>
    <w:p>
      <w:pPr>
        <w:spacing w:after="0" w:line="140" w:lineRule="exact"/>
        <w:rPr>
          <w:sz w:val="20"/>
          <w:szCs w:val="20"/>
          <w:color w:val="auto"/>
        </w:rPr>
      </w:pPr>
    </w:p>
    <w:p>
      <w:pPr>
        <w:ind w:left="200" w:right="160" w:firstLine="443"/>
        <w:spacing w:after="0" w:line="288" w:lineRule="auto"/>
        <w:rPr>
          <w:sz w:val="20"/>
          <w:szCs w:val="20"/>
          <w:color w:val="auto"/>
        </w:rPr>
      </w:pPr>
      <w:r>
        <w:rPr>
          <w:rFonts w:ascii="Arial" w:cs="Arial" w:eastAsia="Arial" w:hAnsi="Arial"/>
          <w:sz w:val="12"/>
          <w:szCs w:val="12"/>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as amended, or the Credit Facility, proceeds from the rotation of our portfolio and proceeds from public and private offerings of securities to finance our investment objectives.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71" w:lineRule="exact"/>
        <w:rPr>
          <w:sz w:val="20"/>
          <w:szCs w:val="20"/>
          <w:color w:val="auto"/>
        </w:rPr>
      </w:pPr>
    </w:p>
    <w:p>
      <w:pPr>
        <w:ind w:left="200" w:right="60" w:firstLine="443"/>
        <w:spacing w:after="0" w:line="233" w:lineRule="auto"/>
        <w:rPr>
          <w:sz w:val="20"/>
          <w:szCs w:val="20"/>
          <w:color w:val="auto"/>
        </w:rPr>
      </w:pPr>
      <w:r>
        <w:rPr>
          <w:rFonts w:ascii="Arial" w:cs="Arial" w:eastAsia="Arial" w:hAnsi="Arial"/>
          <w:sz w:val="14"/>
          <w:szCs w:val="14"/>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regulated investment company, or RIC, under the Internal Revenue Code of 1986, as amended, or the Code.</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Our Investment Adviser and Administrator</w:t>
      </w:r>
    </w:p>
    <w:p>
      <w:pPr>
        <w:spacing w:after="0" w:line="71" w:lineRule="exact"/>
        <w:rPr>
          <w:sz w:val="20"/>
          <w:szCs w:val="20"/>
          <w:color w:val="auto"/>
        </w:rPr>
      </w:pPr>
    </w:p>
    <w:p>
      <w:pPr>
        <w:ind w:left="200" w:firstLine="443"/>
        <w:spacing w:after="0" w:line="268" w:lineRule="auto"/>
        <w:rPr>
          <w:sz w:val="20"/>
          <w:szCs w:val="20"/>
          <w:color w:val="auto"/>
        </w:rPr>
      </w:pPr>
      <w:r>
        <w:rPr>
          <w:rFonts w:ascii="Arial" w:cs="Arial" w:eastAsia="Arial" w:hAnsi="Arial"/>
          <w:sz w:val="12"/>
          <w:szCs w:val="12"/>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$1.8 billion in debt and equity capital and has invested approximately $2.7 billion in 270 companies with approximately 120 different financial sponsors through its managed funds.</w:t>
      </w:r>
    </w:p>
    <w:p>
      <w:pPr>
        <w:spacing w:after="0" w:line="123" w:lineRule="exact"/>
        <w:rPr>
          <w:sz w:val="20"/>
          <w:szCs w:val="20"/>
          <w:color w:val="auto"/>
        </w:rPr>
      </w:pPr>
    </w:p>
    <w:p>
      <w:pPr>
        <w:ind w:left="200" w:right="140" w:firstLine="443"/>
        <w:spacing w:after="0" w:line="227" w:lineRule="auto"/>
        <w:rPr>
          <w:sz w:val="20"/>
          <w:szCs w:val="20"/>
          <w:color w:val="auto"/>
        </w:rPr>
      </w:pPr>
      <w:r>
        <w:rPr>
          <w:rFonts w:ascii="Arial" w:cs="Arial" w:eastAsia="Arial" w:hAnsi="Arial"/>
          <w:sz w:val="14"/>
          <w:szCs w:val="14"/>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2748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427482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Market Opportunity</w:t>
      </w:r>
    </w:p>
    <w:p>
      <w:pPr>
        <w:spacing w:after="0" w:line="71" w:lineRule="exact"/>
        <w:rPr>
          <w:sz w:val="20"/>
          <w:szCs w:val="20"/>
          <w:color w:val="auto"/>
        </w:rPr>
      </w:pPr>
    </w:p>
    <w:p>
      <w:pPr>
        <w:ind w:left="200" w:firstLine="443"/>
        <w:spacing w:after="0" w:line="228" w:lineRule="auto"/>
        <w:rPr>
          <w:sz w:val="20"/>
          <w:szCs w:val="20"/>
          <w:color w:val="auto"/>
        </w:rPr>
      </w:pPr>
      <w:r>
        <w:rPr>
          <w:rFonts w:ascii="Arial" w:cs="Arial" w:eastAsia="Arial" w:hAnsi="Arial"/>
          <w:sz w:val="14"/>
          <w:szCs w:val="14"/>
          <w:color w:val="auto"/>
        </w:rPr>
        <w:t>We believe that the limited amount of capital available to the middle-market companies, coupled with the desire of these companies for flexible sources of capital, creates an attractive investment environment for us. From our perspective, middle market companies have faced difficulty raising debt capital in both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Competitive Advantages</w:t>
      </w:r>
    </w:p>
    <w:p>
      <w:pPr>
        <w:spacing w:after="0" w:line="71" w:lineRule="exact"/>
        <w:rPr>
          <w:sz w:val="20"/>
          <w:szCs w:val="20"/>
          <w:color w:val="auto"/>
        </w:rPr>
      </w:pPr>
    </w:p>
    <w:p>
      <w:pPr>
        <w:ind w:left="200" w:firstLine="443"/>
        <w:spacing w:after="0" w:line="288" w:lineRule="auto"/>
        <w:rPr>
          <w:sz w:val="20"/>
          <w:szCs w:val="20"/>
          <w:color w:val="auto"/>
        </w:rPr>
      </w:pPr>
      <w:r>
        <w:rPr>
          <w:rFonts w:ascii="Arial" w:cs="Arial" w:eastAsia="Arial" w:hAnsi="Arial"/>
          <w:sz w:val="12"/>
          <w:szCs w:val="12"/>
          <w:color w:val="auto"/>
        </w:rPr>
        <w:t>We believe that we have competitive advantages over other capital providers in middle-market companies, such as a management team with an average of over 20 years of experience, a disciplined investment approach 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Competition</w:t>
      </w:r>
    </w:p>
    <w:p>
      <w:pPr>
        <w:spacing w:after="0" w:line="71" w:lineRule="exact"/>
        <w:rPr>
          <w:sz w:val="20"/>
          <w:szCs w:val="20"/>
          <w:color w:val="auto"/>
        </w:rPr>
      </w:pPr>
    </w:p>
    <w:p>
      <w:pPr>
        <w:ind w:left="200" w:right="40" w:firstLine="443"/>
        <w:spacing w:after="0" w:line="278" w:lineRule="auto"/>
        <w:rPr>
          <w:sz w:val="20"/>
          <w:szCs w:val="20"/>
          <w:color w:val="auto"/>
        </w:rPr>
      </w:pPr>
      <w:r>
        <w:rPr>
          <w:rFonts w:ascii="Arial" w:cs="Arial" w:eastAsia="Arial" w:hAnsi="Arial"/>
          <w:sz w:val="12"/>
          <w:szCs w:val="12"/>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17" w:lineRule="exact"/>
        <w:rPr>
          <w:sz w:val="20"/>
          <w:szCs w:val="20"/>
          <w:color w:val="auto"/>
        </w:rPr>
      </w:pPr>
    </w:p>
    <w:p>
      <w:pPr>
        <w:ind w:left="200" w:right="80" w:firstLine="443"/>
        <w:spacing w:after="0" w:line="278" w:lineRule="auto"/>
        <w:rPr>
          <w:sz w:val="20"/>
          <w:szCs w:val="20"/>
          <w:color w:val="auto"/>
        </w:rPr>
      </w:pPr>
      <w:r>
        <w:rPr>
          <w:rFonts w:ascii="Arial" w:cs="Arial" w:eastAsia="Arial" w:hAnsi="Arial"/>
          <w:sz w:val="12"/>
          <w:szCs w:val="12"/>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 — Risk Relating to our Business and Structure — We operate in a highly competitive market for investment opportunities” for more information.</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Leverage</w:t>
      </w:r>
    </w:p>
    <w:p>
      <w:pPr>
        <w:spacing w:after="0" w:line="71" w:lineRule="exact"/>
        <w:rPr>
          <w:sz w:val="20"/>
          <w:szCs w:val="20"/>
          <w:color w:val="auto"/>
        </w:rPr>
      </w:pPr>
    </w:p>
    <w:p>
      <w:pPr>
        <w:ind w:left="200" w:right="140" w:firstLine="443"/>
        <w:spacing w:after="0" w:line="273" w:lineRule="auto"/>
        <w:rPr>
          <w:sz w:val="20"/>
          <w:szCs w:val="20"/>
          <w:color w:val="auto"/>
        </w:rPr>
      </w:pPr>
      <w:r>
        <w:rPr>
          <w:rFonts w:ascii="Arial" w:cs="Arial" w:eastAsia="Arial" w:hAnsi="Arial"/>
          <w:sz w:val="12"/>
          <w:szCs w:val="12"/>
          <w:color w:val="auto"/>
        </w:rPr>
        <w:t>We currently use and expect to continue to use leverage from our Credit Facility to make investments. As a result, we may continue to be exposed to the risks associated with leverage. See “Risk Factors – Risks Relating to our Business and Structure” for more information. We believe that our capital resources provide us with the flexibility to take advantage of market opportunities when they arise. Our use of leverage, as calculated under the asset coverage requirements of the 1940 Act, may generally range between 70% to 90% of our net assets, or 40% to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 – Liquidity and Capital Resources” for more information.</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Operating and Regulatory Structure</w:t>
      </w:r>
    </w:p>
    <w:p>
      <w:pPr>
        <w:spacing w:after="0" w:line="152" w:lineRule="exact"/>
        <w:rPr>
          <w:sz w:val="20"/>
          <w:szCs w:val="20"/>
          <w:color w:val="auto"/>
        </w:rPr>
      </w:pPr>
    </w:p>
    <w:p>
      <w:pPr>
        <w:jc w:val="both"/>
        <w:ind w:left="200" w:firstLine="443"/>
        <w:spacing w:after="0" w:line="288" w:lineRule="auto"/>
        <w:rPr>
          <w:sz w:val="20"/>
          <w:szCs w:val="20"/>
          <w:color w:val="auto"/>
        </w:rPr>
      </w:pPr>
      <w:r>
        <w:rPr>
          <w:rFonts w:ascii="Arial" w:cs="Arial" w:eastAsia="Arial" w:hAnsi="Arial"/>
          <w:sz w:val="12"/>
          <w:szCs w:val="12"/>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11" w:lineRule="exact"/>
        <w:rPr>
          <w:sz w:val="20"/>
          <w:szCs w:val="20"/>
          <w:color w:val="auto"/>
        </w:rPr>
      </w:pPr>
    </w:p>
    <w:p>
      <w:pPr>
        <w:ind w:left="200" w:right="180" w:firstLine="443"/>
        <w:spacing w:after="0" w:line="230" w:lineRule="auto"/>
        <w:rPr>
          <w:sz w:val="20"/>
          <w:szCs w:val="20"/>
          <w:color w:val="auto"/>
        </w:rPr>
      </w:pPr>
      <w:r>
        <w:rPr>
          <w:rFonts w:ascii="Arial" w:cs="Arial" w:eastAsia="Arial" w:hAnsi="Arial"/>
          <w:sz w:val="14"/>
          <w:szCs w:val="14"/>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 Administration Agreement” for more information.</w:t>
      </w: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9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38988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0" w:right="20" w:firstLine="443"/>
        <w:spacing w:after="0" w:line="233" w:lineRule="auto"/>
        <w:rPr>
          <w:sz w:val="20"/>
          <w:szCs w:val="20"/>
          <w:color w:val="auto"/>
        </w:rPr>
      </w:pPr>
      <w:r>
        <w:rPr>
          <w:rFonts w:ascii="Arial" w:cs="Arial" w:eastAsia="Arial" w:hAnsi="Arial"/>
          <w:sz w:val="14"/>
          <w:szCs w:val="14"/>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Use of Proceeds</w:t>
      </w:r>
    </w:p>
    <w:p>
      <w:pPr>
        <w:spacing w:after="0" w:line="71" w:lineRule="exact"/>
        <w:rPr>
          <w:sz w:val="20"/>
          <w:szCs w:val="20"/>
          <w:color w:val="auto"/>
        </w:rPr>
      </w:pPr>
    </w:p>
    <w:p>
      <w:pPr>
        <w:ind w:left="200" w:right="40" w:firstLine="443"/>
        <w:spacing w:after="0" w:line="230" w:lineRule="auto"/>
        <w:rPr>
          <w:sz w:val="20"/>
          <w:szCs w:val="20"/>
          <w:color w:val="auto"/>
        </w:rPr>
      </w:pPr>
      <w:r>
        <w:rPr>
          <w:rFonts w:ascii="Arial" w:cs="Arial" w:eastAsia="Arial" w:hAnsi="Arial"/>
          <w:sz w:val="14"/>
          <w:szCs w:val="14"/>
          <w:color w:val="auto"/>
        </w:rPr>
        <w:t>We may use the net proceeds from selling securities pursuant to this prospectus to reduce our then-outstanding obligations under our Credit Facility,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information regarding our outstanding borrowings as of June 30, 2013, the corresponding interest rate charged on such borrowings as of that date and the length of time that it may take us to invest any proceeds in new or existing portfolio companies.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Recent Developments</w:t>
      </w:r>
    </w:p>
    <w:p>
      <w:pPr>
        <w:spacing w:after="0" w:line="71" w:lineRule="exact"/>
        <w:rPr>
          <w:sz w:val="20"/>
          <w:szCs w:val="20"/>
          <w:color w:val="auto"/>
        </w:rPr>
      </w:pPr>
    </w:p>
    <w:p>
      <w:pPr>
        <w:ind w:left="200" w:right="140" w:firstLine="443"/>
        <w:spacing w:after="0" w:line="239" w:lineRule="auto"/>
        <w:rPr>
          <w:sz w:val="20"/>
          <w:szCs w:val="20"/>
          <w:color w:val="auto"/>
        </w:rPr>
      </w:pPr>
      <w:r>
        <w:rPr>
          <w:rFonts w:ascii="Arial" w:cs="Arial" w:eastAsia="Arial" w:hAnsi="Arial"/>
          <w:sz w:val="14"/>
          <w:szCs w:val="14"/>
          <w:color w:val="auto"/>
        </w:rPr>
        <w:t>In connection with our July 2013 public offering, we issued approximately 4.6 million shares (including underwriters’ overallotment option) of common stock at a public offering price of $14.20 per share, raising approximately $65.1 million in gross proceeds.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Dividends on Common Stock</w:t>
      </w:r>
    </w:p>
    <w:p>
      <w:pPr>
        <w:spacing w:after="0" w:line="71" w:lineRule="exact"/>
        <w:rPr>
          <w:sz w:val="20"/>
          <w:szCs w:val="20"/>
          <w:color w:val="auto"/>
        </w:rPr>
      </w:pPr>
    </w:p>
    <w:p>
      <w:pPr>
        <w:ind w:left="200" w:right="120" w:firstLine="443"/>
        <w:spacing w:after="0" w:line="239" w:lineRule="auto"/>
        <w:rPr>
          <w:sz w:val="20"/>
          <w:szCs w:val="20"/>
          <w:color w:val="auto"/>
        </w:rPr>
      </w:pPr>
      <w:r>
        <w:rPr>
          <w:rFonts w:ascii="Arial" w:cs="Arial" w:eastAsia="Arial" w:hAnsi="Arial"/>
          <w:sz w:val="14"/>
          <w:szCs w:val="14"/>
          <w:color w:val="auto"/>
        </w:rPr>
        <w:t>We intend to continue our monthly distributions to our common stockholders. Our monthly distributions, if any, are determined by our board of directors. See “Distributions” and “Price Range of Common Stock”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Dividends on Preferred Stock</w:t>
      </w:r>
    </w:p>
    <w:p>
      <w:pPr>
        <w:spacing w:after="0" w:line="71" w:lineRule="exact"/>
        <w:rPr>
          <w:sz w:val="20"/>
          <w:szCs w:val="20"/>
          <w:color w:val="auto"/>
        </w:rPr>
      </w:pPr>
    </w:p>
    <w:p>
      <w:pPr>
        <w:ind w:left="200" w:right="60" w:firstLine="443"/>
        <w:spacing w:after="0" w:line="278" w:lineRule="auto"/>
        <w:rPr>
          <w:sz w:val="20"/>
          <w:szCs w:val="20"/>
          <w:color w:val="auto"/>
        </w:rPr>
      </w:pPr>
      <w:r>
        <w:rPr>
          <w:rFonts w:ascii="Arial" w:cs="Arial" w:eastAsia="Arial" w:hAnsi="Arial"/>
          <w:sz w:val="12"/>
          <w:szCs w:val="12"/>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Dividend Reinvestment Plan</w:t>
      </w:r>
    </w:p>
    <w:p>
      <w:pPr>
        <w:spacing w:after="0" w:line="71" w:lineRule="exact"/>
        <w:rPr>
          <w:sz w:val="20"/>
          <w:szCs w:val="20"/>
          <w:color w:val="auto"/>
        </w:rPr>
      </w:pPr>
    </w:p>
    <w:p>
      <w:pPr>
        <w:ind w:left="200" w:right="40" w:firstLine="443"/>
        <w:spacing w:after="0" w:line="230" w:lineRule="auto"/>
        <w:rPr>
          <w:sz w:val="20"/>
          <w:szCs w:val="20"/>
          <w:color w:val="auto"/>
        </w:rPr>
      </w:pPr>
      <w:r>
        <w:rPr>
          <w:rFonts w:ascii="Arial" w:cs="Arial" w:eastAsia="Arial" w:hAnsi="Arial"/>
          <w:sz w:val="14"/>
          <w:szCs w:val="14"/>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distributions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Plan of Distribution</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12"/>
          <w:szCs w:val="12"/>
          <w:color w:val="auto"/>
        </w:rPr>
        <w:t>We may offer, from time to time, up to $800 million of our securities, on terms to be determined at the time of each such offering and set forth in a supplement to this prospectus.</w:t>
      </w:r>
    </w:p>
    <w:p>
      <w:pPr>
        <w:spacing w:after="0" w:line="173" w:lineRule="exact"/>
        <w:rPr>
          <w:sz w:val="20"/>
          <w:szCs w:val="20"/>
          <w:color w:val="auto"/>
        </w:rPr>
      </w:pPr>
    </w:p>
    <w:p>
      <w:pPr>
        <w:ind w:left="200" w:firstLine="443"/>
        <w:spacing w:after="0" w:line="270" w:lineRule="auto"/>
        <w:rPr>
          <w:sz w:val="20"/>
          <w:szCs w:val="20"/>
          <w:color w:val="auto"/>
        </w:rPr>
      </w:pPr>
      <w:r>
        <w:rPr>
          <w:rFonts w:ascii="Arial" w:cs="Arial" w:eastAsia="Arial" w:hAnsi="Arial"/>
          <w:sz w:val="12"/>
          <w:szCs w:val="12"/>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22" w:lineRule="exact"/>
        <w:rPr>
          <w:sz w:val="20"/>
          <w:szCs w:val="20"/>
          <w:color w:val="auto"/>
        </w:rPr>
      </w:pPr>
    </w:p>
    <w:p>
      <w:pPr>
        <w:ind w:left="200" w:right="220" w:firstLine="443"/>
        <w:spacing w:after="0" w:line="239" w:lineRule="auto"/>
        <w:rPr>
          <w:sz w:val="20"/>
          <w:szCs w:val="20"/>
          <w:color w:val="auto"/>
        </w:rPr>
      </w:pPr>
      <w:r>
        <w:rPr>
          <w:rFonts w:ascii="Arial" w:cs="Arial" w:eastAsia="Arial" w:hAnsi="Arial"/>
          <w:sz w:val="14"/>
          <w:szCs w:val="14"/>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Our Corporate Information</w:t>
      </w:r>
    </w:p>
    <w:p>
      <w:pPr>
        <w:spacing w:after="0" w:line="71" w:lineRule="exact"/>
        <w:rPr>
          <w:sz w:val="20"/>
          <w:szCs w:val="20"/>
          <w:color w:val="auto"/>
        </w:rPr>
      </w:pPr>
    </w:p>
    <w:p>
      <w:pPr>
        <w:ind w:left="200" w:right="60" w:firstLine="443"/>
        <w:spacing w:after="0" w:line="270" w:lineRule="auto"/>
        <w:rPr>
          <w:sz w:val="20"/>
          <w:szCs w:val="20"/>
          <w:color w:val="auto"/>
        </w:rPr>
      </w:pPr>
      <w:r>
        <w:rPr>
          <w:rFonts w:ascii="Arial" w:cs="Arial" w:eastAsia="Arial" w:hAnsi="Arial"/>
          <w:sz w:val="12"/>
          <w:szCs w:val="12"/>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that contains material that we file with the SEC on the EDGAR Database.</w:t>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FEES AND EXPENSES</w:t>
      </w:r>
    </w:p>
    <w:p>
      <w:pPr>
        <w:spacing w:after="0" w:line="152" w:lineRule="exact"/>
        <w:rPr>
          <w:sz w:val="20"/>
          <w:szCs w:val="20"/>
          <w:color w:val="auto"/>
        </w:rPr>
      </w:pPr>
    </w:p>
    <w:p>
      <w:pPr>
        <w:jc w:val="both"/>
        <w:ind w:firstLine="456"/>
        <w:spacing w:after="0" w:line="230" w:lineRule="auto"/>
        <w:rPr>
          <w:sz w:val="20"/>
          <w:szCs w:val="20"/>
          <w:color w:val="auto"/>
        </w:rPr>
      </w:pPr>
      <w:r>
        <w:rPr>
          <w:rFonts w:ascii="Arial" w:cs="Arial" w:eastAsia="Arial" w:hAnsi="Arial"/>
          <w:sz w:val="14"/>
          <w:szCs w:val="14"/>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ectPr>
          <w:pgSz w:w="11900" w:h="16838" w:orient="portrait"/>
          <w:cols w:equalWidth="0" w:num="1">
            <w:col w:w="11420"/>
          </w:cols>
          <w:pgMar w:left="240" w:top="459" w:right="23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Sales load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Total stockholder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Estimated annual expenses (as a percentage of average net assets attributable to common shares)</w:t>
      </w:r>
      <w:r>
        <w:rPr>
          <w:rFonts w:ascii="Arial" w:cs="Arial" w:eastAsia="Arial" w:hAnsi="Arial"/>
          <w:sz w:val="17"/>
          <w:szCs w:val="17"/>
          <w:color w:val="auto"/>
          <w:vertAlign w:val="superscript"/>
        </w:rPr>
        <w:t>(3)</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Management fees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Incentive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Interest on borrowed funds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estimated annual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517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right"/>
        <w:ind w:right="14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w:t>
      </w:r>
    </w:p>
    <w:p>
      <w:pPr>
        <w:jc w:val="right"/>
        <w:ind w:right="140"/>
        <w:spacing w:after="0" w:line="199" w:lineRule="auto"/>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(2)</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t>
      </w:r>
    </w:p>
    <w:p>
      <w:pPr>
        <w:spacing w:after="0" w:line="320" w:lineRule="exact"/>
        <w:rPr>
          <w:sz w:val="20"/>
          <w:szCs w:val="20"/>
          <w:color w:val="auto"/>
        </w:rPr>
      </w:pPr>
    </w:p>
    <w:p>
      <w:pPr>
        <w:spacing w:after="0"/>
        <w:rPr>
          <w:sz w:val="20"/>
          <w:szCs w:val="20"/>
          <w:color w:val="auto"/>
        </w:rPr>
      </w:pPr>
      <w:r>
        <w:rPr>
          <w:rFonts w:ascii="Arial" w:cs="Arial" w:eastAsia="Arial" w:hAnsi="Arial"/>
          <w:sz w:val="11"/>
          <w:szCs w:val="11"/>
          <w:color w:val="auto"/>
        </w:rPr>
        <w:t>1.56 %</w:t>
      </w:r>
      <w:r>
        <w:rPr>
          <w:rFonts w:ascii="Arial" w:cs="Arial" w:eastAsia="Arial" w:hAnsi="Arial"/>
          <w:sz w:val="17"/>
          <w:szCs w:val="17"/>
          <w:color w:val="auto"/>
          <w:vertAlign w:val="superscript"/>
        </w:rPr>
        <w:t>(4)</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1.19 %</w:t>
      </w:r>
      <w:r>
        <w:rPr>
          <w:rFonts w:ascii="Arial" w:cs="Arial" w:eastAsia="Arial" w:hAnsi="Arial"/>
          <w:sz w:val="17"/>
          <w:szCs w:val="17"/>
          <w:color w:val="auto"/>
          <w:vertAlign w:val="superscript"/>
        </w:rPr>
        <w:t>(5)</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1.36 %</w:t>
      </w:r>
      <w:r>
        <w:rPr>
          <w:rFonts w:ascii="Arial" w:cs="Arial" w:eastAsia="Arial" w:hAnsi="Arial"/>
          <w:sz w:val="17"/>
          <w:szCs w:val="17"/>
          <w:color w:val="auto"/>
          <w:vertAlign w:val="superscript"/>
        </w:rPr>
        <w:t>(6)</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1.25 %</w:t>
      </w:r>
      <w:r>
        <w:rPr>
          <w:rFonts w:ascii="Arial" w:cs="Arial" w:eastAsia="Arial" w:hAnsi="Arial"/>
          <w:sz w:val="17"/>
          <w:szCs w:val="17"/>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-17145</wp:posOffset>
            </wp:positionV>
            <wp:extent cx="4375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5.36 %</w:t>
      </w:r>
      <w:r>
        <w:rPr>
          <w:rFonts w:ascii="Arial" w:cs="Arial" w:eastAsia="Arial" w:hAnsi="Arial"/>
          <w:sz w:val="17"/>
          <w:szCs w:val="17"/>
          <w:color w:val="auto"/>
          <w:vertAlign w:val="superscript"/>
        </w:rPr>
        <w:t>(8)</w:t>
      </w:r>
    </w:p>
    <w:p>
      <w:pPr>
        <w:spacing w:after="0" w:line="178" w:lineRule="exact"/>
        <w:rPr>
          <w:sz w:val="20"/>
          <w:szCs w:val="20"/>
          <w:color w:val="auto"/>
        </w:rPr>
      </w:pPr>
    </w:p>
    <w:p>
      <w:pPr>
        <w:sectPr>
          <w:pgSz w:w="11900" w:h="16838" w:orient="portrait"/>
          <w:cols w:equalWidth="0" w:num="2">
            <w:col w:w="10040" w:space="720"/>
            <w:col w:w="660"/>
          </w:cols>
          <w:pgMar w:left="240" w:top="459" w:right="239" w:bottom="1440" w:gutter="0" w:footer="0" w:header="0"/>
          <w:type w:val="continuous"/>
        </w:sectPr>
      </w:pPr>
    </w:p>
    <w:p>
      <w:pPr>
        <w:ind w:left="580" w:hanging="572"/>
        <w:spacing w:after="0"/>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 the event that the securities to which this prospectus relates are sold to or through underwriters or agents, a corresponding prospectus supplement will disclose the applicable sales load.</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related prospectus supplement will disclose the estimated amount of offering expenses, the offering price and the offering expenses borne by us as a percentage of the offering price.</w:t>
      </w:r>
    </w:p>
    <w:p>
      <w:pPr>
        <w:spacing w:after="0" w:line="91" w:lineRule="exact"/>
        <w:rPr>
          <w:rFonts w:ascii="Arial" w:cs="Arial" w:eastAsia="Arial" w:hAnsi="Arial"/>
          <w:sz w:val="12"/>
          <w:szCs w:val="12"/>
          <w:color w:val="auto"/>
        </w:rPr>
      </w:pPr>
    </w:p>
    <w:p>
      <w:pPr>
        <w:ind w:left="580" w:right="200" w:hanging="572"/>
        <w:spacing w:after="0" w:line="239" w:lineRule="auto"/>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assets attributable to common shares equals average net assets as of June 30, 2013, adjusted for the net proceeds of $64.4 million issued in connection with our July 2013 offering (including the underwriters’ over allotment that was exercised).</w:t>
      </w:r>
    </w:p>
    <w:p>
      <w:pPr>
        <w:spacing w:after="0" w:line="57" w:lineRule="exact"/>
        <w:rPr>
          <w:rFonts w:ascii="Arial" w:cs="Arial" w:eastAsia="Arial" w:hAnsi="Arial"/>
          <w:sz w:val="14"/>
          <w:szCs w:val="14"/>
          <w:color w:val="auto"/>
        </w:rPr>
      </w:pPr>
    </w:p>
    <w:p>
      <w:pPr>
        <w:ind w:left="580" w:right="60" w:hanging="572"/>
        <w:spacing w:after="0" w:line="239" w:lineRule="auto"/>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on June 30, 2013.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580" w:hanging="572"/>
        <w:spacing w:after="0" w:line="265" w:lineRule="auto"/>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and payable under our Investment Management Agreement during the three months ended June 30, 2013,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June 30, 2013, our cumulative realized gains exceeded our cumulative unrealized capital gains and losses, thus, we have an accrued payable for capital gains incentive fee of $0.3 million in accordance with U.S. generally accepted accounting principles, or GAAP. Accordingly, presented above, “Incentive fees” include the capital gains incentive fee accrual under GAAP and does not include an accrual for capital gains incentive fee payable under our Investment Management Agreement as of June 30, 2013. As we cannot predict our future net investment income or capital gains, the incentive fee paid in future periods, if any, may be substantially different than the fee accrued as of June 30, 2013. For more detailed information about the incentive fee, please see “Certain Relationships and Transactions—Investment Management Agreement” for more information.</w:t>
      </w:r>
    </w:p>
    <w:p>
      <w:pPr>
        <w:spacing w:after="0" w:line="42" w:lineRule="exact"/>
        <w:rPr>
          <w:rFonts w:ascii="Arial" w:cs="Arial" w:eastAsia="Arial" w:hAnsi="Arial"/>
          <w:sz w:val="12"/>
          <w:szCs w:val="12"/>
          <w:color w:val="auto"/>
        </w:rPr>
      </w:pPr>
    </w:p>
    <w:p>
      <w:pPr>
        <w:ind w:left="580" w:right="40" w:hanging="572"/>
        <w:spacing w:after="0" w:line="273" w:lineRule="auto"/>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As of June 30, 2013, we had $85.6 million in borrowings outstanding under our $125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which includes actual (unannualized) amendment costs incurred in connection with amending our Credit Facility,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38" w:lineRule="exact"/>
        <w:rPr>
          <w:rFonts w:ascii="Arial" w:cs="Arial" w:eastAsia="Arial" w:hAnsi="Arial"/>
          <w:sz w:val="12"/>
          <w:szCs w:val="12"/>
          <w:color w:val="auto"/>
        </w:rPr>
      </w:pPr>
    </w:p>
    <w:p>
      <w:pPr>
        <w:ind w:left="580" w:right="20" w:hanging="572"/>
        <w:spacing w:after="0" w:line="288" w:lineRule="auto"/>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June 30, 2013 annualized for a full year. See the Consolidated Statement of Operations in our Consolidated Financial Statements.</w:t>
      </w:r>
    </w:p>
    <w:p>
      <w:pPr>
        <w:spacing w:after="0" w:line="29" w:lineRule="exact"/>
        <w:rPr>
          <w:rFonts w:ascii="Arial" w:cs="Arial" w:eastAsia="Arial" w:hAnsi="Arial"/>
          <w:sz w:val="12"/>
          <w:szCs w:val="12"/>
          <w:color w:val="auto"/>
        </w:rPr>
      </w:pPr>
    </w:p>
    <w:p>
      <w:pPr>
        <w:ind w:left="580" w:right="120" w:hanging="572"/>
        <w:spacing w:after="0" w:line="278" w:lineRule="auto"/>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For a presentation and calculation of total estimated annual expenses based on average total assets, see page 28 of this prospectus.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w:t>
      </w:r>
    </w:p>
    <w:p>
      <w:pPr>
        <w:spacing w:after="0" w:line="152" w:lineRule="exact"/>
        <w:rPr>
          <w:sz w:val="20"/>
          <w:szCs w:val="20"/>
          <w:color w:val="auto"/>
        </w:rPr>
      </w:pPr>
    </w:p>
    <w:p>
      <w:pPr>
        <w:jc w:val="both"/>
        <w:ind w:right="140" w:firstLine="456"/>
        <w:spacing w:after="0" w:line="233" w:lineRule="auto"/>
        <w:rPr>
          <w:sz w:val="20"/>
          <w:szCs w:val="20"/>
          <w:color w:val="auto"/>
        </w:rPr>
      </w:pPr>
      <w:r>
        <w:rPr>
          <w:rFonts w:ascii="Arial" w:cs="Arial" w:eastAsia="Arial" w:hAnsi="Arial"/>
          <w:sz w:val="14"/>
          <w:szCs w:val="14"/>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0.46%, (2) total net annual expenses of 4.17% of average net assets attributable to common shares as set forth in the table above (other than performance-based incentive fees) and (3) a 5% annual return.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w w:val="83"/>
              </w:rPr>
              <w:t>1 year</w:t>
            </w:r>
          </w:p>
        </w:tc>
        <w:tc>
          <w:tcPr>
            <w:tcW w:w="2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3 years</w:t>
            </w: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82"/>
              </w:rPr>
              <w:t>5 years</w:t>
            </w:r>
          </w:p>
        </w:tc>
        <w:tc>
          <w:tcPr>
            <w:tcW w:w="28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10 years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88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 xml:space="preserve">You would pay the following expenses on a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1,000 common stock investment:</w:t>
            </w:r>
          </w:p>
        </w:tc>
        <w:tc>
          <w:tcPr>
            <w:tcW w:w="9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880" w:type="dxa"/>
            <w:vAlign w:val="bottom"/>
            <w:gridSpan w:val="2"/>
          </w:tcPr>
          <w:p>
            <w:pPr>
              <w:spacing w:after="0" w:line="142" w:lineRule="exact"/>
              <w:rPr>
                <w:sz w:val="20"/>
                <w:szCs w:val="20"/>
                <w:color w:val="auto"/>
              </w:rPr>
            </w:pPr>
            <w:r>
              <w:rPr>
                <w:rFonts w:ascii="Arial" w:cs="Arial" w:eastAsia="Arial" w:hAnsi="Arial"/>
                <w:sz w:val="14"/>
                <w:szCs w:val="14"/>
                <w:color w:val="auto"/>
              </w:rPr>
              <w:t>Assuming a 5% annual return (assumes no return from net realized capital gains or net unrealized capital appreciation)</w:t>
            </w:r>
          </w:p>
        </w:tc>
        <w:tc>
          <w:tcPr>
            <w:tcW w:w="1060" w:type="dxa"/>
            <w:vAlign w:val="bottom"/>
            <w:gridSpan w:val="2"/>
          </w:tcPr>
          <w:p>
            <w:pPr>
              <w:ind w:left="920"/>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2" w:lineRule="exact"/>
              <w:rPr>
                <w:sz w:val="20"/>
                <w:szCs w:val="20"/>
                <w:color w:val="auto"/>
              </w:rPr>
            </w:pPr>
            <w:r>
              <w:rPr>
                <w:rFonts w:ascii="Arial" w:cs="Arial" w:eastAsia="Arial" w:hAnsi="Arial"/>
                <w:sz w:val="14"/>
                <w:szCs w:val="14"/>
                <w:color w:val="auto"/>
              </w:rPr>
              <w:t>75</w:t>
            </w:r>
          </w:p>
        </w:tc>
        <w:tc>
          <w:tcPr>
            <w:tcW w:w="420" w:type="dxa"/>
            <w:vAlign w:val="bottom"/>
            <w:gridSpan w:val="2"/>
          </w:tcPr>
          <w:p>
            <w:pPr>
              <w:ind w:left="280"/>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157</w:t>
            </w:r>
          </w:p>
        </w:tc>
        <w:tc>
          <w:tcPr>
            <w:tcW w:w="1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2" w:lineRule="exact"/>
              <w:rPr>
                <w:sz w:val="20"/>
                <w:szCs w:val="20"/>
                <w:color w:val="auto"/>
              </w:rPr>
            </w:pPr>
            <w:r>
              <w:rPr>
                <w:rFonts w:ascii="Arial" w:cs="Arial" w:eastAsia="Arial" w:hAnsi="Arial"/>
                <w:sz w:val="14"/>
                <w:szCs w:val="14"/>
                <w:color w:val="auto"/>
              </w:rPr>
              <w:t>240</w:t>
            </w:r>
          </w:p>
        </w:tc>
        <w:tc>
          <w:tcPr>
            <w:tcW w:w="460" w:type="dxa"/>
            <w:vAlign w:val="bottom"/>
            <w:gridSpan w:val="2"/>
          </w:tcPr>
          <w:p>
            <w:pPr>
              <w:ind w:left="280"/>
              <w:spacing w:after="0" w:line="142"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2" w:lineRule="exact"/>
              <w:rPr>
                <w:sz w:val="20"/>
                <w:szCs w:val="20"/>
                <w:color w:val="auto"/>
              </w:rPr>
            </w:pPr>
            <w:r>
              <w:rPr>
                <w:rFonts w:ascii="Arial" w:cs="Arial" w:eastAsia="Arial" w:hAnsi="Arial"/>
                <w:sz w:val="14"/>
                <w:szCs w:val="14"/>
                <w:color w:val="auto"/>
              </w:rPr>
              <w:t>454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Assuming a 5% annual return (assumes return from only realized capital gains and thus subject to the capital gains incentive fee)</w:t>
            </w:r>
          </w:p>
        </w:tc>
        <w:tc>
          <w:tcPr>
            <w:tcW w:w="1060" w:type="dxa"/>
            <w:vAlign w:val="bottom"/>
            <w:gridSpan w:val="2"/>
            <w:shd w:val="clear" w:color="auto" w:fill="CCEEFF"/>
          </w:tcPr>
          <w:p>
            <w:pPr>
              <w:ind w:left="9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4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184</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w:t>
            </w:r>
          </w:p>
        </w:tc>
        <w:tc>
          <w:tcPr>
            <w:tcW w:w="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2"/>
          <w:szCs w:val="12"/>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of less than 5% on net investment income, the incentive fee under our Investment Management Agreement would not be earned or payable. If we were to earn any amount on net realized gains from our inception to date, our expenses, and returns to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more information.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 FACTORS</w:t>
      </w:r>
    </w:p>
    <w:p>
      <w:pPr>
        <w:spacing w:after="0" w:line="152" w:lineRule="exact"/>
        <w:rPr>
          <w:sz w:val="20"/>
          <w:szCs w:val="20"/>
          <w:color w:val="auto"/>
        </w:rPr>
      </w:pPr>
    </w:p>
    <w:p>
      <w:pPr>
        <w:ind w:right="160" w:firstLine="571"/>
        <w:spacing w:after="0" w:line="273" w:lineRule="auto"/>
        <w:rPr>
          <w:sz w:val="20"/>
          <w:szCs w:val="20"/>
          <w:color w:val="auto"/>
        </w:rPr>
      </w:pPr>
      <w:r>
        <w:rPr>
          <w:rFonts w:ascii="Arial" w:cs="Arial" w:eastAsia="Arial" w:hAnsi="Arial"/>
          <w:sz w:val="12"/>
          <w:szCs w:val="12"/>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warrants, subscription rights or debt securities, may decline, and you may lose all or part of your investment.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71" w:lineRule="exact"/>
        <w:rPr>
          <w:sz w:val="20"/>
          <w:szCs w:val="20"/>
          <w:color w:val="auto"/>
        </w:rPr>
      </w:pPr>
    </w:p>
    <w:p>
      <w:pPr>
        <w:ind w:right="120" w:firstLine="456"/>
        <w:spacing w:after="0" w:line="318" w:lineRule="auto"/>
        <w:rPr>
          <w:sz w:val="20"/>
          <w:szCs w:val="20"/>
          <w:color w:val="auto"/>
        </w:rPr>
      </w:pPr>
      <w:r>
        <w:rPr>
          <w:rFonts w:ascii="Arial" w:cs="Arial" w:eastAsia="Arial" w:hAnsi="Arial"/>
          <w:sz w:val="12"/>
          <w:szCs w:val="12"/>
          <w:b w:val="1"/>
          <w:bCs w:val="1"/>
          <w:i w:val="1"/>
          <w:iCs w:val="1"/>
          <w:color w:val="auto"/>
        </w:rPr>
        <w:t>Global capital markets could enter a period of severe disruption and instability. These market conditions have historically and could again have a material adverse effect on debt and equity capital markets in the United States, which could have a materially negative impact on our business, financial condition and results of operations.</w:t>
      </w:r>
    </w:p>
    <w:p>
      <w:pPr>
        <w:spacing w:after="0" w:line="12" w:lineRule="exact"/>
        <w:rPr>
          <w:sz w:val="20"/>
          <w:szCs w:val="20"/>
          <w:color w:val="auto"/>
        </w:rPr>
      </w:pPr>
    </w:p>
    <w:p>
      <w:pPr>
        <w:ind w:right="60" w:firstLine="456"/>
        <w:spacing w:after="0" w:line="270" w:lineRule="auto"/>
        <w:rPr>
          <w:sz w:val="20"/>
          <w:szCs w:val="20"/>
          <w:color w:val="auto"/>
        </w:rPr>
      </w:pPr>
      <w:r>
        <w:rPr>
          <w:rFonts w:ascii="Arial" w:cs="Arial" w:eastAsia="Arial" w:hAnsi="Arial"/>
          <w:sz w:val="12"/>
          <w:szCs w:val="12"/>
          <w:color w:val="auto"/>
        </w:rPr>
        <w:t>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During this period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We may in the future have difficulty accessing debt and equity capital, and a severe disruption in the global financial markets, deterioration in credit and financing conditions or uncertainty regarding U.S. government spending and deficit levels, including the U.S. government spending cuts that took effect March 1, 2013, could have a material adverse effect on our business, financial condition and results of operations.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Volatility or a prolonged disruption in the credit markets could materially damage our business.</w:t>
      </w:r>
    </w:p>
    <w:p>
      <w:pPr>
        <w:spacing w:after="0" w:line="69"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are required to record our assets at fair value, as determined in good faith by our board of directors in accordance with our valuation policy. As a result, volatility in the capital markets may materially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BDC, we are generally not able to issue additional shares of our common stock at a price less than our net asset value without first obtaining approval for such issuance from our stockholders and our independent directors. Additionally, our ability to incur indebtedness is limited by our asset coverage, as defined in the 1940 Act, which we refer to as the asset coverage ratio. Declining portfolio values negatively impact our ability to borrow additional funds under our Credit Facility because our net asset value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protracted disruption in the credit markets could also materially decrease demand for our investments.</w:t>
      </w:r>
    </w:p>
    <w:p>
      <w:pPr>
        <w:spacing w:after="0" w:line="123"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The significant disruption in the capital markets experienced in the past may in the future have a negative effect on the valuations of our investments and on the potential for liquidity events involving our investments. The debt capital that will be available to us may be at a higher cost and/or on less favorable terms and conditions than those currently in effect. If our financing costs increase and we have no increase in interest income, then our net investment income will decrease. A prolonged inability to raise capital may require us to reduce the volume of loans we originate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or results of operations.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Any unrealized losses we experience on our investment portfolio may be an indication of future realized losses, which could reduce our income available for distribution.</w:t>
      </w:r>
    </w:p>
    <w:p>
      <w:pPr>
        <w:spacing w:after="0" w:line="92"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Following periods of volatility in the market price of a company’s securities, securities class action litigation has often been brought against that company.</w:t>
      </w:r>
    </w:p>
    <w:p>
      <w:pPr>
        <w:spacing w:after="0" w:line="69"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or results of operations.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borrowers may default on their payments, which may have a materially negative effect on our financial performance.</w:t>
      </w:r>
    </w:p>
    <w:p>
      <w:pPr>
        <w:spacing w:after="0" w:line="69"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Our primary business exposes us to credit risk, and the quality of our portfolio has a significant impact on our earnings. Credit risk is a component of our valuation of our portfolio companies. Negative credit events will lead to a decrease in the fair value of our portfolio companies.</w:t>
      </w:r>
    </w:p>
    <w:p>
      <w:pPr>
        <w:spacing w:after="0" w:line="139" w:lineRule="exact"/>
        <w:rPr>
          <w:sz w:val="20"/>
          <w:szCs w:val="20"/>
          <w:color w:val="auto"/>
        </w:rPr>
      </w:pPr>
    </w:p>
    <w:p>
      <w:pPr>
        <w:ind w:right="160" w:firstLine="456"/>
        <w:spacing w:after="0" w:line="288" w:lineRule="auto"/>
        <w:rPr>
          <w:sz w:val="20"/>
          <w:szCs w:val="20"/>
          <w:color w:val="auto"/>
        </w:rPr>
      </w:pPr>
      <w:r>
        <w:rPr>
          <w:rFonts w:ascii="Arial" w:cs="Arial" w:eastAsia="Arial" w:hAnsi="Arial"/>
          <w:sz w:val="12"/>
          <w:szCs w:val="12"/>
          <w:color w:val="auto"/>
        </w:rPr>
        <w:t>In addition, current market conditions have affected consumer confidence levels, which may harm the business of our portfolio companies and result in adverse changes in payment patterns. If interest rates rise, some of our portfolio companies may not be able to pay the escalating interest on our loans and may default. Increased delinquencies and default rates would negatively impact our results of operations. Deterioration in the quality of our credit portfolio could have a material adverse effect on our business, financial condition and results of operations.</w:t>
      </w:r>
    </w:p>
    <w:p>
      <w:pPr>
        <w:spacing w:after="0" w:line="111"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We make long-term loans and debt investments,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investments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investments. Deterioration in a borrower’s financial condition and prospects may be accompanied by deterioration in any related collateral and may have a material adverse effect on our financial condition and results of operations.</w:t>
      </w:r>
    </w:p>
    <w:p>
      <w:pPr>
        <w:spacing w:after="0" w:line="208" w:lineRule="exact"/>
        <w:rPr>
          <w:sz w:val="20"/>
          <w:szCs w:val="20"/>
          <w:color w:val="auto"/>
        </w:rPr>
      </w:pPr>
    </w:p>
    <w:p>
      <w:pPr>
        <w:ind w:right="280" w:firstLine="456"/>
        <w:spacing w:after="0" w:line="239" w:lineRule="auto"/>
        <w:rPr>
          <w:sz w:val="20"/>
          <w:szCs w:val="20"/>
          <w:color w:val="auto"/>
        </w:rPr>
      </w:pPr>
      <w:r>
        <w:rPr>
          <w:rFonts w:ascii="Arial" w:cs="Arial" w:eastAsia="Arial" w:hAnsi="Arial"/>
          <w:sz w:val="14"/>
          <w:szCs w:val="14"/>
          <w:b w:val="1"/>
          <w:bCs w:val="1"/>
          <w:i w:val="1"/>
          <w:iCs w:val="1"/>
          <w:color w:val="auto"/>
        </w:rPr>
        <w:t>We are dependent upon our Investment Adviser’s key personnel for our future success, and if we are or our Investment Adviser is unable to hire and retain qualified personnel or if we lose any member of our management team, our ability to achieve our investment objectives could be significantly harmed.</w:t>
      </w:r>
    </w:p>
    <w:p>
      <w:pPr>
        <w:spacing w:after="0" w:line="58"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Managers of the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financial condition and results of operation depend on our ability to manage future growth effectively.</w:t>
      </w:r>
    </w:p>
    <w:p>
      <w:pPr>
        <w:spacing w:after="0" w:line="69"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Our ability to achieve our investment objectives depends on our ability to grow, which depends, in turn, on our Investment Adviser’s ability to identify, invest in and monitor companies that meet our investment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the Investment Management Agreement. In order to grow, our Investment Adviser will need to hire, train, supervise and manage new employees. However, we can offer no assurance that any such employees will contribute effectively to the work of the Investment Adviser. We caution you that the principals of the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operate in a highly competitive market for investment opportunities.</w:t>
      </w:r>
    </w:p>
    <w:p>
      <w:pPr>
        <w:spacing w:after="0" w:line="69"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right="200" w:firstLine="456"/>
        <w:spacing w:after="0" w:line="230" w:lineRule="auto"/>
        <w:rPr>
          <w:sz w:val="20"/>
          <w:szCs w:val="20"/>
          <w:color w:val="auto"/>
        </w:rPr>
      </w:pPr>
      <w:r>
        <w:rPr>
          <w:rFonts w:ascii="Arial" w:cs="Arial" w:eastAsia="Arial" w:hAnsi="Arial"/>
          <w:sz w:val="14"/>
          <w:szCs w:val="14"/>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not replicate the historical performance of other investment companies with which our investment professionals have been affiliated.</w:t>
      </w:r>
    </w:p>
    <w:p>
      <w:pPr>
        <w:spacing w:after="0" w:line="69" w:lineRule="exact"/>
        <w:rPr>
          <w:sz w:val="20"/>
          <w:szCs w:val="20"/>
          <w:color w:val="auto"/>
        </w:rPr>
      </w:pPr>
    </w:p>
    <w:p>
      <w:pPr>
        <w:ind w:right="80" w:firstLine="456"/>
        <w:spacing w:after="0" w:line="270" w:lineRule="auto"/>
        <w:rPr>
          <w:sz w:val="20"/>
          <w:szCs w:val="20"/>
          <w:color w:val="auto"/>
        </w:rPr>
      </w:pPr>
      <w:r>
        <w:rPr>
          <w:rFonts w:ascii="Arial" w:cs="Arial" w:eastAsia="Arial" w:hAnsi="Arial"/>
          <w:sz w:val="12"/>
          <w:szCs w:val="12"/>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Current market conditions and the depressed economic cycle present significant challenges to us that have not been present in recent years, if ever. In addition, the investment philosophy and techniques used by the Investment Adviser may differ from those used by other investment companies advised by the Investment Adviser. Accordingly, we can offer no assurance that we will replicate the historical performance of other investment companies with which our investment professionals have been affiliated, and we caution that our investment returns could be substantially lower than the returns achieved by such other companies.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Any failure on our part to maintain our status as a business development company would reduce our operating flexibility.</w:t>
      </w:r>
    </w:p>
    <w:p>
      <w:pPr>
        <w:spacing w:after="0" w:line="69"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Loss of RIC tax status would substantially reduce net assets and income available for debt service and dividends.</w:t>
      </w:r>
    </w:p>
    <w:p>
      <w:pPr>
        <w:spacing w:after="0" w:line="69" w:lineRule="exact"/>
        <w:rPr>
          <w:sz w:val="20"/>
          <w:szCs w:val="20"/>
          <w:color w:val="auto"/>
        </w:rPr>
      </w:pPr>
    </w:p>
    <w:p>
      <w:pPr>
        <w:ind w:right="40" w:firstLine="456"/>
        <w:spacing w:after="0" w:line="267" w:lineRule="auto"/>
        <w:rPr>
          <w:sz w:val="20"/>
          <w:szCs w:val="20"/>
          <w:color w:val="auto"/>
        </w:rPr>
      </w:pPr>
      <w:r>
        <w:rPr>
          <w:rFonts w:ascii="Arial" w:cs="Arial" w:eastAsia="Arial" w:hAnsi="Arial"/>
          <w:sz w:val="12"/>
          <w:szCs w:val="12"/>
          <w:color w:val="auto"/>
        </w:rPr>
        <w:t>We have operated and continue to operate so as to maintain our election to be taxed as a RIC under Subchapter M of the Code. If we meet source of 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an excise tax if we do not distribute an amount at least equal to the sum of (1) 98% of our net ordinary income (for the calendar year) plus (2) 98.2% of the sum of our net realized capital gains (during each 12-month period ending on October 31). We generally will be required to pay an excise tax on amounts carried over and distributed to stockholders in the next year equal to 4% of the undistributed amount.</w:t>
      </w:r>
    </w:p>
    <w:p>
      <w:pPr>
        <w:spacing w:after="0" w:line="35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have difficulty paying our required distributions if we recognize income before or without receiving cash representing such income.</w:t>
      </w:r>
    </w:p>
    <w:p>
      <w:pPr>
        <w:spacing w:after="0" w:line="69"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For federal income tax purposes, we include in income certain amounts that we have not yet received in cash, such as original issue discount, or OID, or contractual payment-in-kind, or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w:t>
      </w:r>
    </w:p>
    <w:p>
      <w:pPr>
        <w:spacing w:after="0" w:line="111" w:lineRule="exact"/>
        <w:rPr>
          <w:sz w:val="20"/>
          <w:szCs w:val="20"/>
          <w:color w:val="auto"/>
        </w:rPr>
      </w:pPr>
    </w:p>
    <w:p>
      <w:pPr>
        <w:ind w:right="300" w:firstLine="456"/>
        <w:spacing w:after="0" w:line="318" w:lineRule="auto"/>
        <w:rPr>
          <w:sz w:val="20"/>
          <w:szCs w:val="20"/>
          <w:color w:val="auto"/>
        </w:rPr>
      </w:pPr>
      <w:r>
        <w:rPr>
          <w:rFonts w:ascii="Arial" w:cs="Arial" w:eastAsia="Arial" w:hAnsi="Arial"/>
          <w:sz w:val="12"/>
          <w:szCs w:val="12"/>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94"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 level income tax.</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spacing w:after="0" w:line="58" w:lineRule="exact"/>
        <w:rPr>
          <w:sz w:val="20"/>
          <w:szCs w:val="20"/>
          <w:color w:val="auto"/>
        </w:rPr>
      </w:pPr>
    </w:p>
    <w:p>
      <w:pPr>
        <w:ind w:right="100" w:firstLine="456"/>
        <w:spacing w:after="0" w:line="227" w:lineRule="auto"/>
        <w:rPr>
          <w:sz w:val="20"/>
          <w:szCs w:val="20"/>
          <w:color w:val="auto"/>
        </w:rPr>
      </w:pPr>
      <w:r>
        <w:rPr>
          <w:rFonts w:ascii="Arial" w:cs="Arial" w:eastAsia="Arial" w:hAnsi="Arial"/>
          <w:sz w:val="14"/>
          <w:szCs w:val="14"/>
          <w:color w:val="auto"/>
        </w:rPr>
        <w:t>In order to satisfy the requirements applicable to a RIC, we intend to distribute to our stockholders substantially all of our net ordinary income and net capital gains except for certain net long-term capital gains, some or all of which we may retain, pay applicable income taxes with respect thereto and elect to treat as deemed distributions to our stockholders. As a BDC, we generally are required to meet an asset coverage ratio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40"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We will be partially dependent on our subsidiary Funding I for cash distributions to enable us to meet the RIC distribution requirements. Funding I may be limited by its covenants from making certain distributions to us that may be necessary to maintain our status as a RIC. We may have to request a waiver of these covenant’s restrictions for Funding I to make certain distributions to maintain our RIC status. We cannot assure you that Funding I will be granted such a waivers and if Funding I is unable to obtain a waiver, compliance with the covenants may result in a corporate-level income tax on us.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Regulations governing our operation as a business development company will affect our ability to, and the way in which we, raise additional capital.</w:t>
      </w:r>
    </w:p>
    <w:p>
      <w:pPr>
        <w:spacing w:after="0" w:line="69" w:lineRule="exact"/>
        <w:rPr>
          <w:sz w:val="20"/>
          <w:szCs w:val="20"/>
          <w:color w:val="auto"/>
        </w:rPr>
      </w:pPr>
    </w:p>
    <w:p>
      <w:pPr>
        <w:ind w:right="20" w:firstLine="456"/>
        <w:spacing w:after="0" w:line="226" w:lineRule="auto"/>
        <w:rPr>
          <w:sz w:val="20"/>
          <w:szCs w:val="20"/>
          <w:color w:val="auto"/>
        </w:rPr>
      </w:pPr>
      <w:r>
        <w:rPr>
          <w:rFonts w:ascii="Arial" w:cs="Arial" w:eastAsia="Arial" w:hAnsi="Arial"/>
          <w:sz w:val="14"/>
          <w:szCs w:val="14"/>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additional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permissable under the asset coverage definition under the 1940 Act. Our ability to pay dividends or issue additional senior securities would be restricted if our asset coverage were not met.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60" w:lineRule="exact"/>
        <w:rPr>
          <w:sz w:val="20"/>
          <w:szCs w:val="20"/>
          <w:color w:val="auto"/>
        </w:rPr>
      </w:pPr>
    </w:p>
    <w:p>
      <w:pPr>
        <w:jc w:val="both"/>
        <w:ind w:left="540" w:right="140" w:hanging="316"/>
        <w:spacing w:after="0" w:line="228"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Senior Securities. </w:t>
      </w:r>
      <w:r>
        <w:rPr>
          <w:rFonts w:ascii="Arial" w:cs="Arial" w:eastAsia="Arial" w:hAnsi="Arial"/>
          <w:sz w:val="14"/>
          <w:szCs w:val="14"/>
          <w:color w:val="auto"/>
        </w:rPr>
        <w:t>As a result of issuing senior securities, we are exposed to typical risks associated with leverage, including an increased risk of loss. If we issue preferred securities, they would rank</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59" w:lineRule="exact"/>
        <w:rPr>
          <w:rFonts w:ascii="Arial" w:cs="Arial" w:eastAsia="Arial" w:hAnsi="Arial"/>
          <w:sz w:val="14"/>
          <w:szCs w:val="14"/>
          <w:color w:val="auto"/>
        </w:rPr>
      </w:pPr>
    </w:p>
    <w:p>
      <w:pPr>
        <w:ind w:left="540" w:hanging="316"/>
        <w:spacing w:after="0" w:line="265" w:lineRule="auto"/>
        <w:tabs>
          <w:tab w:leader="none" w:pos="540"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Additional Common Stock. </w:t>
      </w:r>
      <w:r>
        <w:rPr>
          <w:rFonts w:ascii="Arial" w:cs="Arial" w:eastAsia="Arial" w:hAnsi="Arial"/>
          <w:sz w:val="12"/>
          <w:szCs w:val="12"/>
          <w:color w:val="auto"/>
        </w:rPr>
        <w:t>Our board of directors may decide to issue common stock to finance our operations rather than issuing debt or other senior securities. As a BDC, we are generally not able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issue our common stock at a price below net asset value without first obtaining required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we note that for us to file a post-effective amendment on Form N-2, we must then be qualified to register our securities under the requirements of Form S-3. We may actually issue shares above or below a future net asset value. If we raise additional funds by issuing more common stock or warrants or senior securities convertible into, or exchangeable for, our common stock, the percentage ownership of our common stockholders at that time would decrease, and our common stockholders may experience voting dilution.</w:t>
      </w:r>
    </w:p>
    <w:p>
      <w:pPr>
        <w:spacing w:after="0" w:line="42" w:lineRule="exact"/>
        <w:rPr>
          <w:rFonts w:ascii="Arial" w:cs="Arial" w:eastAsia="Arial" w:hAnsi="Arial"/>
          <w:sz w:val="12"/>
          <w:szCs w:val="12"/>
          <w:color w:val="auto"/>
        </w:rPr>
      </w:pPr>
    </w:p>
    <w:p>
      <w:pPr>
        <w:ind w:left="540" w:right="40" w:hanging="316"/>
        <w:spacing w:after="0" w:line="263" w:lineRule="auto"/>
        <w:tabs>
          <w:tab w:leader="none" w:pos="540"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Securitization. </w:t>
      </w:r>
      <w:r>
        <w:rPr>
          <w:rFonts w:ascii="Arial" w:cs="Arial" w:eastAsia="Arial" w:hAnsi="Arial"/>
          <w:sz w:val="12"/>
          <w:szCs w:val="12"/>
          <w:color w:val="auto"/>
        </w:rPr>
        <w:t>In addition to issuing securities to raise capital as described above, we anticipate that in the future, as market conditions permit, we may securitize our loans to generate cash for funding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requires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currently use borrowed funds to make investments and are exposed to the typical risks associated with leverage.</w:t>
      </w:r>
    </w:p>
    <w:p>
      <w:pPr>
        <w:spacing w:after="0" w:line="69"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Because we borrow funds, through Funding I,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met, and any amounts that we use to service our indebtedness are not available for distribution to our common stockholders.</w:t>
      </w:r>
    </w:p>
    <w:p>
      <w:pPr>
        <w:spacing w:after="0" w:line="111"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Our current debt is governed by the terms of the Credit Facility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Funding I may fail to meet certain asset coverage tests, which would have an adverse effect on the timing of payments to us, or otherwise fail to satisfy various covenants.</w:t>
      </w:r>
    </w:p>
    <w:p>
      <w:pPr>
        <w:spacing w:after="0" w:line="92" w:lineRule="exact"/>
        <w:rPr>
          <w:sz w:val="20"/>
          <w:szCs w:val="20"/>
          <w:color w:val="auto"/>
        </w:rPr>
      </w:pPr>
    </w:p>
    <w:p>
      <w:pPr>
        <w:jc w:val="both"/>
        <w:ind w:right="60" w:firstLine="456"/>
        <w:spacing w:after="0" w:line="278" w:lineRule="auto"/>
        <w:rPr>
          <w:sz w:val="20"/>
          <w:szCs w:val="20"/>
          <w:color w:val="auto"/>
        </w:rPr>
      </w:pPr>
      <w:r>
        <w:rPr>
          <w:rFonts w:ascii="Arial" w:cs="Arial" w:eastAsia="Arial" w:hAnsi="Arial"/>
          <w:sz w:val="12"/>
          <w:szCs w:val="12"/>
          <w:color w:val="auto"/>
        </w:rPr>
        <w:t>Under the documents governing the Credit Facility, there are two coverage tests applicable to Funding I. For example, the income coverage test compares the amount of interest received on the portfolio loans held by Funding I to the amount of interest payable to the Lender and certain other expenses. To meet this test, the aggregate amount of interest received on the portfolio loans must equal at least 125% of the interest payable in respect to the Lender and other parties. If these coverage tests are not satisfied on any date on which compliance is measured, Funding I will be required to apply any available funds to the repayment of principal under the Credit Facility to the extent necessary to satisfy the applicable coverage tests.</w:t>
      </w:r>
    </w:p>
    <w:p>
      <w:pPr>
        <w:spacing w:after="0" w:line="117" w:lineRule="exact"/>
        <w:rPr>
          <w:sz w:val="20"/>
          <w:szCs w:val="20"/>
          <w:color w:val="auto"/>
        </w:rPr>
      </w:pPr>
    </w:p>
    <w:p>
      <w:pPr>
        <w:ind w:firstLine="342"/>
        <w:spacing w:after="0" w:line="288" w:lineRule="auto"/>
        <w:rPr>
          <w:sz w:val="20"/>
          <w:szCs w:val="20"/>
          <w:color w:val="auto"/>
        </w:rPr>
      </w:pPr>
      <w:r>
        <w:rPr>
          <w:rFonts w:ascii="Arial" w:cs="Arial" w:eastAsia="Arial" w:hAnsi="Arial"/>
          <w:sz w:val="12"/>
          <w:szCs w:val="12"/>
          <w:color w:val="auto"/>
        </w:rPr>
        <w:t>In addition to the applicable asset coverage test that restricts our ability to borrow under Funding I’s Credit Facility, the various covenants which, if not complied with, could accelerate repayment under the Credit Facility, thereby materially and adversely affecting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30" w:lineRule="exact"/>
        <w:rPr>
          <w:sz w:val="20"/>
          <w:szCs w:val="20"/>
          <w:color w:val="auto"/>
        </w:rPr>
      </w:pPr>
    </w:p>
    <w:p>
      <w:pPr>
        <w:ind w:left="540" w:hanging="316"/>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 requirement to retain our status as a BDC;</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 requirement to maintain a minimum amount of stockholder’s equity;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 requirement that our outstanding borrowings under the Credit Facility not exceed a certain percentage of the values of our portfolio companies.</w:t>
      </w:r>
    </w:p>
    <w:p>
      <w:pPr>
        <w:spacing w:after="0" w:line="15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2"/>
          <w:szCs w:val="12"/>
          <w:color w:val="auto"/>
        </w:rPr>
        <w:t>Our continued compliance with these covenants depends on many factors, some of which are beyond our control. A material decrease in our net asset value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Credit Facility and could trigger mandatory pre-payment obligations under the terms of the Credit Facility.</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69" w:lineRule="exact"/>
        <w:rPr>
          <w:sz w:val="20"/>
          <w:szCs w:val="20"/>
          <w:color w:val="auto"/>
        </w:rPr>
      </w:pPr>
    </w:p>
    <w:p>
      <w:pPr>
        <w:ind w:right="20" w:firstLine="456"/>
        <w:spacing w:after="0" w:line="265" w:lineRule="auto"/>
        <w:rPr>
          <w:sz w:val="20"/>
          <w:szCs w:val="20"/>
          <w:color w:val="auto"/>
        </w:rPr>
      </w:pPr>
      <w:r>
        <w:rPr>
          <w:rFonts w:ascii="Arial" w:cs="Arial" w:eastAsia="Arial" w:hAnsi="Arial"/>
          <w:sz w:val="12"/>
          <w:szCs w:val="12"/>
          <w:color w:val="auto"/>
        </w:rPr>
        <w:t>We have indebtedness outstanding pursuant to our Credit Facility and expect in the future to borrow additional amounts under our Credit Facility and, subject to market availability and satisfaction of certain conditions, to increase the size of our Credit Facility. Our use of leverage, as calculated under the asset coverage requirements of the 1940 Act, may generally range between 70% to 90% of our net assets, or 40% to 50% of our Managed Assets. We cannot assure investors that our leverage will remain within the range. The amount of leverage that we employ will depend on our assessment of the market and other factors at the time of any proposed borrowing. Lenders have fixed dollar claims on our assets that have priority over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gain or loss on amounts invested and, therefore, increase the risk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24"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As of June 30, 2013, we had outstanding borrowings of $85.6 million under our Credit Facility with an annual interest rate of 2.20% exclusive of the fees on the undrawn commitment of 0.375%. Accordingly, to cover the annual interest on our borrowings outstanding at June 30, 2013, at the then current rate, we would have to receive an annual yield of at least 0.72%. This example is for illustrative purposes only, and actual interest rates on our Credit Facility or any future borrowings are likely to fluctuate. The costs associated with our borrowings, including any increase in the management fee payable to our Investment Adviser, are and will be borne by our common stockholders.</w:t>
      </w:r>
    </w:p>
    <w:p>
      <w:pPr>
        <w:spacing w:after="0" w:line="139" w:lineRule="exact"/>
        <w:rPr>
          <w:sz w:val="20"/>
          <w:szCs w:val="20"/>
          <w:color w:val="auto"/>
        </w:rPr>
      </w:pPr>
    </w:p>
    <w:p>
      <w:pPr>
        <w:ind w:right="160" w:firstLine="456"/>
        <w:spacing w:after="0" w:line="278" w:lineRule="auto"/>
        <w:rPr>
          <w:sz w:val="20"/>
          <w:szCs w:val="20"/>
          <w:color w:val="auto"/>
        </w:rPr>
      </w:pPr>
      <w:r>
        <w:rPr>
          <w:rFonts w:ascii="Arial" w:cs="Arial" w:eastAsia="Arial" w:hAnsi="Arial"/>
          <w:sz w:val="12"/>
          <w:szCs w:val="12"/>
          <w:color w:val="auto"/>
        </w:rPr>
        <w:t>The following table is designed to illustrate the effect on return to a holder of our common stock of the leverage created by our use of borrowing at June 30, 2013 of 33% of total assets (including such borrowed funds), at a weighted average rate at the time of 2.20%, and assuming hypothetical annual returns on our portfolio of minus 10 to plus 10 percent. The table also assumes that we will maintain a constant level and weighted average rate of leverage.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Assumed return on portfolio (net of expenses)</w:t>
            </w:r>
            <w:r>
              <w:rPr>
                <w:rFonts w:ascii="Arial" w:cs="Arial" w:eastAsia="Arial" w:hAnsi="Arial"/>
                <w:sz w:val="22"/>
                <w:szCs w:val="22"/>
                <w:color w:val="auto"/>
                <w:vertAlign w:val="superscript"/>
              </w:rPr>
              <w:t>(1)</w:t>
            </w:r>
          </w:p>
        </w:tc>
        <w:tc>
          <w:tcPr>
            <w:tcW w:w="34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(10.0)%</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(5.0)%</w:t>
            </w:r>
          </w:p>
        </w:tc>
        <w:tc>
          <w:tcPr>
            <w:tcW w:w="64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5.0%</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93"/>
        </w:trPr>
        <w:tc>
          <w:tcPr>
            <w:tcW w:w="5520" w:type="dxa"/>
            <w:vAlign w:val="bottom"/>
          </w:tcPr>
          <w:p>
            <w:pPr>
              <w:spacing w:after="0"/>
              <w:rPr>
                <w:sz w:val="20"/>
                <w:szCs w:val="20"/>
                <w:color w:val="auto"/>
              </w:rPr>
            </w:pPr>
            <w:r>
              <w:rPr>
                <w:rFonts w:ascii="Arial" w:cs="Arial" w:eastAsia="Arial" w:hAnsi="Arial"/>
                <w:sz w:val="14"/>
                <w:szCs w:val="14"/>
                <w:color w:val="auto"/>
              </w:rPr>
              <w:t>Corresponding return to common stockholders</w:t>
            </w:r>
            <w:r>
              <w:rPr>
                <w:rFonts w:ascii="Arial" w:cs="Arial" w:eastAsia="Arial" w:hAnsi="Arial"/>
                <w:sz w:val="22"/>
                <w:szCs w:val="22"/>
                <w:color w:val="auto"/>
                <w:vertAlign w:val="superscript"/>
              </w:rPr>
              <w:t>(2)</w:t>
            </w:r>
          </w:p>
        </w:tc>
        <w:tc>
          <w:tcPr>
            <w:tcW w:w="3460" w:type="dxa"/>
            <w:vAlign w:val="bottom"/>
          </w:tcPr>
          <w:p>
            <w:pPr>
              <w:jc w:val="right"/>
              <w:ind w:right="72"/>
              <w:spacing w:after="0"/>
              <w:rPr>
                <w:sz w:val="20"/>
                <w:szCs w:val="20"/>
                <w:color w:val="auto"/>
              </w:rPr>
            </w:pPr>
            <w:r>
              <w:rPr>
                <w:rFonts w:ascii="Arial" w:cs="Arial" w:eastAsia="Arial" w:hAnsi="Arial"/>
                <w:sz w:val="14"/>
                <w:szCs w:val="14"/>
                <w:color w:val="auto"/>
              </w:rPr>
              <w:t>(19.6)%</w:t>
            </w: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(10.4)%</w:t>
            </w:r>
          </w:p>
        </w:tc>
        <w:tc>
          <w:tcPr>
            <w:tcW w:w="640" w:type="dxa"/>
            <w:vAlign w:val="bottom"/>
          </w:tcPr>
          <w:p>
            <w:pPr>
              <w:jc w:val="right"/>
              <w:ind w:right="72"/>
              <w:spacing w:after="0"/>
              <w:rPr>
                <w:sz w:val="20"/>
                <w:szCs w:val="20"/>
                <w:color w:val="auto"/>
              </w:rPr>
            </w:pPr>
            <w:r>
              <w:rPr>
                <w:rFonts w:ascii="Arial" w:cs="Arial" w:eastAsia="Arial" w:hAnsi="Arial"/>
                <w:sz w:val="14"/>
                <w:szCs w:val="14"/>
                <w:color w:val="auto"/>
              </w:rPr>
              <w:t>(1.3)%</w:t>
            </w: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7.8%</w:t>
            </w:r>
          </w:p>
        </w:tc>
        <w:tc>
          <w:tcPr>
            <w:tcW w:w="520" w:type="dxa"/>
            <w:vAlign w:val="bottom"/>
          </w:tcPr>
          <w:p>
            <w:pPr>
              <w:jc w:val="right"/>
              <w:spacing w:after="0"/>
              <w:rPr>
                <w:sz w:val="20"/>
                <w:szCs w:val="20"/>
                <w:color w:val="auto"/>
              </w:rPr>
            </w:pPr>
            <w:r>
              <w:rPr>
                <w:rFonts w:ascii="Arial" w:cs="Arial" w:eastAsia="Arial" w:hAnsi="Arial"/>
                <w:sz w:val="14"/>
                <w:szCs w:val="14"/>
                <w:color w:val="auto"/>
              </w:rPr>
              <w:t>17.0%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517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spacing w:after="0" w:line="68" w:lineRule="exact"/>
        <w:rPr>
          <w:rFonts w:ascii="Arial" w:cs="Arial" w:eastAsia="Arial" w:hAnsi="Arial"/>
          <w:sz w:val="14"/>
          <w:szCs w:val="14"/>
          <w:color w:val="auto"/>
        </w:rPr>
      </w:pPr>
    </w:p>
    <w:p>
      <w:pPr>
        <w:ind w:left="340" w:right="100" w:hanging="332"/>
        <w:spacing w:after="0" w:line="288"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are exposed to risks associated with changes in interest rates that may affect our cost of capital and net investment income.</w:t>
      </w:r>
    </w:p>
    <w:p>
      <w:pPr>
        <w:spacing w:after="0" w:line="69"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 Discussion and Analysis of Financial Condition and Results of Operations—Quantitative and Qualitative Disclosures about Market Risk” for more information.</w:t>
      </w:r>
    </w:p>
    <w:p>
      <w:pPr>
        <w:spacing w:after="0" w:line="123"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94"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8" w:lineRule="exact"/>
        <w:rPr>
          <w:sz w:val="20"/>
          <w:szCs w:val="20"/>
          <w:color w:val="auto"/>
        </w:rPr>
      </w:pPr>
    </w:p>
    <w:p>
      <w:pPr>
        <w:ind w:right="580" w:firstLine="456"/>
        <w:spacing w:after="0" w:line="239" w:lineRule="auto"/>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debt securities, which would magnify the potential for loss and the risks of investing in us in the same way as our borrowings.</w:t>
      </w:r>
    </w:p>
    <w:p>
      <w:pPr>
        <w:spacing w:after="0" w:line="58"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As a result of any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221" w:lineRule="exact"/>
        <w:rPr>
          <w:sz w:val="20"/>
          <w:szCs w:val="20"/>
          <w:color w:val="auto"/>
        </w:rPr>
      </w:pPr>
    </w:p>
    <w:p>
      <w:pPr>
        <w:ind w:right="540" w:firstLine="456"/>
        <w:spacing w:after="0" w:line="239" w:lineRule="auto"/>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preferred stock, which would magnify the potential for loss and the risks of investing in us in the same way as our borrowings.</w:t>
      </w:r>
    </w:p>
    <w:p>
      <w:pPr>
        <w:spacing w:after="0" w:line="58" w:lineRule="exact"/>
        <w:rPr>
          <w:sz w:val="20"/>
          <w:szCs w:val="20"/>
          <w:color w:val="auto"/>
        </w:rPr>
      </w:pPr>
    </w:p>
    <w:p>
      <w:pPr>
        <w:ind w:right="60" w:firstLine="456"/>
        <w:spacing w:after="0" w:line="227" w:lineRule="auto"/>
        <w:rPr>
          <w:sz w:val="20"/>
          <w:szCs w:val="20"/>
          <w:color w:val="auto"/>
        </w:rPr>
      </w:pPr>
      <w:r>
        <w:rPr>
          <w:rFonts w:ascii="Arial" w:cs="Arial" w:eastAsia="Arial" w:hAnsi="Arial"/>
          <w:sz w:val="14"/>
          <w:szCs w:val="14"/>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interests in Funding I are subordinated.</w:t>
      </w:r>
    </w:p>
    <w:p>
      <w:pPr>
        <w:spacing w:after="0" w:line="69"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We own 100% of the equity interests in Funding I. We consolidate Funding I in our Consolidated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4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2"/>
          <w:szCs w:val="12"/>
          <w:color w:val="auto"/>
        </w:rPr>
        <w:t>Our equity interests in Funding I are subordinate to all of the secured and unsecured creditors, known or unknown, of Funding I, including the Lender. Consequently, to the extent that the value of Funding I’s portfolio of loan investments has been reduced as a result of conditions in the credit markets, defaulted loans, capital losses exceed gains on the underlying assets, prepayments or changes in interest rates, the return on our investment in Funding I could be reduced. Accordingly, our investment in Funding I is subject to loss of principal.</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not receive cash on our equity interests from Funding I.</w:t>
      </w:r>
    </w:p>
    <w:p>
      <w:pPr>
        <w:spacing w:after="0" w:line="69"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 and other secured parties are paid in full. In the event that we fail to receive cash from Funding I, we could be unable to make distributions to our stockholders in amounts sufficient to qualify as a RIC. We also could be forced to sell investments in portfolio companies at less than their fair value in order to continue making such distributions.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If we issue preferred stock, debt securities or convertible debt securities the net asset value and market value of our common stock may become more volatile.</w:t>
      </w:r>
    </w:p>
    <w:p>
      <w:pPr>
        <w:spacing w:after="0" w:line="69"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We cannot assure you that the issuance of preferred stock and/or debt securities would result in a higher yield or return to the holders of our common stock. The issuance of preferred stock, debt securities and/or convertible debt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23" w:lineRule="exact"/>
        <w:rPr>
          <w:sz w:val="20"/>
          <w:szCs w:val="20"/>
          <w:color w:val="auto"/>
        </w:rPr>
      </w:pPr>
    </w:p>
    <w:p>
      <w:pPr>
        <w:ind w:right="80" w:firstLine="456"/>
        <w:spacing w:after="0" w:line="270" w:lineRule="auto"/>
        <w:rPr>
          <w:sz w:val="20"/>
          <w:szCs w:val="20"/>
          <w:color w:val="auto"/>
        </w:rPr>
      </w:pPr>
      <w:r>
        <w:rPr>
          <w:rFonts w:ascii="Arial" w:cs="Arial" w:eastAsia="Arial" w:hAnsi="Arial"/>
          <w:sz w:val="12"/>
          <w:szCs w:val="12"/>
          <w:color w:val="auto"/>
        </w:rPr>
        <w:t>There is also a risk that, in the event of a sharp decline in the value of our net assets, we would be in danger of failing to maintain required asset coverage ratios which may be required by the preferred stock, debt securities and/or convertible debt or of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and/or convertible debt. In addition, we would pay (and the holders of our common stock would bear) all costs and expenses relating to the issuance and ongoing maintenance of the preferred stock, debt securities and/or convertible debt. Holders of preferred stock, debt securities and/or convertible debt may have different interests than holders of common stock and may at times have disproportionate influence over our affairs.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Holders of any preferred stock that we may issue will have the right to elect members of the board of directors and have class voting rights on certain matters.</w:t>
      </w:r>
    </w:p>
    <w:p>
      <w:pPr>
        <w:spacing w:after="0" w:line="69"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in the future issue securities for which there is no public market and for which we expect no public market to develop.</w:t>
      </w:r>
    </w:p>
    <w:p>
      <w:pPr>
        <w:spacing w:after="0" w:line="6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There are significant potential conflicts of interest which could impact our investment returns.</w:t>
      </w:r>
    </w:p>
    <w:p>
      <w:pPr>
        <w:spacing w:after="0" w:line="69" w:lineRule="exact"/>
        <w:rPr>
          <w:sz w:val="20"/>
          <w:szCs w:val="20"/>
          <w:color w:val="auto"/>
        </w:rPr>
      </w:pPr>
    </w:p>
    <w:p>
      <w:pPr>
        <w:ind w:firstLine="456"/>
        <w:spacing w:after="0" w:line="264" w:lineRule="auto"/>
        <w:rPr>
          <w:sz w:val="20"/>
          <w:szCs w:val="20"/>
          <w:color w:val="auto"/>
        </w:rPr>
      </w:pPr>
      <w:r>
        <w:rPr>
          <w:rFonts w:ascii="Arial" w:cs="Arial" w:eastAsia="Arial" w:hAnsi="Arial"/>
          <w:sz w:val="12"/>
          <w:szCs w:val="12"/>
          <w:color w:val="auto"/>
        </w:rPr>
        <w:t>The professionals of the Investment Adviser and Administrator may serve as officers, directors or principals of entities that operate in the same or a related line of business as we do or of investment funds managed by affiliates of PennantPark Floating Rate Capital Ltd.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27"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In the ordinary course of our investing activities, we will pay investment advisory and incentive fees to the Investment Adviser, and will reimburse the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have entered into a license agreement, or the Licence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 ability to sell investments held by Funding I is limited.</w:t>
      </w:r>
    </w:p>
    <w:p>
      <w:pPr>
        <w:spacing w:after="0" w:line="69" w:lineRule="exact"/>
        <w:rPr>
          <w:sz w:val="20"/>
          <w:szCs w:val="20"/>
          <w:color w:val="auto"/>
        </w:rPr>
      </w:pPr>
    </w:p>
    <w:p>
      <w:pPr>
        <w:ind w:right="500" w:firstLine="456"/>
        <w:spacing w:after="0" w:line="239" w:lineRule="auto"/>
        <w:rPr>
          <w:sz w:val="20"/>
          <w:szCs w:val="20"/>
          <w:color w:val="auto"/>
        </w:rPr>
      </w:pPr>
      <w:r>
        <w:rPr>
          <w:rFonts w:ascii="Arial" w:cs="Arial" w:eastAsia="Arial" w:hAnsi="Arial"/>
          <w:sz w:val="14"/>
          <w:szCs w:val="14"/>
          <w:color w:val="auto"/>
        </w:rPr>
        <w:t>The Credit Facility place restrictions on the collateral manager’s ability to sell investments. As a result, there may be times or circumstances during which the collateral manager is unable to sell investments or take other actions that might be in our best interests.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 trading market or market value of any publicly issued debt securities or convertible debt may be volatile.</w:t>
      </w:r>
    </w:p>
    <w:p>
      <w:pPr>
        <w:spacing w:after="0" w:line="69" w:lineRule="exact"/>
        <w:rPr>
          <w:sz w:val="20"/>
          <w:szCs w:val="20"/>
          <w:color w:val="auto"/>
        </w:rPr>
      </w:pPr>
    </w:p>
    <w:p>
      <w:pPr>
        <w:ind w:right="460" w:firstLine="456"/>
        <w:spacing w:after="0" w:line="233" w:lineRule="auto"/>
        <w:rPr>
          <w:sz w:val="20"/>
          <w:szCs w:val="20"/>
          <w:color w:val="auto"/>
        </w:rPr>
      </w:pPr>
      <w:r>
        <w:rPr>
          <w:rFonts w:ascii="Arial" w:cs="Arial" w:eastAsia="Arial" w:hAnsi="Arial"/>
          <w:sz w:val="14"/>
          <w:szCs w:val="14"/>
          <w:color w:val="auto"/>
        </w:rPr>
        <w:t>If we publicly issue debt securities or convertible debt, they may or may not have an established trading market. We cannot assure investors that a trading market for our publicly issued debt or convertible debt securities would develop or be maintained if developed. In addition to our creditworthiness, many factors may materially adversely affect the trading market for, and market value of, our publicly issued debt or convertible debt securities. These factors include the following:</w:t>
      </w:r>
    </w:p>
    <w:p>
      <w:pPr>
        <w:spacing w:after="0" w:line="58"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time remaining to the maturity of these debt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outstanding principal amount of debt securities with terms identical to these debt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supply of debt securities trading in the secondary market, if any;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redemption, repayment or convertible features, if any, of these debt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level, direction and volatility of market interest rates generally;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market rates of interest higher or lower than rates borne by the debt securities.</w:t>
      </w:r>
    </w:p>
    <w:p>
      <w:pPr>
        <w:spacing w:after="0" w:line="150" w:lineRule="exact"/>
        <w:rPr>
          <w:sz w:val="20"/>
          <w:szCs w:val="20"/>
          <w:color w:val="auto"/>
        </w:rPr>
      </w:pPr>
    </w:p>
    <w:p>
      <w:pPr>
        <w:ind w:right="240" w:firstLine="456"/>
        <w:spacing w:after="0" w:line="239" w:lineRule="auto"/>
        <w:rPr>
          <w:sz w:val="20"/>
          <w:szCs w:val="20"/>
          <w:color w:val="auto"/>
        </w:rPr>
      </w:pPr>
      <w:r>
        <w:rPr>
          <w:rFonts w:ascii="Arial" w:cs="Arial" w:eastAsia="Arial" w:hAnsi="Arial"/>
          <w:sz w:val="14"/>
          <w:szCs w:val="14"/>
          <w:color w:val="auto"/>
        </w:rPr>
        <w:t>There also may be a limited number of buyers for our debt securities. This too may materially adversely affect the market value of the debt securities or the trading market for the debt securities. Our debt securities may include convertible features that cause them to more closely bear risks associated with an investment in our common stock.</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credit ratings may not reflect all risks of an investment in debt securities.</w:t>
      </w:r>
    </w:p>
    <w:p>
      <w:pPr>
        <w:spacing w:after="0" w:line="69" w:lineRule="exact"/>
        <w:rPr>
          <w:sz w:val="20"/>
          <w:szCs w:val="20"/>
          <w:color w:val="auto"/>
        </w:rPr>
      </w:pPr>
    </w:p>
    <w:p>
      <w:pPr>
        <w:ind w:right="160" w:firstLine="456"/>
        <w:spacing w:after="0" w:line="233" w:lineRule="auto"/>
        <w:rPr>
          <w:sz w:val="20"/>
          <w:szCs w:val="20"/>
          <w:color w:val="auto"/>
        </w:rPr>
      </w:pPr>
      <w:r>
        <w:rPr>
          <w:rFonts w:ascii="Arial" w:cs="Arial" w:eastAsia="Arial" w:hAnsi="Arial"/>
          <w:sz w:val="14"/>
          <w:szCs w:val="14"/>
          <w:color w:val="auto"/>
        </w:rPr>
        <w:t>Our credit ratings, if any,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Terms relating to redemption may have a material adverse effect on the return on any debt securities.</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If we issue subscription rights or warrants for our common stock, your interest in us may be diluted as a result of such rights or warrants offering.</w:t>
      </w:r>
    </w:p>
    <w:p>
      <w:pPr>
        <w:spacing w:after="0" w:line="69"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39"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In addition, if the subscription price or warrant exercise price is less than our net asset value per share of common stock at the time of an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exercise price or net asset value per share will be on the expiration date of such rights offering or what proportion of our common stock will be purchased as a result of any such offering.</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experience fluctuations in our quarterly results.</w:t>
      </w:r>
    </w:p>
    <w:p>
      <w:pPr>
        <w:spacing w:after="0" w:line="69" w:lineRule="exact"/>
        <w:rPr>
          <w:sz w:val="20"/>
          <w:szCs w:val="20"/>
          <w:color w:val="auto"/>
        </w:rPr>
      </w:pPr>
    </w:p>
    <w:p>
      <w:pPr>
        <w:ind w:right="40" w:firstLine="456"/>
        <w:spacing w:after="0" w:line="228" w:lineRule="auto"/>
        <w:rPr>
          <w:sz w:val="20"/>
          <w:szCs w:val="20"/>
          <w:color w:val="auto"/>
        </w:rPr>
      </w:pPr>
      <w:r>
        <w:rPr>
          <w:rFonts w:ascii="Arial" w:cs="Arial" w:eastAsia="Arial" w:hAnsi="Arial"/>
          <w:sz w:val="14"/>
          <w:szCs w:val="14"/>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and net asset value. As a result of these factors, results for any period should not be relied upon as being indicative of performance in future periods.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Changes in laws or regulations governing our operations may adversely affect our business.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and our portfolio companies are subject to regulation by laws at the local, state and federal levels. These laws and regulations, as well as their interpretation, may be changed from time to time.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Accordingly, any change in these laws or regulations could have a material adverse effect on our business. See “Regulation” for more information.</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board of directors may change our investment objectives, operating policies and strategies without prior notice or stockholder approval.</w:t>
      </w:r>
    </w:p>
    <w:p>
      <w:pPr>
        <w:spacing w:after="0" w:line="69"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THE ILLIQUID NATURE OF OUR PORTFOLIO ASSETS</w:t>
      </w:r>
    </w:p>
    <w:p>
      <w:pPr>
        <w:spacing w:after="0" w:line="71" w:lineRule="exact"/>
        <w:rPr>
          <w:sz w:val="20"/>
          <w:szCs w:val="20"/>
          <w:color w:val="auto"/>
        </w:rPr>
      </w:pPr>
    </w:p>
    <w:p>
      <w:pPr>
        <w:ind w:right="580" w:firstLine="456"/>
        <w:spacing w:after="0" w:line="239" w:lineRule="auto"/>
        <w:rPr>
          <w:sz w:val="20"/>
          <w:szCs w:val="20"/>
          <w:color w:val="auto"/>
        </w:rPr>
      </w:pPr>
      <w:r>
        <w:rPr>
          <w:rFonts w:ascii="Arial" w:cs="Arial" w:eastAsia="Arial" w:hAnsi="Arial"/>
          <w:sz w:val="14"/>
          <w:szCs w:val="14"/>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58"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the Credit Facility will be classified as Level 3 under Financial Accounting Standards Board, or FASB, Accounting Standards Codification, or ASC, 820, Fair Value Measurements. 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w:t>
      </w:r>
    </w:p>
    <w:p>
      <w:pPr>
        <w:spacing w:after="0" w:line="122" w:lineRule="exact"/>
        <w:rPr>
          <w:sz w:val="20"/>
          <w:szCs w:val="20"/>
          <w:color w:val="auto"/>
        </w:rPr>
      </w:pPr>
    </w:p>
    <w:p>
      <w:pPr>
        <w:ind w:right="220" w:firstLine="456"/>
        <w:spacing w:after="0" w:line="273" w:lineRule="auto"/>
        <w:rPr>
          <w:sz w:val="20"/>
          <w:szCs w:val="20"/>
          <w:color w:val="auto"/>
        </w:rPr>
      </w:pPr>
      <w:r>
        <w:rPr>
          <w:rFonts w:ascii="Arial" w:cs="Arial" w:eastAsia="Arial" w:hAnsi="Arial"/>
          <w:sz w:val="12"/>
          <w:szCs w:val="12"/>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20" w:lineRule="exact"/>
        <w:rPr>
          <w:sz w:val="20"/>
          <w:szCs w:val="20"/>
          <w:color w:val="auto"/>
        </w:rPr>
      </w:pPr>
    </w:p>
    <w:p>
      <w:pPr>
        <w:ind w:right="380" w:firstLine="456"/>
        <w:spacing w:after="0" w:line="239" w:lineRule="auto"/>
        <w:rPr>
          <w:sz w:val="20"/>
          <w:szCs w:val="20"/>
          <w:color w:val="auto"/>
        </w:rPr>
      </w:pPr>
      <w:r>
        <w:rPr>
          <w:rFonts w:ascii="Arial" w:cs="Arial" w:eastAsia="Arial" w:hAnsi="Arial"/>
          <w:sz w:val="14"/>
          <w:szCs w:val="14"/>
          <w:color w:val="auto"/>
        </w:rPr>
        <w:t>We adjust quarterly the valuation of our portfolio to reflect our board of directors’ determination of the fair value of each investment in our portfolio. Any changes in fair value are recorded on our Consolidated Statement of Operations as net change in unrealized appreciation or depreciation.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At June 30, 2013, all of our investments were recorded at fair value as approved in good faith by our board of directors. As we invest a greater percentage of our total assets in private investments,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 lack of liquidity in our investments may adversely affect our business.</w:t>
      </w:r>
    </w:p>
    <w:p>
      <w:pPr>
        <w:spacing w:after="0" w:line="69"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3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The illiquidity of our investments may make it difficult or impossible for us to sell such investments if the need arises, particularly at times when the market appetite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3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 general disruption in the credit markets could materially damage our business.</w:t>
      </w:r>
    </w:p>
    <w:p>
      <w:pPr>
        <w:spacing w:after="0" w:line="69" w:lineRule="exact"/>
        <w:rPr>
          <w:sz w:val="20"/>
          <w:szCs w:val="20"/>
          <w:color w:val="auto"/>
        </w:rPr>
      </w:pPr>
    </w:p>
    <w:p>
      <w:pPr>
        <w:ind w:right="200" w:firstLine="456"/>
        <w:spacing w:after="0" w:line="288" w:lineRule="auto"/>
        <w:rPr>
          <w:sz w:val="20"/>
          <w:szCs w:val="20"/>
          <w:color w:val="auto"/>
        </w:rPr>
      </w:pPr>
      <w:r>
        <w:rPr>
          <w:rFonts w:ascii="Arial" w:cs="Arial" w:eastAsia="Arial" w:hAnsi="Arial"/>
          <w:sz w:val="12"/>
          <w:szCs w:val="12"/>
          <w:color w:val="auto"/>
        </w:rPr>
        <w:t>We are susceptible to the risk of significant loss if we are forced to discount the value of our investments in order to provide liquidity to meet our liability maturities. Funding I’s borrowings under it’s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1"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If the fair value of our assets declines substantially, we may fail to maintain the asset coverage ratios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rely in part on our over-the-counter securities, which faced liquidity constraints under recent market conditions, to provide us with additional liquidity.</w:t>
      </w:r>
    </w:p>
    <w:p>
      <w:pPr>
        <w:spacing w:after="0" w:line="69"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INVESTMENTS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investments in prospective portfolio companies may be risky, and you could lose all or part of your investment.</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invest primarily in Floating Rate Loans issued by U.S. middle-market companies.</w:t>
      </w:r>
    </w:p>
    <w:p>
      <w:pPr>
        <w:spacing w:after="0" w:line="150" w:lineRule="exact"/>
        <w:rPr>
          <w:sz w:val="20"/>
          <w:szCs w:val="20"/>
          <w:color w:val="auto"/>
        </w:rPr>
      </w:pPr>
    </w:p>
    <w:p>
      <w:pPr>
        <w:ind w:left="800" w:right="20"/>
        <w:spacing w:after="0" w:line="270" w:lineRule="auto"/>
        <w:rPr>
          <w:sz w:val="20"/>
          <w:szCs w:val="20"/>
          <w:color w:val="auto"/>
        </w:rPr>
      </w:pPr>
      <w:r>
        <w:rPr>
          <w:rFonts w:ascii="Arial" w:cs="Arial" w:eastAsia="Arial" w:hAnsi="Arial"/>
          <w:sz w:val="12"/>
          <w:szCs w:val="12"/>
          <w:i w:val="1"/>
          <w:iCs w:val="1"/>
          <w:color w:val="auto"/>
        </w:rPr>
        <w:t>Floating Rate Loans</w:t>
      </w:r>
      <w:r>
        <w:rPr>
          <w:rFonts w:ascii="Arial" w:cs="Arial" w:eastAsia="Arial" w:hAnsi="Arial"/>
          <w:sz w:val="12"/>
          <w:szCs w:val="12"/>
          <w:color w:val="auto"/>
        </w:rPr>
        <w:t>. The Floating Rate Loans we invest in are usually rated below investment grade or may also be unrated. Investments in Floating Rate Loans rated below investment grade are</w:t>
      </w:r>
      <w:r>
        <w:rPr>
          <w:rFonts w:ascii="Arial" w:cs="Arial" w:eastAsia="Arial" w:hAnsi="Arial"/>
          <w:sz w:val="12"/>
          <w:szCs w:val="12"/>
          <w:i w:val="1"/>
          <w:iCs w:val="1"/>
          <w:color w:val="auto"/>
        </w:rPr>
        <w:t xml:space="preserve"> </w:t>
      </w:r>
      <w:r>
        <w:rPr>
          <w:rFonts w:ascii="Arial" w:cs="Arial" w:eastAsia="Arial" w:hAnsi="Arial"/>
          <w:sz w:val="12"/>
          <w:szCs w:val="12"/>
          <w:color w:val="auto"/>
        </w:rPr>
        <w:t>considered speculative because of the credit risk of their issuers. Such companies are more likely than investment grade issuers to default on their payments of interest and principal owed to us, and such defaults could reduce our net asset value and income distributions. An economic downturn would generally lead to a higher non-payment rate by portfolio companies, and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value. Floating Rate Loans are subject to a number of risks, including liquidity risk and the risk of investing in below investment-grade, variable-rate securities.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Floating Rate Loans are subject to the risk of non-payment of scheduled interest or principal. Such non-payment would result in a reduction of income to us, a reduction in the value of the investment and a potential decrease in our net asset value.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 detrimental to the holders of loans including, in certain circumstances, invalidating such loans or causing interest previously paid to be refunded to the borrower. Either such step could materially negatively affect our performance.</w:t>
      </w:r>
    </w:p>
    <w:p>
      <w:pPr>
        <w:spacing w:after="0" w:line="123"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investing in middle-market companies involves a number of significant risks including:</w:t>
      </w:r>
    </w:p>
    <w:p>
      <w:pPr>
        <w:spacing w:after="0" w:line="55" w:lineRule="exact"/>
        <w:rPr>
          <w:sz w:val="20"/>
          <w:szCs w:val="20"/>
          <w:color w:val="auto"/>
        </w:rPr>
      </w:pPr>
    </w:p>
    <w:p>
      <w:pPr>
        <w:ind w:left="540" w:right="120" w:hanging="316"/>
        <w:spacing w:after="0" w:line="239"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43"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3"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3" w:lineRule="exact"/>
        <w:rPr>
          <w:rFonts w:ascii="Arial" w:cs="Arial" w:eastAsia="Arial" w:hAnsi="Arial"/>
          <w:sz w:val="14"/>
          <w:szCs w:val="14"/>
          <w:color w:val="auto"/>
        </w:rPr>
      </w:pPr>
    </w:p>
    <w:p>
      <w:pPr>
        <w:ind w:left="540" w:right="160" w:hanging="316"/>
        <w:spacing w:after="0" w:line="288" w:lineRule="auto"/>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16" w:lineRule="exact"/>
        <w:rPr>
          <w:rFonts w:ascii="Arial" w:cs="Arial" w:eastAsia="Arial" w:hAnsi="Arial"/>
          <w:sz w:val="12"/>
          <w:szCs w:val="12"/>
          <w:color w:val="auto"/>
        </w:rPr>
      </w:pPr>
    </w:p>
    <w:p>
      <w:pPr>
        <w:ind w:left="540" w:hanging="316"/>
        <w:spacing w:after="0"/>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they may have difficulty accessing the capital markets to meet future capital needs, which may limit their ability to grow or to repay their outstanding indebtedness upon maturity.</w:t>
      </w:r>
    </w:p>
    <w:p>
      <w:pPr>
        <w:spacing w:after="0" w:line="254" w:lineRule="exact"/>
        <w:rPr>
          <w:sz w:val="20"/>
          <w:szCs w:val="20"/>
          <w:color w:val="auto"/>
        </w:rPr>
      </w:pPr>
    </w:p>
    <w:p>
      <w:pPr>
        <w:ind w:right="120" w:firstLine="456"/>
        <w:spacing w:after="0" w:line="239" w:lineRule="auto"/>
        <w:rPr>
          <w:sz w:val="20"/>
          <w:szCs w:val="20"/>
          <w:color w:val="auto"/>
        </w:rPr>
      </w:pPr>
      <w:r>
        <w:rPr>
          <w:rFonts w:ascii="Arial" w:cs="Arial" w:eastAsia="Arial" w:hAnsi="Arial"/>
          <w:sz w:val="14"/>
          <w:szCs w:val="14"/>
          <w:b w:val="1"/>
          <w:bCs w:val="1"/>
          <w:i w:val="1"/>
          <w:iCs w:val="1"/>
          <w:color w:val="auto"/>
        </w:rPr>
        <w:t>Under the 1940 Act we may invest up to 30% of our assets in investments that are not qualifying assets for business development companies. If we do not invest a sufficient portion of our assets in qualifying assets, we could be precluded from investing in assets that we deem to be attractive.</w:t>
      </w:r>
    </w:p>
    <w:p>
      <w:pPr>
        <w:spacing w:after="0" w:line="58"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39"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We believe that most of our debt and equity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58"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Economic recessions or downturns could impair our portfolio companies and harm our operating results.</w:t>
      </w:r>
    </w:p>
    <w:p>
      <w:pPr>
        <w:spacing w:after="0" w:line="69" w:lineRule="exact"/>
        <w:rPr>
          <w:sz w:val="20"/>
          <w:szCs w:val="20"/>
          <w:color w:val="auto"/>
        </w:rPr>
      </w:pPr>
    </w:p>
    <w:p>
      <w:pPr>
        <w:ind w:right="40" w:firstLine="456"/>
        <w:spacing w:after="0" w:line="228" w:lineRule="auto"/>
        <w:rPr>
          <w:sz w:val="20"/>
          <w:szCs w:val="20"/>
          <w:color w:val="auto"/>
        </w:rPr>
      </w:pPr>
      <w:r>
        <w:rPr>
          <w:rFonts w:ascii="Arial" w:cs="Arial" w:eastAsia="Arial" w:hAnsi="Arial"/>
          <w:sz w:val="14"/>
          <w:szCs w:val="14"/>
          <w:color w:val="auto"/>
        </w:rPr>
        <w:t>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40"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If we fail to make follow-on investments in our portfolio companies, this could materially impair the value of our portfolio.</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Following an initial investment in a portfolio company, we may make additional investments in that portfolio company as “follow-on” investments, in order to:</w:t>
      </w:r>
    </w:p>
    <w:p>
      <w:pPr>
        <w:spacing w:after="0" w:line="55"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increase or maintain in whole or in part our equity ownership percentage;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exercise warrants, options or convertible securities that were acquired in the original or subsequent financing; or</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attempt to preserve or enhance the value of our investment.</w:t>
      </w:r>
    </w:p>
    <w:p>
      <w:pPr>
        <w:spacing w:after="0" w:line="150"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117" w:lineRule="exact"/>
        <w:rPr>
          <w:sz w:val="20"/>
          <w:szCs w:val="20"/>
          <w:color w:val="auto"/>
        </w:rPr>
      </w:pPr>
    </w:p>
    <w:p>
      <w:pPr>
        <w:ind w:right="520" w:firstLine="456"/>
        <w:spacing w:after="0" w:line="239" w:lineRule="auto"/>
        <w:rPr>
          <w:sz w:val="20"/>
          <w:szCs w:val="20"/>
          <w:color w:val="auto"/>
        </w:rPr>
      </w:pPr>
      <w:r>
        <w:rPr>
          <w:rFonts w:ascii="Arial" w:cs="Arial" w:eastAsia="Arial" w:hAnsi="Arial"/>
          <w:sz w:val="14"/>
          <w:szCs w:val="14"/>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58"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39"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12" w:lineRule="exact"/>
        <w:rPr>
          <w:sz w:val="20"/>
          <w:szCs w:val="20"/>
          <w:color w:val="auto"/>
        </w:rPr>
      </w:pPr>
    </w:p>
    <w:p>
      <w:pPr>
        <w:ind w:right="200" w:firstLine="456"/>
        <w:spacing w:after="0" w:line="278" w:lineRule="auto"/>
        <w:rPr>
          <w:sz w:val="20"/>
          <w:szCs w:val="20"/>
          <w:color w:val="auto"/>
        </w:rPr>
      </w:pPr>
      <w:r>
        <w:rPr>
          <w:rFonts w:ascii="Arial" w:cs="Arial" w:eastAsia="Arial" w:hAnsi="Arial"/>
          <w:sz w:val="12"/>
          <w:szCs w:val="12"/>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portfolio companies may incur debt that ranks equally with, or senior to, our investments in such companies.</w:t>
      </w:r>
    </w:p>
    <w:p>
      <w:pPr>
        <w:spacing w:after="0" w:line="69" w:lineRule="exact"/>
        <w:rPr>
          <w:sz w:val="20"/>
          <w:szCs w:val="20"/>
          <w:color w:val="auto"/>
        </w:rPr>
      </w:pPr>
    </w:p>
    <w:p>
      <w:pPr>
        <w:ind w:right="140" w:firstLine="456"/>
        <w:spacing w:after="0" w:line="270" w:lineRule="auto"/>
        <w:rPr>
          <w:sz w:val="20"/>
          <w:szCs w:val="20"/>
          <w:color w:val="auto"/>
        </w:rPr>
      </w:pPr>
      <w:r>
        <w:rPr>
          <w:rFonts w:ascii="Arial" w:cs="Arial" w:eastAsia="Arial" w:hAnsi="Arial"/>
          <w:sz w:val="12"/>
          <w:szCs w:val="12"/>
          <w:color w:val="auto"/>
        </w:rPr>
        <w:t>We invest primarily in Floating Rate Loans issued by our portfolio companies. The portfolio companies usually may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incentive fee may induce the Investment Adviser to make speculative investments.</w:t>
      </w:r>
    </w:p>
    <w:p>
      <w:pPr>
        <w:spacing w:after="0" w:line="69"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3"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2"/>
          <w:szCs w:val="12"/>
          <w:color w:val="auto"/>
        </w:rPr>
        <w:t>The part of our incentive fee payable by us to PennantPark Investment Advisers that relates to our investment income is computed and paid on income that may include interest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We may make investments that cause our stockholders to bear investment advisory fees and other expenses on such investments in addition to our management fees and expenses.</w:t>
      </w:r>
    </w:p>
    <w:p>
      <w:pPr>
        <w:spacing w:after="0" w:line="92"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be obligated to pay our Investment Adviser incentive compensation even if we incur a loss.</w:t>
      </w:r>
    </w:p>
    <w:p>
      <w:pPr>
        <w:spacing w:after="0" w:line="6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the Investment Adviser incentive compensation for a fiscal quarter even if there is a decline in the value of our portfolio or we incur a net loss for that quarter.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 effect of global climate change may impact the operations of our portfolio companies.</w:t>
      </w:r>
    </w:p>
    <w:p>
      <w:pPr>
        <w:spacing w:after="0" w:line="69"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investments in foreign securities may involve significant risks in addition to the risks inherent in U.S. investments.</w:t>
      </w:r>
    </w:p>
    <w:p>
      <w:pPr>
        <w:spacing w:after="0" w:line="69"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Our investment strategy contemplates potential investments in securities of companies located outside of the United States. Investments in securities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40"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expose ourselves to risks if we engage in hedging transactions.</w:t>
      </w:r>
    </w:p>
    <w:p>
      <w:pPr>
        <w:spacing w:after="0" w:line="69" w:lineRule="exact"/>
        <w:rPr>
          <w:sz w:val="20"/>
          <w:szCs w:val="20"/>
          <w:color w:val="auto"/>
        </w:rPr>
      </w:pPr>
    </w:p>
    <w:p>
      <w:pPr>
        <w:ind w:firstLine="456"/>
        <w:spacing w:after="0" w:line="226" w:lineRule="auto"/>
        <w:rPr>
          <w:sz w:val="20"/>
          <w:szCs w:val="20"/>
          <w:color w:val="auto"/>
        </w:rPr>
      </w:pPr>
      <w:r>
        <w:rPr>
          <w:rFonts w:ascii="Arial" w:cs="Arial" w:eastAsia="Arial" w:hAnsi="Arial"/>
          <w:sz w:val="14"/>
          <w:szCs w:val="14"/>
          <w:color w:val="auto"/>
        </w:rPr>
        <w:t>If we engage in hedging transactions, we may expose ourselves to risks associated with such transactions. We may borrow under a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4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recent rules adopted by the Commodity Futures Trading Commission.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COMMON STOCK</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There is a risk that our stockholders may not receive distributions or that our distributions may not grow over time.</w:t>
      </w:r>
    </w:p>
    <w:p>
      <w:pPr>
        <w:spacing w:after="0" w:line="69"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Investing in our shares may involve an above average degree of risk.</w:t>
      </w:r>
    </w:p>
    <w:p>
      <w:pPr>
        <w:spacing w:after="0" w:line="69" w:lineRule="exact"/>
        <w:rPr>
          <w:sz w:val="20"/>
          <w:szCs w:val="20"/>
          <w:color w:val="auto"/>
        </w:rPr>
      </w:pPr>
    </w:p>
    <w:p>
      <w:pPr>
        <w:ind w:right="220" w:firstLine="456"/>
        <w:spacing w:after="0" w:line="318" w:lineRule="auto"/>
        <w:rPr>
          <w:sz w:val="20"/>
          <w:szCs w:val="20"/>
          <w:color w:val="auto"/>
        </w:rPr>
      </w:pPr>
      <w:r>
        <w:rPr>
          <w:rFonts w:ascii="Arial" w:cs="Arial" w:eastAsia="Arial" w:hAnsi="Arial"/>
          <w:sz w:val="12"/>
          <w:szCs w:val="12"/>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allocate the net proceeds from any offering of our securities in ways with which you may not agree.</w:t>
      </w:r>
    </w:p>
    <w:p>
      <w:pPr>
        <w:spacing w:after="0" w:line="69" w:lineRule="exact"/>
        <w:rPr>
          <w:sz w:val="20"/>
          <w:szCs w:val="20"/>
          <w:color w:val="auto"/>
        </w:rPr>
      </w:pPr>
    </w:p>
    <w:p>
      <w:pPr>
        <w:ind w:right="560" w:firstLine="456"/>
        <w:spacing w:after="0" w:line="239" w:lineRule="auto"/>
        <w:rPr>
          <w:sz w:val="20"/>
          <w:szCs w:val="20"/>
          <w:color w:val="auto"/>
        </w:rPr>
      </w:pPr>
      <w:r>
        <w:rPr>
          <w:rFonts w:ascii="Arial" w:cs="Arial" w:eastAsia="Arial" w:hAnsi="Arial"/>
          <w:sz w:val="14"/>
          <w:szCs w:val="14"/>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shares may trade at discounts from net asset value or at premiums that are unsustainable over the long term.</w:t>
      </w:r>
    </w:p>
    <w:p>
      <w:pPr>
        <w:spacing w:after="0" w:line="69" w:lineRule="exact"/>
        <w:rPr>
          <w:sz w:val="20"/>
          <w:szCs w:val="20"/>
          <w:color w:val="auto"/>
        </w:rPr>
      </w:pPr>
    </w:p>
    <w:p>
      <w:pPr>
        <w:ind w:right="120" w:firstLine="456"/>
        <w:spacing w:after="0" w:line="278" w:lineRule="auto"/>
        <w:rPr>
          <w:sz w:val="20"/>
          <w:szCs w:val="20"/>
          <w:color w:val="auto"/>
        </w:rPr>
      </w:pPr>
      <w:r>
        <w:rPr>
          <w:rFonts w:ascii="Arial" w:cs="Arial" w:eastAsia="Arial" w:hAnsi="Arial"/>
          <w:sz w:val="12"/>
          <w:szCs w:val="12"/>
          <w:color w:val="auto"/>
        </w:rPr>
        <w:t>Shares of BDC’s may trade at a market price that is less than the net asset value that is attributable to those shares. Our shares may trade above and below our net asset value, or NAV. Our shares traded on the NASDAQ Global Select Market at $14.14 and $12.67 as of June 30, 2013 and September 30, 2012, respectively. Our NAV was $13.98 and $13.98 as of June 30, 2013 and September 30,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 market price of our common stock may fluctuate significantly.</w:t>
      </w:r>
    </w:p>
    <w:p>
      <w:pPr>
        <w:spacing w:after="0" w:line="69"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44" w:lineRule="exact"/>
        <w:rPr>
          <w:sz w:val="20"/>
          <w:szCs w:val="20"/>
          <w:color w:val="auto"/>
        </w:rPr>
      </w:pPr>
    </w:p>
    <w:p>
      <w:pPr>
        <w:ind w:left="540" w:hanging="316"/>
        <w:spacing w:after="0"/>
        <w:tabs>
          <w:tab w:leader="none" w:pos="5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significant volatility in the market price and trading volume of securities of BDCs or other companies in our sector, which are not necessarily related to the operating performance of these companies;</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regulatory policies or tax guidelines, particularly with respect to RICs or BDCs;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any loss of RIC status;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earnings or variations in operating results;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the value of our portfolio of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any shortfall in revenue or net income or any increase in losses from levels expected by investors or securities analysts;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inability of our Investment Adviser to employ additional experienced investment professionals or the departure of any of the Investment Adviser’s key personnel;</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operating performance of companies comparable to us;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general economic trends and other external factors;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conversion features of subscription rights, warrants or convertible debt;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loss of a major funding source.</w:t>
      </w:r>
    </w:p>
    <w:p>
      <w:pPr>
        <w:spacing w:after="0" w:line="231"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be unable to invest the net proceeds raised from offerings on acceptable terms, which would harm our financial condition and operating results.</w:t>
      </w:r>
    </w:p>
    <w:p>
      <w:pPr>
        <w:spacing w:after="0" w:line="6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Sales of substantial amounts of our securities may have an adverse effect on the market price of our securities.</w:t>
      </w:r>
    </w:p>
    <w:p>
      <w:pPr>
        <w:spacing w:after="0" w:line="69"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You may have current tax liabilities on distributions you reinvest in our common stock.</w:t>
      </w:r>
    </w:p>
    <w:p>
      <w:pPr>
        <w:spacing w:after="0" w:line="6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“Dividend Reinvestment Plan” for more information.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There is a risk that our common stockholders may receive our stock as dividends in which case they may be required to pay taxes in excess of the cash they receive.</w:t>
      </w:r>
    </w:p>
    <w:p>
      <w:pPr>
        <w:spacing w:after="0" w:line="92" w:lineRule="exact"/>
        <w:rPr>
          <w:sz w:val="20"/>
          <w:szCs w:val="20"/>
          <w:color w:val="auto"/>
        </w:rPr>
      </w:pPr>
    </w:p>
    <w:p>
      <w:pPr>
        <w:jc w:val="both"/>
        <w:ind w:right="160" w:firstLine="456"/>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20" w:lineRule="exact"/>
        <w:rPr>
          <w:sz w:val="20"/>
          <w:szCs w:val="20"/>
          <w:color w:val="auto"/>
        </w:rPr>
      </w:pPr>
    </w:p>
    <w:p>
      <w:pPr>
        <w:ind w:right="240" w:firstLine="456"/>
        <w:spacing w:after="0" w:line="233" w:lineRule="auto"/>
        <w:rPr>
          <w:sz w:val="20"/>
          <w:szCs w:val="20"/>
          <w:color w:val="auto"/>
        </w:rPr>
      </w:pPr>
      <w:r>
        <w:rPr>
          <w:rFonts w:ascii="Arial" w:cs="Arial" w:eastAsia="Arial" w:hAnsi="Arial"/>
          <w:sz w:val="14"/>
          <w:szCs w:val="14"/>
          <w:b w:val="1"/>
          <w:bCs w:val="1"/>
          <w:i w:val="1"/>
          <w:iCs w:val="1"/>
          <w:color w:val="auto"/>
        </w:rPr>
        <w:t>We may obtain the approval of our stockholders to issue shares of our common stock at prices below the then current net asset value per share of our common stock. If we receive such approval from stockholders, in the future, we may issue shares of our common stock at a price below the then current net asset value per share of common stock. Any such issuance could materially dilute your interest in our common stock and reduce our net asset value per share.</w:t>
      </w:r>
    </w:p>
    <w:p>
      <w:pPr>
        <w:spacing w:after="0" w:line="22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We intend to seek to obtain from our stockholders and they may approve a proposal that authorizes us to sell shares of our common stock below the then current net asset value per share of our common stock in one or more offerings for a 12-month period. Such approval will allow us to access the capital markets in a way that we were previously unable to as a result of restrictions that, absent stockholder approval, apply to BDCs under the 1940 Act.</w:t>
      </w:r>
    </w:p>
    <w:p>
      <w:pPr>
        <w:spacing w:after="0" w:line="220"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Any sale or other issuance of shares of our common stock at a price below net asset value per share will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offerings we make at a price below our then current net asset value in the future in a prospectus supplement issued in connection with any such offering.</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incur significant costs as a result of being a publicly traded company.</w:t>
      </w:r>
    </w:p>
    <w:p>
      <w:pPr>
        <w:spacing w:after="0" w:line="6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or the Sarbanes Oxley Act, and other rules implemented by the SEC and the listing standards of the NASDAQ Stock Market LLC.</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Provisions of the Maryland General Corporation Law and of our charter and bylaws could deter takeover attempts and have an adverse impact on the price of our common stock.</w:t>
      </w:r>
    </w:p>
    <w:p>
      <w:pPr>
        <w:spacing w:after="0" w:line="92"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40"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Also, our charter provides for classifying our board of directors in three classes serving staggered three-year terms, and provisions of our charter authorizes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17" w:lineRule="exact"/>
        <w:rPr>
          <w:sz w:val="20"/>
          <w:szCs w:val="20"/>
          <w:color w:val="auto"/>
        </w:rPr>
      </w:pPr>
    </w:p>
    <w:p>
      <w:pPr>
        <w:jc w:val="center"/>
        <w:ind w:left="300" w:right="400"/>
        <w:spacing w:after="0" w:line="459" w:lineRule="auto"/>
        <w:rPr>
          <w:sz w:val="20"/>
          <w:szCs w:val="20"/>
          <w:color w:val="auto"/>
        </w:rPr>
      </w:pPr>
      <w:r>
        <w:rPr>
          <w:rFonts w:ascii="Arial" w:cs="Arial" w:eastAsia="Arial" w:hAnsi="Arial"/>
          <w:sz w:val="14"/>
          <w:szCs w:val="14"/>
          <w:color w:val="auto"/>
        </w:rPr>
        <w:t>These anti-takeover provisions may inhibit a change of control in circumstances that could give our stockholders the opportunity to realize a premium over the market price for our common stock. 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FORWARD-LOOKING STATEMENTS</w:t>
      </w:r>
    </w:p>
    <w:p>
      <w:pPr>
        <w:spacing w:after="0" w:line="152"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This prospectus contains statements that constitute forward-looking statements, which relate to us and our consolidated subsidiary regarding future events or our future performance or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58" w:lineRule="exact"/>
        <w:rPr>
          <w:sz w:val="20"/>
          <w:szCs w:val="20"/>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impact of fluctuations in interest rates on our business and our portfolio companies;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w:t>
      </w:r>
    </w:p>
    <w:p>
      <w:pPr>
        <w:spacing w:after="0" w:line="15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39" w:lineRule="exact"/>
        <w:rPr>
          <w:sz w:val="20"/>
          <w:szCs w:val="20"/>
          <w:color w:val="auto"/>
        </w:rPr>
      </w:pPr>
    </w:p>
    <w:p>
      <w:pPr>
        <w:ind w:right="220" w:firstLine="456"/>
        <w:spacing w:after="0" w:line="230"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39"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that we in the future may file with SEC including annual and quarterly reports on Form 10-K/Q and current reports on Form 8-K.</w:t>
      </w:r>
    </w:p>
    <w:p>
      <w:pPr>
        <w:spacing w:after="0" w:line="13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You should understand that, under Sections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USE OF PROCEEDS</w:t>
      </w:r>
    </w:p>
    <w:p>
      <w:pPr>
        <w:spacing w:after="0" w:line="152" w:lineRule="exact"/>
        <w:rPr>
          <w:sz w:val="20"/>
          <w:szCs w:val="20"/>
          <w:color w:val="auto"/>
        </w:rPr>
      </w:pPr>
    </w:p>
    <w:p>
      <w:pPr>
        <w:ind w:firstLine="456"/>
        <w:spacing w:after="0" w:line="318" w:lineRule="auto"/>
        <w:rPr>
          <w:sz w:val="20"/>
          <w:szCs w:val="20"/>
          <w:color w:val="auto"/>
        </w:rPr>
      </w:pPr>
      <w:r>
        <w:rPr>
          <w:rFonts w:ascii="Arial" w:cs="Arial" w:eastAsia="Arial" w:hAnsi="Arial"/>
          <w:sz w:val="12"/>
          <w:szCs w:val="12"/>
          <w:color w:val="auto"/>
        </w:rPr>
        <w:t>We may use the net proceeds from selling securities pursuant to this prospectus to reduce our then-outstanding obligations under our Credit Facility, to invest in new or existing portfolio companies, to form and capitalize a subsidiary or for other general corporate or strategic purposes. Any supplements to this prospectus relating to an offering may more fully identify the use of the proceeds from such offering.</w:t>
      </w:r>
    </w:p>
    <w:p>
      <w:pPr>
        <w:spacing w:after="0" w:line="94" w:lineRule="exact"/>
        <w:rPr>
          <w:sz w:val="20"/>
          <w:szCs w:val="20"/>
          <w:color w:val="auto"/>
        </w:rPr>
      </w:pPr>
    </w:p>
    <w:p>
      <w:pPr>
        <w:ind w:right="200" w:firstLine="456"/>
        <w:spacing w:after="0" w:line="278" w:lineRule="auto"/>
        <w:rPr>
          <w:sz w:val="20"/>
          <w:szCs w:val="20"/>
          <w:color w:val="auto"/>
        </w:rPr>
      </w:pPr>
      <w:r>
        <w:rPr>
          <w:rFonts w:ascii="Arial" w:cs="Arial" w:eastAsia="Arial" w:hAnsi="Arial"/>
          <w:sz w:val="12"/>
          <w:szCs w:val="12"/>
          <w:color w:val="auto"/>
        </w:rPr>
        <w:t>As of June 30, 2013, we had $85.6 million in borrowings outstanding under our $125 million Credit Facility. Borrowings under our Credit Facility bear interest at LIBOR plus 200 basis points per annum during the revolving period, and the rate resets to LIBOR plus 425 basis points per annum for the remaining two years. At June 30, 2013, the interest rate was 2.20%. The Credit Facility is a revolving facility maturing in May 2018 and is secured by all of the assets held by Funding I. Amounts repaid under our Credit Facility remain available for future borrowings during the revolving period. See “Management’s Discussion and Analysis of Financial Condition and Results of Operations—Liquidity and Capital Resources” for more information.</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temporary investments. See “Regulation—Temporary Investments” for more information.</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SELECTED FINANCIAL DATA</w:t>
      </w:r>
    </w:p>
    <w:p>
      <w:pPr>
        <w:spacing w:after="0" w:line="152"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fiscal year ended September 30, 2012, and for the period from March 4, 2011 (commencement of operation) to September 30, 2011 are derived from our Consolidated Financial Statements, which have been audited by KPMG LLP, an independent registered public accounting firm. These selected financial data should be read in conjunction with our Consolidated Financial Statements and related notes thereto and “Management’s Discussion and Analysis of Financial Condition and Results of Operations.” Interim results as of and for the nine months ended June 30, 2013, are not necessarily indicative of the results that may be expected for the year ending September 30, 2013. The unaudited selected financial data for the nine months ended June 30, 2013 and 2012, should be read in conjunction with our consolidated financial statements and related notes thereto and “Management’s Discussion and Analysis of Financial Condition and Results of Operations.”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For the period</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March 4, 2011</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(commencement</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2100" w:type="dxa"/>
            <w:vAlign w:val="bottom"/>
            <w:gridSpan w:val="4"/>
          </w:tcPr>
          <w:p>
            <w:pPr>
              <w:jc w:val="right"/>
              <w:ind w:right="660"/>
              <w:spacing w:after="0" w:line="149" w:lineRule="exact"/>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1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of operations) to</w:t>
            </w:r>
          </w:p>
        </w:tc>
        <w:tc>
          <w:tcPr>
            <w:tcW w:w="0" w:type="dxa"/>
            <w:vAlign w:val="bottom"/>
          </w:tcPr>
          <w:p>
            <w:pPr>
              <w:spacing w:after="0"/>
              <w:rPr>
                <w:sz w:val="1"/>
                <w:szCs w:val="1"/>
                <w:color w:val="auto"/>
              </w:rPr>
            </w:pPr>
          </w:p>
        </w:tc>
      </w:tr>
      <w:tr>
        <w:trPr>
          <w:trHeight w:val="161"/>
        </w:trPr>
        <w:tc>
          <w:tcPr>
            <w:tcW w:w="6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5"/>
              </w:rPr>
              <w:t>September 30,</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46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1"/>
                <w:szCs w:val="11"/>
                <w:b w:val="1"/>
                <w:bCs w:val="1"/>
                <w:color w:val="auto"/>
              </w:rPr>
              <w:t>2013</w:t>
            </w:r>
            <w:r>
              <w:rPr>
                <w:rFonts w:ascii="Arial" w:cs="Arial" w:eastAsia="Arial" w:hAnsi="Arial"/>
                <w:sz w:val="16"/>
                <w:szCs w:val="16"/>
                <w:b w:val="1"/>
                <w:bCs w:val="1"/>
                <w:color w:val="auto"/>
                <w:vertAlign w:val="superscript"/>
              </w:rPr>
              <w:t>(1)</w:t>
            </w:r>
          </w:p>
        </w:tc>
        <w:tc>
          <w:tcPr>
            <w:tcW w:w="6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3"/>
              </w:rPr>
              <w:t>2012</w:t>
            </w:r>
          </w:p>
        </w:tc>
        <w:tc>
          <w:tcPr>
            <w:tcW w:w="6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133"/>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Operations data:</w:t>
            </w: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Total investment income</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w w:val="91"/>
              </w:rPr>
              <w:t>$ 12,773</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4"/>
              </w:rPr>
              <w:t>$  8,611</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12,099</w:t>
            </w:r>
          </w:p>
        </w:tc>
        <w:tc>
          <w:tcPr>
            <w:tcW w:w="660" w:type="dxa"/>
            <w:vAlign w:val="bottom"/>
          </w:tcPr>
          <w:p>
            <w:pPr>
              <w:spacing w:after="0"/>
              <w:rPr>
                <w:sz w:val="12"/>
                <w:szCs w:val="12"/>
                <w:color w:val="auto"/>
              </w:rPr>
            </w:pPr>
          </w:p>
        </w:tc>
        <w:tc>
          <w:tcPr>
            <w:tcW w:w="200" w:type="dxa"/>
            <w:vAlign w:val="bottom"/>
          </w:tcPr>
          <w:p>
            <w:pPr>
              <w:jc w:val="right"/>
              <w:ind w:right="75"/>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2,947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 after Credit Facility debt issuance and excise taxes</w:t>
            </w:r>
          </w:p>
        </w:tc>
        <w:tc>
          <w:tcPr>
            <w:tcW w:w="120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5,831</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3,845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5,789</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2,626</w:t>
            </w:r>
            <w:r>
              <w:rPr>
                <w:rFonts w:ascii="Arial" w:cs="Arial" w:eastAsia="Arial" w:hAnsi="Arial"/>
                <w:sz w:val="17"/>
                <w:szCs w:val="17"/>
                <w:color w:val="auto"/>
                <w:vertAlign w:val="superscript"/>
              </w:rPr>
              <w:t>(5)</w:t>
            </w: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rPr>
              <w:t>6,942</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4,766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6,310</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1200" w:type="dxa"/>
            <w:vAlign w:val="bottom"/>
            <w:gridSpan w:val="2"/>
            <w:shd w:val="clear" w:color="auto" w:fill="CCEEFF"/>
          </w:tcPr>
          <w:p>
            <w:pPr>
              <w:jc w:val="right"/>
              <w:ind w:right="572"/>
              <w:spacing w:after="0" w:line="149" w:lineRule="exact"/>
              <w:rPr>
                <w:sz w:val="20"/>
                <w:szCs w:val="20"/>
                <w:color w:val="auto"/>
              </w:rPr>
            </w:pPr>
            <w:r>
              <w:rPr>
                <w:rFonts w:ascii="Arial" w:cs="Arial" w:eastAsia="Arial" w:hAnsi="Arial"/>
                <w:sz w:val="14"/>
                <w:szCs w:val="14"/>
                <w:color w:val="auto"/>
              </w:rPr>
              <w:t>(404)</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3,251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5,651</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(3,793)</w:t>
            </w: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rPr>
              <w:t>6,538</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8,017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11,961</w:t>
            </w:r>
          </w:p>
        </w:tc>
        <w:tc>
          <w:tcPr>
            <w:tcW w:w="2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(3,473)</w:t>
            </w: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 share data:</w:t>
            </w: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Net asset value (at period end)</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rPr>
              <w:t>13.98</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13.94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13.98</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13.44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Net investment income</w:t>
            </w:r>
            <w:r>
              <w:rPr>
                <w:rFonts w:ascii="Arial" w:cs="Arial" w:eastAsia="Arial" w:hAnsi="Arial"/>
                <w:sz w:val="17"/>
                <w:szCs w:val="17"/>
                <w:color w:val="auto"/>
                <w:vertAlign w:val="superscript"/>
              </w:rPr>
              <w:t>(2)</w:t>
            </w:r>
          </w:p>
        </w:tc>
        <w:tc>
          <w:tcPr>
            <w:tcW w:w="120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0.86</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0.70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0.92</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1"/>
                <w:szCs w:val="11"/>
                <w:color w:val="auto"/>
              </w:rPr>
              <w:t>Net realized and unrealized (loss) gain</w:t>
            </w:r>
            <w:r>
              <w:rPr>
                <w:rFonts w:ascii="Arial" w:cs="Arial" w:eastAsia="Arial" w:hAnsi="Arial"/>
                <w:sz w:val="17"/>
                <w:szCs w:val="17"/>
                <w:color w:val="auto"/>
                <w:vertAlign w:val="superscript"/>
              </w:rPr>
              <w:t>(2)</w:t>
            </w:r>
          </w:p>
        </w:tc>
        <w:tc>
          <w:tcPr>
            <w:tcW w:w="1200" w:type="dxa"/>
            <w:vAlign w:val="bottom"/>
            <w:gridSpan w:val="2"/>
          </w:tcPr>
          <w:p>
            <w:pPr>
              <w:jc w:val="right"/>
              <w:ind w:right="572"/>
              <w:spacing w:after="0" w:line="149" w:lineRule="exact"/>
              <w:rPr>
                <w:sz w:val="20"/>
                <w:szCs w:val="20"/>
                <w:color w:val="auto"/>
              </w:rPr>
            </w:pPr>
            <w:r>
              <w:rPr>
                <w:rFonts w:ascii="Arial" w:cs="Arial" w:eastAsia="Arial" w:hAnsi="Arial"/>
                <w:sz w:val="14"/>
                <w:szCs w:val="14"/>
                <w:color w:val="auto"/>
              </w:rPr>
              <w:t>(0.05)</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0.47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0.83</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Net increase (decrease) in net assets resulting from operations</w:t>
            </w:r>
            <w:r>
              <w:rPr>
                <w:rFonts w:ascii="Arial" w:cs="Arial" w:eastAsia="Arial" w:hAnsi="Arial"/>
                <w:sz w:val="17"/>
                <w:szCs w:val="17"/>
                <w:color w:val="auto"/>
                <w:vertAlign w:val="superscript"/>
              </w:rPr>
              <w:t>(2)</w:t>
            </w:r>
          </w:p>
        </w:tc>
        <w:tc>
          <w:tcPr>
            <w:tcW w:w="120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0.81</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1"/>
                <w:szCs w:val="11"/>
                <w:color w:val="auto"/>
              </w:rPr>
              <w:t>Distributions declared</w:t>
            </w:r>
            <w:r>
              <w:rPr>
                <w:rFonts w:ascii="Arial" w:cs="Arial" w:eastAsia="Arial" w:hAnsi="Arial"/>
                <w:sz w:val="17"/>
                <w:szCs w:val="17"/>
                <w:color w:val="auto"/>
                <w:vertAlign w:val="superscript"/>
              </w:rPr>
              <w:t>(2),(3)</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rPr>
              <w:t>0.76</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0.67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0.91</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0.25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Assets and Liabilities data (at period end):</w:t>
            </w: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w w:val="98"/>
              </w:rPr>
              <w:t>263,249</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4"/>
              </w:rPr>
              <w:t>159,613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178,367</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121,075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 portfolio</w:t>
            </w:r>
          </w:p>
        </w:tc>
        <w:tc>
          <w:tcPr>
            <w:tcW w:w="120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w w:val="98"/>
              </w:rPr>
              <w:t>250,514</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4"/>
              </w:rPr>
              <w:t>154,979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171,834</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110,724</w:t>
            </w: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Credit Facility payable, at fair value</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rPr>
              <w:t>85,600</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54,128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75,123</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24,650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 and unfunded investments</w:t>
            </w:r>
          </w:p>
        </w:tc>
        <w:tc>
          <w:tcPr>
            <w:tcW w:w="120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30,515</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8,230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3,358</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Total net asset value</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w w:val="98"/>
              </w:rPr>
              <w:t>144,093</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95,500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95,744</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92,072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data:</w:t>
            </w: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1"/>
                <w:szCs w:val="11"/>
                <w:color w:val="auto"/>
              </w:rPr>
              <w:t>Total return*</w:t>
            </w:r>
            <w:r>
              <w:rPr>
                <w:rFonts w:ascii="Arial" w:cs="Arial" w:eastAsia="Arial" w:hAnsi="Arial"/>
                <w:sz w:val="17"/>
                <w:szCs w:val="17"/>
                <w:color w:val="auto"/>
                <w:vertAlign w:val="superscript"/>
              </w:rPr>
              <w:t>(4)</w:t>
            </w:r>
          </w:p>
        </w:tc>
        <w:tc>
          <w:tcPr>
            <w:tcW w:w="1200" w:type="dxa"/>
            <w:vAlign w:val="bottom"/>
            <w:gridSpan w:val="2"/>
          </w:tcPr>
          <w:p>
            <w:pPr>
              <w:jc w:val="right"/>
              <w:ind w:right="512"/>
              <w:spacing w:after="0" w:line="149" w:lineRule="exact"/>
              <w:rPr>
                <w:sz w:val="20"/>
                <w:szCs w:val="20"/>
                <w:color w:val="auto"/>
              </w:rPr>
            </w:pPr>
            <w:r>
              <w:rPr>
                <w:rFonts w:ascii="Arial" w:cs="Arial" w:eastAsia="Arial" w:hAnsi="Arial"/>
                <w:sz w:val="14"/>
                <w:szCs w:val="14"/>
                <w:color w:val="auto"/>
              </w:rPr>
              <w:t>17.94%</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19.45%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29.43%</w:t>
            </w:r>
          </w:p>
        </w:tc>
        <w:tc>
          <w:tcPr>
            <w:tcW w:w="2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(28.13)%</w:t>
            </w: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Number of portfolio companies (at period end)</w:t>
            </w:r>
            <w:r>
              <w:rPr>
                <w:rFonts w:ascii="Arial" w:cs="Arial" w:eastAsia="Arial" w:hAnsi="Arial"/>
                <w:sz w:val="17"/>
                <w:szCs w:val="17"/>
                <w:color w:val="auto"/>
                <w:vertAlign w:val="superscript"/>
              </w:rPr>
              <w:t>(1)</w:t>
            </w:r>
          </w:p>
        </w:tc>
        <w:tc>
          <w:tcPr>
            <w:tcW w:w="120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78</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6460" w:type="dxa"/>
            <w:vAlign w:val="bottom"/>
          </w:tcPr>
          <w:p>
            <w:pPr>
              <w:spacing w:after="0"/>
              <w:rPr>
                <w:sz w:val="20"/>
                <w:szCs w:val="20"/>
                <w:color w:val="auto"/>
              </w:rPr>
            </w:pPr>
            <w:r>
              <w:rPr>
                <w:rFonts w:ascii="Arial" w:cs="Arial" w:eastAsia="Arial" w:hAnsi="Arial"/>
                <w:sz w:val="14"/>
                <w:szCs w:val="14"/>
                <w:color w:val="auto"/>
              </w:rPr>
              <w:t>Yield on debt portfolio (at period end)</w:t>
            </w:r>
            <w:r>
              <w:rPr>
                <w:rFonts w:ascii="Arial" w:cs="Arial" w:eastAsia="Arial" w:hAnsi="Arial"/>
                <w:sz w:val="22"/>
                <w:szCs w:val="22"/>
                <w:color w:val="auto"/>
                <w:vertAlign w:val="superscript"/>
              </w:rPr>
              <w:t>(1)</w:t>
            </w:r>
          </w:p>
        </w:tc>
        <w:tc>
          <w:tcPr>
            <w:tcW w:w="1200" w:type="dxa"/>
            <w:vAlign w:val="bottom"/>
            <w:gridSpan w:val="2"/>
          </w:tcPr>
          <w:p>
            <w:pPr>
              <w:jc w:val="right"/>
              <w:ind w:right="512"/>
              <w:spacing w:after="0"/>
              <w:rPr>
                <w:sz w:val="20"/>
                <w:szCs w:val="20"/>
                <w:color w:val="auto"/>
              </w:rPr>
            </w:pPr>
            <w:r>
              <w:rPr>
                <w:rFonts w:ascii="Arial" w:cs="Arial" w:eastAsia="Arial" w:hAnsi="Arial"/>
                <w:sz w:val="14"/>
                <w:szCs w:val="14"/>
                <w:color w:val="auto"/>
              </w:rPr>
              <w:t>8.1%</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8.6%</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color w:val="auto"/>
              </w:rPr>
              <w:t>8.6%</w:t>
            </w:r>
          </w:p>
        </w:tc>
        <w:tc>
          <w:tcPr>
            <w:tcW w:w="2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5176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ind w:left="340" w:hanging="332"/>
        <w:spacing w:after="0" w:line="230"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Not annualized for a period of less than a year.</w:t>
      </w:r>
    </w:p>
    <w:p>
      <w:pPr>
        <w:ind w:left="340" w:hanging="332"/>
        <w:spacing w:after="0" w:line="221"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Unaudited.</w:t>
      </w:r>
    </w:p>
    <w:p>
      <w:pPr>
        <w:ind w:left="340" w:hanging="332"/>
        <w:spacing w:after="0" w:line="221"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Based on the basic weighted average shares outstanding for the respective periods.</w:t>
      </w:r>
    </w:p>
    <w:p>
      <w:pPr>
        <w:ind w:left="340" w:hanging="332"/>
        <w:spacing w:after="0" w:line="221"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Determined based on taxable income calculated in accordance with income tax regulations which may differ from amounts determined under GAAP.</w:t>
      </w:r>
    </w:p>
    <w:p>
      <w:pPr>
        <w:ind w:left="340" w:hanging="332"/>
        <w:spacing w:after="0" w:line="221"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Included start-up and organizational costs.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Selected Quarterly Data (Unaudited)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 amounts in thousands, except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Q3</w:t>
            </w:r>
          </w:p>
        </w:tc>
        <w:tc>
          <w:tcPr>
            <w:tcW w:w="280" w:type="dxa"/>
            <w:vAlign w:val="bottom"/>
          </w:tcPr>
          <w:p>
            <w:pPr>
              <w:spacing w:after="0"/>
              <w:rPr>
                <w:sz w:val="12"/>
                <w:szCs w:val="12"/>
                <w:color w:val="auto"/>
              </w:rPr>
            </w:pPr>
          </w:p>
        </w:tc>
        <w:tc>
          <w:tcPr>
            <w:tcW w:w="1080" w:type="dxa"/>
            <w:vAlign w:val="bottom"/>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w w:val="85"/>
              </w:rPr>
              <w:t>Q2</w:t>
            </w:r>
          </w:p>
        </w:tc>
        <w:tc>
          <w:tcPr>
            <w:tcW w:w="300" w:type="dxa"/>
            <w:vAlign w:val="bottom"/>
          </w:tcPr>
          <w:p>
            <w:pPr>
              <w:spacing w:after="0"/>
              <w:rPr>
                <w:sz w:val="12"/>
                <w:szCs w:val="12"/>
                <w:color w:val="auto"/>
              </w:rPr>
            </w:pPr>
          </w:p>
        </w:tc>
        <w:tc>
          <w:tcPr>
            <w:tcW w:w="92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56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7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4,670</w:t>
            </w: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4,140</w:t>
            </w: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3,963</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568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98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3,217</w:t>
            </w:r>
          </w:p>
        </w:tc>
        <w:tc>
          <w:tcPr>
            <w:tcW w:w="180" w:type="dxa"/>
            <w:vAlign w:val="bottom"/>
          </w:tcPr>
          <w:p>
            <w:pPr>
              <w:spacing w:after="0"/>
              <w:rPr>
                <w:sz w:val="12"/>
                <w:szCs w:val="12"/>
                <w:color w:val="auto"/>
              </w:rPr>
            </w:pPr>
          </w:p>
        </w:tc>
        <w:tc>
          <w:tcPr>
            <w:tcW w:w="28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1,666</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2,059</w:t>
            </w:r>
          </w:p>
        </w:tc>
        <w:tc>
          <w:tcPr>
            <w:tcW w:w="100" w:type="dxa"/>
            <w:vAlign w:val="bottom"/>
          </w:tcPr>
          <w:p>
            <w:pPr>
              <w:spacing w:after="0"/>
              <w:rPr>
                <w:sz w:val="12"/>
                <w:szCs w:val="12"/>
                <w:color w:val="auto"/>
              </w:rPr>
            </w:pPr>
          </w:p>
        </w:tc>
      </w:tr>
      <w:tr>
        <w:trPr>
          <w:trHeight w:val="149"/>
        </w:trPr>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198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(1,650)</w:t>
            </w:r>
          </w:p>
        </w:tc>
        <w:tc>
          <w:tcPr>
            <w:tcW w:w="2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1,540</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(294)</w:t>
            </w:r>
          </w:p>
        </w:tc>
      </w:tr>
      <w:tr>
        <w:trPr>
          <w:trHeight w:val="149"/>
        </w:trPr>
        <w:tc>
          <w:tcPr>
            <w:tcW w:w="568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98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1,567</w:t>
            </w:r>
          </w:p>
        </w:tc>
        <w:tc>
          <w:tcPr>
            <w:tcW w:w="180" w:type="dxa"/>
            <w:vAlign w:val="bottom"/>
          </w:tcPr>
          <w:p>
            <w:pPr>
              <w:spacing w:after="0"/>
              <w:rPr>
                <w:sz w:val="12"/>
                <w:szCs w:val="12"/>
                <w:color w:val="auto"/>
              </w:rPr>
            </w:pPr>
          </w:p>
        </w:tc>
        <w:tc>
          <w:tcPr>
            <w:tcW w:w="28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3,206</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1,765</w:t>
            </w:r>
          </w:p>
        </w:tc>
        <w:tc>
          <w:tcPr>
            <w:tcW w:w="100" w:type="dxa"/>
            <w:vAlign w:val="bottom"/>
          </w:tcPr>
          <w:p>
            <w:pPr>
              <w:spacing w:after="0"/>
              <w:rPr>
                <w:sz w:val="12"/>
                <w:szCs w:val="12"/>
                <w:color w:val="auto"/>
              </w:rPr>
            </w:pPr>
          </w:p>
        </w:tc>
      </w:tr>
      <w:tr>
        <w:trPr>
          <w:trHeight w:val="149"/>
        </w:trPr>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 **</w:t>
            </w:r>
          </w:p>
        </w:tc>
        <w:tc>
          <w:tcPr>
            <w:tcW w:w="198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0.15</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0.45</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100" w:type="dxa"/>
            <w:vAlign w:val="bottom"/>
            <w:shd w:val="clear" w:color="auto" w:fill="CCEEFF"/>
          </w:tcPr>
          <w:p>
            <w:pPr>
              <w:spacing w:after="0"/>
              <w:rPr>
                <w:sz w:val="12"/>
                <w:szCs w:val="12"/>
                <w:color w:val="auto"/>
              </w:rPr>
            </w:pPr>
          </w:p>
        </w:tc>
      </w:tr>
      <w:tr>
        <w:trPr>
          <w:trHeight w:val="149"/>
        </w:trPr>
        <w:tc>
          <w:tcPr>
            <w:tcW w:w="568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98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13.98</w:t>
            </w:r>
          </w:p>
        </w:tc>
        <w:tc>
          <w:tcPr>
            <w:tcW w:w="180" w:type="dxa"/>
            <w:vAlign w:val="bottom"/>
          </w:tcPr>
          <w:p>
            <w:pPr>
              <w:spacing w:after="0"/>
              <w:rPr>
                <w:sz w:val="12"/>
                <w:szCs w:val="12"/>
                <w:color w:val="auto"/>
              </w:rPr>
            </w:pPr>
          </w:p>
        </w:tc>
        <w:tc>
          <w:tcPr>
            <w:tcW w:w="28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14.10</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13.99</w:t>
            </w:r>
          </w:p>
        </w:tc>
        <w:tc>
          <w:tcPr>
            <w:tcW w:w="100" w:type="dxa"/>
            <w:vAlign w:val="bottom"/>
          </w:tcPr>
          <w:p>
            <w:pPr>
              <w:spacing w:after="0"/>
              <w:rPr>
                <w:sz w:val="12"/>
                <w:szCs w:val="12"/>
                <w:color w:val="auto"/>
              </w:rPr>
            </w:pPr>
          </w:p>
        </w:tc>
      </w:tr>
      <w:tr>
        <w:trPr>
          <w:trHeight w:val="149"/>
        </w:trPr>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98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14.14</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13.96</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12.70</w:t>
            </w:r>
          </w:p>
        </w:tc>
        <w:tc>
          <w:tcPr>
            <w:tcW w:w="100" w:type="dxa"/>
            <w:vAlign w:val="bottom"/>
            <w:shd w:val="clear" w:color="auto" w:fill="CCEEFF"/>
          </w:tcPr>
          <w:p>
            <w:pPr>
              <w:spacing w:after="0"/>
              <w:rPr>
                <w:sz w:val="12"/>
                <w:szCs w:val="12"/>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2012</w:t>
            </w: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Q3</w:t>
            </w:r>
          </w:p>
        </w:tc>
        <w:tc>
          <w:tcPr>
            <w:tcW w:w="300" w:type="dxa"/>
            <w:vAlign w:val="bottom"/>
          </w:tcPr>
          <w:p>
            <w:pPr>
              <w:spacing w:after="0"/>
              <w:rPr>
                <w:sz w:val="12"/>
                <w:szCs w:val="12"/>
                <w:color w:val="auto"/>
              </w:rPr>
            </w:pPr>
          </w:p>
        </w:tc>
        <w:tc>
          <w:tcPr>
            <w:tcW w:w="106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Q2</w:t>
            </w:r>
          </w:p>
        </w:tc>
        <w:tc>
          <w:tcPr>
            <w:tcW w:w="300" w:type="dxa"/>
            <w:vAlign w:val="bottom"/>
          </w:tcPr>
          <w:p>
            <w:pPr>
              <w:spacing w:after="0"/>
              <w:rPr>
                <w:sz w:val="12"/>
                <w:szCs w:val="12"/>
                <w:color w:val="auto"/>
              </w:rPr>
            </w:pPr>
          </w:p>
        </w:tc>
        <w:tc>
          <w:tcPr>
            <w:tcW w:w="92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49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3,487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3,201</w:t>
            </w: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2,944</w:t>
            </w: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2,467</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492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4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1,544</w:t>
            </w:r>
          </w:p>
        </w:tc>
        <w:tc>
          <w:tcPr>
            <w:tcW w:w="36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1,846</w:t>
            </w:r>
          </w:p>
        </w:tc>
        <w:tc>
          <w:tcPr>
            <w:tcW w:w="180" w:type="dxa"/>
            <w:vAlign w:val="bottom"/>
          </w:tcPr>
          <w:p>
            <w:pPr>
              <w:spacing w:after="0"/>
              <w:rPr>
                <w:sz w:val="12"/>
                <w:szCs w:val="12"/>
                <w:color w:val="auto"/>
              </w:rPr>
            </w:pP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1,545</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1,375</w:t>
            </w:r>
          </w:p>
        </w:tc>
        <w:tc>
          <w:tcPr>
            <w:tcW w:w="100" w:type="dxa"/>
            <w:vAlign w:val="bottom"/>
          </w:tcPr>
          <w:p>
            <w:pPr>
              <w:spacing w:after="0"/>
              <w:rPr>
                <w:sz w:val="12"/>
                <w:szCs w:val="12"/>
                <w:color w:val="auto"/>
              </w:rPr>
            </w:pPr>
          </w:p>
        </w:tc>
      </w:tr>
      <w:tr>
        <w:trPr>
          <w:trHeight w:val="149"/>
        </w:trPr>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14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2,400</w:t>
            </w:r>
          </w:p>
        </w:tc>
        <w:tc>
          <w:tcPr>
            <w:tcW w:w="36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(1,459)</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2,980</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1,730</w:t>
            </w:r>
          </w:p>
        </w:tc>
        <w:tc>
          <w:tcPr>
            <w:tcW w:w="100" w:type="dxa"/>
            <w:vAlign w:val="bottom"/>
            <w:shd w:val="clear" w:color="auto" w:fill="CCEEFF"/>
          </w:tcPr>
          <w:p>
            <w:pPr>
              <w:spacing w:after="0"/>
              <w:rPr>
                <w:sz w:val="12"/>
                <w:szCs w:val="12"/>
                <w:color w:val="auto"/>
              </w:rPr>
            </w:pPr>
          </w:p>
        </w:tc>
      </w:tr>
      <w:tr>
        <w:trPr>
          <w:trHeight w:val="149"/>
        </w:trPr>
        <w:tc>
          <w:tcPr>
            <w:tcW w:w="492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4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3,944</w:t>
            </w:r>
          </w:p>
        </w:tc>
        <w:tc>
          <w:tcPr>
            <w:tcW w:w="36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387</w:t>
            </w:r>
          </w:p>
        </w:tc>
        <w:tc>
          <w:tcPr>
            <w:tcW w:w="180" w:type="dxa"/>
            <w:vAlign w:val="bottom"/>
          </w:tcPr>
          <w:p>
            <w:pPr>
              <w:spacing w:after="0"/>
              <w:rPr>
                <w:sz w:val="12"/>
                <w:szCs w:val="12"/>
                <w:color w:val="auto"/>
              </w:rPr>
            </w:pP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4,525</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3,105</w:t>
            </w:r>
          </w:p>
        </w:tc>
        <w:tc>
          <w:tcPr>
            <w:tcW w:w="100" w:type="dxa"/>
            <w:vAlign w:val="bottom"/>
          </w:tcPr>
          <w:p>
            <w:pPr>
              <w:spacing w:after="0"/>
              <w:rPr>
                <w:sz w:val="12"/>
                <w:szCs w:val="12"/>
                <w:color w:val="auto"/>
              </w:rPr>
            </w:pPr>
          </w:p>
        </w:tc>
      </w:tr>
      <w:tr>
        <w:trPr>
          <w:trHeight w:val="149"/>
        </w:trPr>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w:t>
            </w:r>
          </w:p>
        </w:tc>
        <w:tc>
          <w:tcPr>
            <w:tcW w:w="14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0.58</w:t>
            </w:r>
          </w:p>
        </w:tc>
        <w:tc>
          <w:tcPr>
            <w:tcW w:w="36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0.06</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0.66</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0.45</w:t>
            </w:r>
          </w:p>
        </w:tc>
        <w:tc>
          <w:tcPr>
            <w:tcW w:w="100" w:type="dxa"/>
            <w:vAlign w:val="bottom"/>
            <w:shd w:val="clear" w:color="auto" w:fill="CCEEFF"/>
          </w:tcPr>
          <w:p>
            <w:pPr>
              <w:spacing w:after="0"/>
              <w:rPr>
                <w:sz w:val="12"/>
                <w:szCs w:val="12"/>
                <w:color w:val="auto"/>
              </w:rPr>
            </w:pPr>
          </w:p>
        </w:tc>
      </w:tr>
      <w:tr>
        <w:trPr>
          <w:trHeight w:val="149"/>
        </w:trPr>
        <w:tc>
          <w:tcPr>
            <w:tcW w:w="492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4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13.98</w:t>
            </w:r>
          </w:p>
        </w:tc>
        <w:tc>
          <w:tcPr>
            <w:tcW w:w="36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13.94</w:t>
            </w:r>
          </w:p>
        </w:tc>
        <w:tc>
          <w:tcPr>
            <w:tcW w:w="180" w:type="dxa"/>
            <w:vAlign w:val="bottom"/>
          </w:tcPr>
          <w:p>
            <w:pPr>
              <w:spacing w:after="0"/>
              <w:rPr>
                <w:sz w:val="12"/>
                <w:szCs w:val="12"/>
                <w:color w:val="auto"/>
              </w:rPr>
            </w:pP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14.12</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13.68</w:t>
            </w:r>
          </w:p>
        </w:tc>
        <w:tc>
          <w:tcPr>
            <w:tcW w:w="100" w:type="dxa"/>
            <w:vAlign w:val="bottom"/>
          </w:tcPr>
          <w:p>
            <w:pPr>
              <w:spacing w:after="0"/>
              <w:rPr>
                <w:sz w:val="12"/>
                <w:szCs w:val="12"/>
                <w:color w:val="auto"/>
              </w:rPr>
            </w:pPr>
          </w:p>
        </w:tc>
      </w:tr>
      <w:tr>
        <w:trPr>
          <w:trHeight w:val="149"/>
        </w:trPr>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4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12.67</w:t>
            </w:r>
          </w:p>
        </w:tc>
        <w:tc>
          <w:tcPr>
            <w:tcW w:w="36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11.90</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11.75</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w:t>
            </w:r>
          </w:p>
        </w:tc>
        <w:tc>
          <w:tcPr>
            <w:tcW w:w="100" w:type="dxa"/>
            <w:vAlign w:val="bottom"/>
            <w:shd w:val="clear" w:color="auto" w:fill="CCEEFF"/>
          </w:tcPr>
          <w:p>
            <w:pPr>
              <w:spacing w:after="0"/>
              <w:rPr>
                <w:sz w:val="12"/>
                <w:szCs w:val="12"/>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4"/>
                <w:szCs w:val="14"/>
                <w:b w:val="1"/>
                <w:bCs w:val="1"/>
                <w:color w:val="auto"/>
              </w:rPr>
              <w:t>2011</w:t>
            </w:r>
          </w:p>
        </w:tc>
        <w:tc>
          <w:tcPr>
            <w:tcW w:w="920" w:type="dxa"/>
            <w:vAlign w:val="bottom"/>
            <w:tcBorders>
              <w:bottom w:val="single" w:sz="8" w:color="auto"/>
            </w:tcBorders>
          </w:tcPr>
          <w:p>
            <w:pPr>
              <w:spacing w:after="0"/>
              <w:rPr>
                <w:sz w:val="14"/>
                <w:szCs w:val="14"/>
                <w:color w:val="auto"/>
              </w:rPr>
            </w:pPr>
          </w:p>
        </w:tc>
        <w:tc>
          <w:tcPr>
            <w:tcW w:w="2860" w:type="dxa"/>
            <w:vAlign w:val="bottom"/>
          </w:tcPr>
          <w:p>
            <w:pPr>
              <w:spacing w:after="0"/>
              <w:rPr>
                <w:sz w:val="14"/>
                <w:szCs w:val="14"/>
                <w:color w:val="auto"/>
              </w:rPr>
            </w:pPr>
          </w:p>
        </w:tc>
      </w:tr>
      <w:tr>
        <w:trPr>
          <w:trHeight w:val="142"/>
        </w:trPr>
        <w:tc>
          <w:tcPr>
            <w:tcW w:w="4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Q4</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412"/>
              <w:spacing w:after="0" w:line="142" w:lineRule="exact"/>
              <w:rPr>
                <w:sz w:val="20"/>
                <w:szCs w:val="20"/>
                <w:color w:val="auto"/>
              </w:rPr>
            </w:pPr>
            <w:r>
              <w:rPr>
                <w:rFonts w:ascii="Arial" w:cs="Arial" w:eastAsia="Arial" w:hAnsi="Arial"/>
                <w:sz w:val="14"/>
                <w:szCs w:val="14"/>
                <w:b w:val="1"/>
                <w:bCs w:val="1"/>
                <w:color w:val="auto"/>
              </w:rPr>
              <w:t>Q3*</w:t>
            </w:r>
          </w:p>
        </w:tc>
        <w:tc>
          <w:tcPr>
            <w:tcW w:w="2860" w:type="dxa"/>
            <w:vAlign w:val="bottom"/>
          </w:tcPr>
          <w:p>
            <w:pPr>
              <w:spacing w:after="0"/>
              <w:rPr>
                <w:sz w:val="12"/>
                <w:szCs w:val="12"/>
                <w:color w:val="auto"/>
              </w:rPr>
            </w:pPr>
          </w:p>
        </w:tc>
      </w:tr>
      <w:tr>
        <w:trPr>
          <w:trHeight w:val="142"/>
        </w:trPr>
        <w:tc>
          <w:tcPr>
            <w:tcW w:w="4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2,048</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899</w:t>
            </w:r>
          </w:p>
        </w:tc>
        <w:tc>
          <w:tcPr>
            <w:tcW w:w="2860" w:type="dxa"/>
            <w:vAlign w:val="bottom"/>
            <w:tcBorders>
              <w:top w:val="single" w:sz="8" w:color="CCEEFF"/>
            </w:tcBorders>
            <w:shd w:val="clear" w:color="auto" w:fill="CCEEFF"/>
          </w:tcPr>
          <w:p>
            <w:pPr>
              <w:spacing w:after="0"/>
              <w:rPr>
                <w:sz w:val="12"/>
                <w:szCs w:val="12"/>
                <w:color w:val="auto"/>
              </w:rPr>
            </w:pP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Net investment income (loss)</w:t>
            </w:r>
          </w:p>
        </w:tc>
        <w:tc>
          <w:tcPr>
            <w:tcW w:w="13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1,203</w:t>
            </w:r>
          </w:p>
        </w:tc>
        <w:tc>
          <w:tcPr>
            <w:tcW w:w="32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3780" w:type="dxa"/>
            <w:vAlign w:val="bottom"/>
            <w:gridSpan w:val="2"/>
          </w:tcPr>
          <w:p>
            <w:pPr>
              <w:jc w:val="right"/>
              <w:ind w:right="2820"/>
              <w:spacing w:after="0" w:line="149" w:lineRule="exact"/>
              <w:rPr>
                <w:sz w:val="20"/>
                <w:szCs w:val="20"/>
                <w:color w:val="auto"/>
              </w:rPr>
            </w:pPr>
            <w:r>
              <w:rPr>
                <w:rFonts w:ascii="Arial" w:cs="Arial" w:eastAsia="Arial" w:hAnsi="Arial"/>
                <w:sz w:val="14"/>
                <w:szCs w:val="14"/>
                <w:color w:val="auto"/>
              </w:rPr>
              <w:t>(883)</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138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(4,012)</w:t>
            </w:r>
          </w:p>
        </w:tc>
        <w:tc>
          <w:tcPr>
            <w:tcW w:w="32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w:t>
            </w:r>
          </w:p>
        </w:tc>
        <w:tc>
          <w:tcPr>
            <w:tcW w:w="2860" w:type="dxa"/>
            <w:vAlign w:val="bottom"/>
            <w:shd w:val="clear" w:color="auto" w:fill="CCEEFF"/>
          </w:tcPr>
          <w:p>
            <w:pPr>
              <w:spacing w:after="0"/>
              <w:rPr>
                <w:sz w:val="12"/>
                <w:szCs w:val="12"/>
                <w:color w:val="auto"/>
              </w:rPr>
            </w:pP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Net decrease increase in net assets resulting from operations</w:t>
            </w:r>
          </w:p>
        </w:tc>
        <w:tc>
          <w:tcPr>
            <w:tcW w:w="13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(2,809)</w:t>
            </w:r>
          </w:p>
        </w:tc>
        <w:tc>
          <w:tcPr>
            <w:tcW w:w="32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3780" w:type="dxa"/>
            <w:vAlign w:val="bottom"/>
            <w:gridSpan w:val="2"/>
          </w:tcPr>
          <w:p>
            <w:pPr>
              <w:jc w:val="right"/>
              <w:ind w:right="2820"/>
              <w:spacing w:after="0" w:line="149" w:lineRule="exact"/>
              <w:rPr>
                <w:sz w:val="20"/>
                <w:szCs w:val="20"/>
                <w:color w:val="auto"/>
              </w:rPr>
            </w:pPr>
            <w:r>
              <w:rPr>
                <w:rFonts w:ascii="Arial" w:cs="Arial" w:eastAsia="Arial" w:hAnsi="Arial"/>
                <w:sz w:val="14"/>
                <w:szCs w:val="14"/>
                <w:color w:val="auto"/>
              </w:rPr>
              <w:t>(664)</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decrease in net assets resulting from operations per common share</w:t>
            </w:r>
          </w:p>
        </w:tc>
        <w:tc>
          <w:tcPr>
            <w:tcW w:w="138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(0.41)</w:t>
            </w:r>
          </w:p>
        </w:tc>
        <w:tc>
          <w:tcPr>
            <w:tcW w:w="32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3780" w:type="dxa"/>
            <w:vAlign w:val="bottom"/>
            <w:gridSpan w:val="2"/>
            <w:shd w:val="clear" w:color="auto" w:fill="CCEEFF"/>
          </w:tcPr>
          <w:p>
            <w:pPr>
              <w:jc w:val="right"/>
              <w:ind w:right="2820"/>
              <w:spacing w:after="0" w:line="149" w:lineRule="exact"/>
              <w:rPr>
                <w:sz w:val="20"/>
                <w:szCs w:val="20"/>
                <w:color w:val="auto"/>
              </w:rPr>
            </w:pPr>
            <w:r>
              <w:rPr>
                <w:rFonts w:ascii="Arial" w:cs="Arial" w:eastAsia="Arial" w:hAnsi="Arial"/>
                <w:sz w:val="14"/>
                <w:szCs w:val="14"/>
                <w:color w:val="auto"/>
              </w:rPr>
              <w:t>(0.10)</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3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13.44</w:t>
            </w:r>
          </w:p>
        </w:tc>
        <w:tc>
          <w:tcPr>
            <w:tcW w:w="32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14.06</w:t>
            </w:r>
          </w:p>
        </w:tc>
        <w:tc>
          <w:tcPr>
            <w:tcW w:w="2860" w:type="dxa"/>
            <w:vAlign w:val="bottom"/>
          </w:tcPr>
          <w:p>
            <w:pPr>
              <w:spacing w:after="0"/>
              <w:rPr>
                <w:sz w:val="12"/>
                <w:szCs w:val="12"/>
                <w:color w:val="auto"/>
              </w:rPr>
            </w:pP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38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10.55</w:t>
            </w:r>
          </w:p>
        </w:tc>
        <w:tc>
          <w:tcPr>
            <w:tcW w:w="32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12.69</w:t>
            </w:r>
          </w:p>
        </w:tc>
        <w:tc>
          <w:tcPr>
            <w:tcW w:w="286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8301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8" w:lineRule="exact"/>
        <w:rPr>
          <w:sz w:val="20"/>
          <w:szCs w:val="20"/>
          <w:color w:val="auto"/>
        </w:rPr>
      </w:pPr>
    </w:p>
    <w:p>
      <w:pPr>
        <w:ind w:right="6940" w:firstLine="8"/>
        <w:spacing w:after="0" w:line="318" w:lineRule="auto"/>
        <w:tabs>
          <w:tab w:leader="none" w:pos="216" w:val="left"/>
        </w:tabs>
        <w:numPr>
          <w:ilvl w:val="0"/>
          <w:numId w:val="15"/>
        </w:numPr>
        <w:rPr>
          <w:rFonts w:ascii="Arial" w:cs="Arial" w:eastAsia="Arial" w:hAnsi="Arial"/>
          <w:sz w:val="12"/>
          <w:szCs w:val="12"/>
          <w:color w:val="auto"/>
        </w:rPr>
      </w:pPr>
      <w:r>
        <w:rPr>
          <w:rFonts w:ascii="Arial" w:cs="Arial" w:eastAsia="Arial" w:hAnsi="Arial"/>
          <w:sz w:val="12"/>
          <w:szCs w:val="12"/>
          <w:color w:val="auto"/>
        </w:rPr>
        <w:t>For the period March 4, 2011 (commencement of operations) to June 30, 2011. ** Based on the weighted average shares outstanding for the respective periods.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MANAGEMENT’S DISCUSSION AND ANALYSIS OF FINANCIAL CONDITION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AND RESULTS OF OPERATIONS</w:t>
      </w:r>
    </w:p>
    <w:p>
      <w:pPr>
        <w:spacing w:after="0" w:line="138" w:lineRule="exact"/>
        <w:rPr>
          <w:sz w:val="20"/>
          <w:szCs w:val="20"/>
          <w:color w:val="auto"/>
        </w:rPr>
      </w:pPr>
    </w:p>
    <w:p>
      <w:pPr>
        <w:ind w:right="560" w:firstLine="456"/>
        <w:spacing w:after="0" w:line="239" w:lineRule="auto"/>
        <w:rPr>
          <w:sz w:val="20"/>
          <w:szCs w:val="20"/>
          <w:color w:val="auto"/>
        </w:rPr>
      </w:pPr>
      <w:r>
        <w:rPr>
          <w:rFonts w:ascii="Arial" w:cs="Arial" w:eastAsia="Arial" w:hAnsi="Arial"/>
          <w:sz w:val="14"/>
          <w:szCs w:val="14"/>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71"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U.S. middle-market public companies that are thinly traded or have a small market-capitalization.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42"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Under normal market conditions, we generally expect that at least 80% of the value of our managed assets will be invested in Floating Rate Loans and other investments bearing a variable rate of interest which may, from time to time, include variable-rate derivative instruments.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$10 million, on average, although we expect that this investment size will vary proportionately with the size of our capital base.</w:t>
      </w:r>
    </w:p>
    <w:p>
      <w:pPr>
        <w:spacing w:after="0" w:line="36"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71" w:lineRule="exact"/>
        <w:rPr>
          <w:sz w:val="20"/>
          <w:szCs w:val="20"/>
          <w:color w:val="auto"/>
        </w:rPr>
      </w:pPr>
    </w:p>
    <w:p>
      <w:pPr>
        <w:ind w:right="140" w:firstLine="456"/>
        <w:spacing w:after="0" w:line="278" w:lineRule="auto"/>
        <w:rPr>
          <w:sz w:val="20"/>
          <w:szCs w:val="20"/>
          <w:color w:val="auto"/>
        </w:rPr>
      </w:pPr>
      <w:r>
        <w:rPr>
          <w:rFonts w:ascii="Arial" w:cs="Arial" w:eastAsia="Arial" w:hAnsi="Arial"/>
          <w:sz w:val="12"/>
          <w:szCs w:val="12"/>
          <w:color w:val="auto"/>
        </w:rPr>
        <w:t>PennantPark Floating Rate Capital Ltd., a Maryland corporation organized in October 2010, is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federal income tax purposes we have elected to be treated, and intend to qualify annually, as a RIC under the Code.</w:t>
      </w:r>
    </w:p>
    <w:p>
      <w:pPr>
        <w:spacing w:after="0" w:line="36"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the Investment Adviser, supervise our activities.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Revenues</w:t>
      </w:r>
    </w:p>
    <w:p>
      <w:pPr>
        <w:spacing w:after="0" w:line="71" w:lineRule="exact"/>
        <w:rPr>
          <w:sz w:val="20"/>
          <w:szCs w:val="20"/>
          <w:color w:val="auto"/>
        </w:rPr>
      </w:pPr>
    </w:p>
    <w:p>
      <w:pPr>
        <w:jc w:val="both"/>
        <w:ind w:firstLine="456"/>
        <w:spacing w:after="0" w:line="278" w:lineRule="auto"/>
        <w:rPr>
          <w:sz w:val="20"/>
          <w:szCs w:val="20"/>
          <w:color w:val="auto"/>
        </w:rPr>
      </w:pPr>
      <w:r>
        <w:rPr>
          <w:rFonts w:ascii="Arial" w:cs="Arial" w:eastAsia="Arial" w:hAnsi="Arial"/>
          <w:sz w:val="12"/>
          <w:szCs w:val="12"/>
          <w:color w:val="auto"/>
        </w:rPr>
        <w:t>We generate revenue in the form of interest income on the debt securities we hold. Capital gains, if any, are recorded on a trade date basis upon existing investments.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OID, commitment, origination, structuring or diligence fees, fees for providing managerial assistance and possibly consulting fees.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Expenses</w:t>
      </w:r>
    </w:p>
    <w:p>
      <w:pPr>
        <w:spacing w:after="0" w:line="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Our primary operating expenses include the payment of a management fee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undrawn commitment fees under our Credit Facility. We bear all other direct or indirect costs and expenses of our operations and transactions, including:</w:t>
      </w:r>
    </w:p>
    <w:p>
      <w:pPr>
        <w:spacing w:after="0" w:line="16" w:lineRule="exact"/>
        <w:rPr>
          <w:sz w:val="20"/>
          <w:szCs w:val="20"/>
          <w:color w:val="auto"/>
        </w:rPr>
      </w:pPr>
    </w:p>
    <w:p>
      <w:pPr>
        <w:ind w:left="540" w:hanging="316"/>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55" w:lineRule="exact"/>
        <w:rPr>
          <w:rFonts w:ascii="Arial" w:cs="Arial" w:eastAsia="Arial" w:hAnsi="Arial"/>
          <w:sz w:val="14"/>
          <w:szCs w:val="14"/>
          <w:color w:val="auto"/>
        </w:rPr>
      </w:pPr>
    </w:p>
    <w:p>
      <w:pPr>
        <w:ind w:left="540" w:right="420" w:hanging="316"/>
        <w:spacing w:after="0" w:line="239" w:lineRule="auto"/>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federal and state registration fees and any stock exchange listing fees;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federal, state and local taxes;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fidelity bond, directors and officers/errors and omissions liability insurance and other insurance premiums;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55" w:lineRule="exact"/>
        <w:rPr>
          <w:rFonts w:ascii="Arial" w:cs="Arial" w:eastAsia="Arial" w:hAnsi="Arial"/>
          <w:sz w:val="14"/>
          <w:szCs w:val="14"/>
          <w:color w:val="auto"/>
        </w:rPr>
      </w:pPr>
    </w:p>
    <w:p>
      <w:pPr>
        <w:ind w:left="540" w:right="60" w:hanging="316"/>
        <w:spacing w:after="0" w:line="233" w:lineRule="auto"/>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39"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 to the expenses described above.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SEC requires that “Total Estimated Annual Expenses” be calculated as a percentage of average net assets in the table on page 4 of this prospectus rather than as a percentage of average total assets.</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Total assets include assets that have been funded with borrowed money (leverage). For reference, the table below illustrates our “Total Estimated Annual Expenses” as a percentage of average total assets:</w:t>
      </w:r>
    </w:p>
    <w:p>
      <w:pPr>
        <w:spacing w:after="0" w:line="140" w:lineRule="exact"/>
        <w:rPr>
          <w:sz w:val="20"/>
          <w:szCs w:val="20"/>
          <w:color w:val="auto"/>
        </w:rPr>
      </w:pPr>
    </w:p>
    <w:tbl>
      <w:tblPr>
        <w:tblLayout w:type="fixed"/>
        <w:tblInd w:w="184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6400" w:type="dxa"/>
            <w:vAlign w:val="bottom"/>
          </w:tcPr>
          <w:p>
            <w:pPr>
              <w:ind w:left="1780"/>
              <w:spacing w:after="0"/>
              <w:rPr>
                <w:sz w:val="20"/>
                <w:szCs w:val="20"/>
                <w:color w:val="auto"/>
              </w:rPr>
            </w:pPr>
            <w:r>
              <w:rPr>
                <w:rFonts w:ascii="Arial" w:cs="Arial" w:eastAsia="Arial" w:hAnsi="Arial"/>
                <w:sz w:val="14"/>
                <w:szCs w:val="14"/>
                <w:b w:val="1"/>
                <w:bCs w:val="1"/>
                <w:color w:val="auto"/>
                <w:w w:val="94"/>
              </w:rPr>
              <w:t>Estimated Annual Expenses (as a Percentage of Average Total Assets</w:t>
            </w:r>
            <w:r>
              <w:rPr>
                <w:rFonts w:ascii="Arial" w:cs="Arial" w:eastAsia="Arial" w:hAnsi="Arial"/>
                <w:sz w:val="22"/>
                <w:szCs w:val="22"/>
                <w:b w:val="1"/>
                <w:bCs w:val="1"/>
                <w:color w:val="auto"/>
                <w:w w:val="94"/>
                <w:vertAlign w:val="superscript"/>
              </w:rPr>
              <w:t>(1)</w:t>
            </w:r>
            <w:r>
              <w:rPr>
                <w:rFonts w:ascii="Arial" w:cs="Arial" w:eastAsia="Arial" w:hAnsi="Arial"/>
                <w:sz w:val="14"/>
                <w:szCs w:val="14"/>
                <w:b w:val="1"/>
                <w:bCs w:val="1"/>
                <w:color w:val="auto"/>
                <w:w w:val="94"/>
              </w:rPr>
              <w:t>)</w:t>
            </w: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Base management fees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1"/>
                <w:szCs w:val="11"/>
                <w:color w:val="auto"/>
              </w:rPr>
              <w:t xml:space="preserve">1.00 % </w:t>
            </w:r>
            <w:r>
              <w:rPr>
                <w:rFonts w:ascii="Arial" w:cs="Arial" w:eastAsia="Arial" w:hAnsi="Arial"/>
                <w:sz w:val="17"/>
                <w:szCs w:val="17"/>
                <w:color w:val="auto"/>
                <w:vertAlign w:val="superscript"/>
              </w:rPr>
              <w:t>(2)</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Arial" w:cs="Arial" w:eastAsia="Arial" w:hAnsi="Arial"/>
                <w:sz w:val="14"/>
                <w:szCs w:val="14"/>
                <w:color w:val="auto"/>
              </w:rPr>
              <w:t>Incentive fees</w:t>
            </w:r>
          </w:p>
        </w:tc>
        <w:tc>
          <w:tcPr>
            <w:tcW w:w="1180" w:type="dxa"/>
            <w:vAlign w:val="bottom"/>
          </w:tcPr>
          <w:p>
            <w:pPr>
              <w:jc w:val="right"/>
              <w:spacing w:after="0" w:line="149" w:lineRule="exact"/>
              <w:rPr>
                <w:sz w:val="20"/>
                <w:szCs w:val="20"/>
                <w:color w:val="auto"/>
              </w:rPr>
            </w:pPr>
            <w:r>
              <w:rPr>
                <w:rFonts w:ascii="Arial" w:cs="Arial" w:eastAsia="Arial" w:hAnsi="Arial"/>
                <w:sz w:val="11"/>
                <w:szCs w:val="11"/>
                <w:color w:val="auto"/>
              </w:rPr>
              <w:t xml:space="preserve">0.77 % </w:t>
            </w:r>
            <w:r>
              <w:rPr>
                <w:rFonts w:ascii="Arial" w:cs="Arial" w:eastAsia="Arial" w:hAnsi="Arial"/>
                <w:sz w:val="17"/>
                <w:szCs w:val="17"/>
                <w:color w:val="auto"/>
                <w:vertAlign w:val="superscript"/>
              </w:rPr>
              <w:t>(3)</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on borrowed funds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1"/>
                <w:szCs w:val="11"/>
                <w:color w:val="auto"/>
              </w:rPr>
              <w:t xml:space="preserve">0.87 % </w:t>
            </w:r>
            <w:r>
              <w:rPr>
                <w:rFonts w:ascii="Arial" w:cs="Arial" w:eastAsia="Arial" w:hAnsi="Arial"/>
                <w:sz w:val="17"/>
                <w:szCs w:val="17"/>
                <w:color w:val="auto"/>
                <w:vertAlign w:val="superscript"/>
              </w:rPr>
              <w:t>(4)</w:t>
            </w:r>
          </w:p>
        </w:tc>
        <w:tc>
          <w:tcPr>
            <w:tcW w:w="1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400" w:type="dxa"/>
            <w:vAlign w:val="bottom"/>
          </w:tcPr>
          <w:p>
            <w:pPr>
              <w:spacing w:after="0" w:line="149" w:lineRule="exact"/>
              <w:rPr>
                <w:sz w:val="20"/>
                <w:szCs w:val="20"/>
                <w:color w:val="auto"/>
              </w:rPr>
            </w:pPr>
            <w:r>
              <w:rPr>
                <w:rFonts w:ascii="Arial" w:cs="Arial" w:eastAsia="Arial" w:hAnsi="Arial"/>
                <w:sz w:val="14"/>
                <w:szCs w:val="14"/>
                <w:color w:val="auto"/>
              </w:rPr>
              <w:t>Other expenses</w:t>
            </w:r>
          </w:p>
        </w:tc>
        <w:tc>
          <w:tcPr>
            <w:tcW w:w="1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1"/>
                <w:szCs w:val="11"/>
                <w:color w:val="auto"/>
              </w:rPr>
              <w:t xml:space="preserve">0.80 % </w:t>
            </w:r>
            <w:r>
              <w:rPr>
                <w:rFonts w:ascii="Arial" w:cs="Arial" w:eastAsia="Arial" w:hAnsi="Arial"/>
                <w:sz w:val="17"/>
                <w:szCs w:val="17"/>
                <w:color w:val="auto"/>
                <w:vertAlign w:val="superscript"/>
              </w:rPr>
              <w:t>(5)</w:t>
            </w:r>
          </w:p>
        </w:tc>
        <w:tc>
          <w:tcPr>
            <w:tcW w:w="1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estimated annual expenses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1"/>
                <w:szCs w:val="11"/>
                <w:color w:val="auto"/>
              </w:rPr>
              <w:t xml:space="preserve">3.44 % </w:t>
            </w:r>
            <w:r>
              <w:rPr>
                <w:rFonts w:ascii="Arial" w:cs="Arial" w:eastAsia="Arial" w:hAnsi="Arial"/>
                <w:sz w:val="17"/>
                <w:szCs w:val="17"/>
                <w:color w:val="auto"/>
                <w:vertAlign w:val="superscript"/>
              </w:rPr>
              <w:t>(6)</w:t>
            </w:r>
          </w:p>
        </w:tc>
        <w:tc>
          <w:tcPr>
            <w:tcW w:w="160" w:type="dxa"/>
            <w:vAlign w:val="bottom"/>
            <w:shd w:val="clear" w:color="auto" w:fill="CCEEFF"/>
          </w:tcPr>
          <w:p>
            <w:pPr>
              <w:spacing w:after="0"/>
              <w:rPr>
                <w:sz w:val="12"/>
                <w:szCs w:val="12"/>
                <w:color w:val="auto"/>
              </w:rPr>
            </w:pPr>
          </w:p>
        </w:tc>
      </w:tr>
    </w:tbl>
    <w:p>
      <w:pPr>
        <w:spacing w:after="0" w:line="273" w:lineRule="exact"/>
        <w:rPr>
          <w:sz w:val="20"/>
          <w:szCs w:val="20"/>
          <w:color w:val="auto"/>
        </w:rPr>
      </w:pPr>
    </w:p>
    <w:p>
      <w:pPr>
        <w:ind w:left="340" w:right="160" w:hanging="332"/>
        <w:spacing w:after="0" w:line="239"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Gross assets attributable to common shares equals average gross assets as of June 30, 2013, adjusted for the net proceeds of $64.4 million issued in connection with our July 2013 offering (including the underwriters’ over allotment that was exercised).</w:t>
      </w:r>
    </w:p>
    <w:p>
      <w:pPr>
        <w:spacing w:after="0" w:line="57"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340" w:right="20" w:hanging="332"/>
        <w:spacing w:after="0" w:line="265" w:lineRule="auto"/>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and payable under our Investment Management Agreement during the three months ended June 30, 2013,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June 30, 2013, our cumulative realized gains exceeded our cumulative unrealized capital gains and losses, thus, we have an accrued payable for capital gains incentive fee of $0.3 million in accordance with U.S. generally accepted accounting principles, or GAAP. Accordingly, presented above, “Incentive fees” include the capital gains incentive fee accrual under GAAP and does not include an accrual for capital gains incentive fee payable under our Investment Management Agreement as of June 30, 2013. As we cannot predict our future net investment income or capital gains, the incentive fee paid in future periods, if any, may be substantially different than the fee accrued as of June 30, 2013. For more detailed information about the incentive fee, please see “Certain Relationships and Transactions—Investment Management Agreement” for more information.</w:t>
      </w:r>
    </w:p>
    <w:p>
      <w:pPr>
        <w:spacing w:after="0" w:line="42" w:lineRule="exact"/>
        <w:rPr>
          <w:rFonts w:ascii="Arial" w:cs="Arial" w:eastAsia="Arial" w:hAnsi="Arial"/>
          <w:sz w:val="12"/>
          <w:szCs w:val="12"/>
          <w:color w:val="auto"/>
        </w:rPr>
      </w:pPr>
    </w:p>
    <w:p>
      <w:pPr>
        <w:ind w:left="340" w:right="80" w:hanging="332"/>
        <w:spacing w:after="0" w:line="273" w:lineRule="auto"/>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As of June 30, 2013, we had $85.6 million in borrowings outstanding under our $125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which includes actual (unannualized) amendment costs incurred in connection with amending our Credit Facility but does not annualize them,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38" w:lineRule="exact"/>
        <w:rPr>
          <w:rFonts w:ascii="Arial" w:cs="Arial" w:eastAsia="Arial" w:hAnsi="Arial"/>
          <w:sz w:val="12"/>
          <w:szCs w:val="12"/>
          <w:color w:val="auto"/>
        </w:rPr>
      </w:pPr>
    </w:p>
    <w:p>
      <w:pPr>
        <w:ind w:left="340" w:right="20" w:hanging="332"/>
        <w:spacing w:after="0" w:line="288" w:lineRule="auto"/>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June 30, 2013. See the Consolidated Statement of Operations in our Consolidated Financial Statements.</w:t>
      </w:r>
    </w:p>
    <w:p>
      <w:pPr>
        <w:spacing w:after="0" w:line="29" w:lineRule="exact"/>
        <w:rPr>
          <w:rFonts w:ascii="Arial" w:cs="Arial" w:eastAsia="Arial" w:hAnsi="Arial"/>
          <w:sz w:val="12"/>
          <w:szCs w:val="12"/>
          <w:color w:val="auto"/>
        </w:rPr>
      </w:pPr>
    </w:p>
    <w:p>
      <w:pPr>
        <w:ind w:left="340" w:right="40" w:hanging="332"/>
        <w:spacing w:after="0" w:line="273" w:lineRule="auto"/>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table above is intended to assist you in understanding the various costs and expenses that an investor in shares of our common stock will bear as a percentage of our average gross assets as of June 30, 2013 as-adjusted for the net proceeds in connection with our July 2013 offering as more fully described in note 1 above.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71"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The discussion of our financial condition and results of operations are based upon our Consolidated Financial Statements, which have been prepared in accordance with GAAP. The preparation of these Consolidated Financial Statements requires management to make estimates and assumptions that affect the reported amounts of assets, liabilities, revenues and expenses during the reporting period. Actual results could differ from these estimates. We may reclassify certain prior period amounts to conform to the current period presentation. We have eliminated all intercompany balances and transactions. References to the ASC serve as a single source of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69"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otherwise from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39" w:lineRule="exact"/>
        <w:rPr>
          <w:sz w:val="20"/>
          <w:szCs w:val="20"/>
          <w:color w:val="auto"/>
        </w:rPr>
      </w:pPr>
    </w:p>
    <w:p>
      <w:pPr>
        <w:ind w:right="20" w:firstLine="456"/>
        <w:spacing w:after="0" w:line="226" w:lineRule="auto"/>
        <w:rPr>
          <w:sz w:val="20"/>
          <w:szCs w:val="20"/>
          <w:color w:val="auto"/>
        </w:rPr>
      </w:pPr>
      <w:r>
        <w:rPr>
          <w:rFonts w:ascii="Arial" w:cs="Arial" w:eastAsia="Arial" w:hAnsi="Arial"/>
          <w:sz w:val="14"/>
          <w:szCs w:val="14"/>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prospectus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valuations and the differences may be material.</w:t>
      </w:r>
    </w:p>
    <w:p>
      <w:pPr>
        <w:spacing w:after="0" w:line="60"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8" w:lineRule="exact"/>
        <w:rPr>
          <w:sz w:val="20"/>
          <w:szCs w:val="20"/>
          <w:color w:val="auto"/>
        </w:rPr>
      </w:pPr>
    </w:p>
    <w:p>
      <w:pPr>
        <w:ind w:left="680" w:right="360" w:hanging="334"/>
        <w:spacing w:after="0" w:line="239" w:lineRule="auto"/>
        <w:tabs>
          <w:tab w:leader="none" w:pos="6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ind w:left="680" w:right="180" w:hanging="334"/>
        <w:spacing w:after="0" w:line="288" w:lineRule="auto"/>
        <w:tabs>
          <w:tab w:leader="none" w:pos="6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29" w:lineRule="exact"/>
        <w:rPr>
          <w:rFonts w:ascii="Arial" w:cs="Arial" w:eastAsia="Arial" w:hAnsi="Arial"/>
          <w:sz w:val="12"/>
          <w:szCs w:val="12"/>
          <w:color w:val="auto"/>
        </w:rPr>
      </w:pPr>
    </w:p>
    <w:p>
      <w:pPr>
        <w:ind w:left="680" w:right="120" w:hanging="334"/>
        <w:spacing w:after="0" w:line="239" w:lineRule="auto"/>
        <w:tabs>
          <w:tab w:leader="none" w:pos="6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57" w:lineRule="exact"/>
        <w:rPr>
          <w:rFonts w:ascii="Arial" w:cs="Arial" w:eastAsia="Arial" w:hAnsi="Arial"/>
          <w:sz w:val="14"/>
          <w:szCs w:val="14"/>
          <w:color w:val="auto"/>
        </w:rPr>
      </w:pPr>
    </w:p>
    <w:p>
      <w:pPr>
        <w:ind w:left="680" w:right="660" w:hanging="334"/>
        <w:spacing w:after="0" w:line="239" w:lineRule="auto"/>
        <w:tabs>
          <w:tab w:leader="none" w:pos="6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board of directors discusses the valuations and determines the fair value of each investment in our portfolio in good faith, based on the input of our Investment Adviser, the respective independent valuation firms and the audit committee.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6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100" w:right="700" w:hanging="634"/>
        <w:spacing w:after="0" w:line="318" w:lineRule="auto"/>
        <w:tabs>
          <w:tab w:leader="none" w:pos="108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50"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2"/>
          <w:szCs w:val="12"/>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11" w:lineRule="exact"/>
        <w:rPr>
          <w:sz w:val="20"/>
          <w:szCs w:val="20"/>
          <w:color w:val="auto"/>
        </w:rPr>
      </w:pPr>
    </w:p>
    <w:p>
      <w:pPr>
        <w:ind w:right="160" w:firstLine="456"/>
        <w:spacing w:after="0" w:line="318" w:lineRule="auto"/>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94"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$0.5 million relating to amendment fees on the Credit Facility in the nine months ended June 30, 2013.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nine months ended June 30, 2013, we had a net change in unrealized appreciation of zero and $0.4 million, respectively. For the three and nine months ended June 30, 2012, we had a net change in unrealized appreciation of less than $0.1 million and $0.3 million, respectively. As of June 30, 2013 and September 30, 2012, the Credit Facility had unrealized depreciation of zero and $0.4 million, respectively. We use a nationally recognized independent valuation service to measure the fair value of the Credit Facility in a manner consistent with the valuation process that the board of directors uses to value our investments.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69"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market discount or premium are capitalized, and we then amortize such amounts as interest income or expense, as applicable, using the effective interest method. We record contractual prepayment premiums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6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69"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69" w:lineRule="exact"/>
        <w:rPr>
          <w:sz w:val="20"/>
          <w:szCs w:val="20"/>
          <w:color w:val="auto"/>
        </w:rPr>
      </w:pPr>
    </w:p>
    <w:p>
      <w:pPr>
        <w:ind w:right="40" w:firstLine="456"/>
        <w:spacing w:after="0" w:line="266" w:lineRule="auto"/>
        <w:rPr>
          <w:sz w:val="20"/>
          <w:szCs w:val="20"/>
          <w:color w:val="auto"/>
        </w:rPr>
      </w:pPr>
      <w:r>
        <w:rPr>
          <w:rFonts w:ascii="Arial" w:cs="Arial" w:eastAsia="Arial" w:hAnsi="Arial"/>
          <w:sz w:val="12"/>
          <w:szCs w:val="12"/>
          <w:color w:val="auto"/>
        </w:rPr>
        <w:t>We have elected to be taxed, and intend to qualify annually to maintain our election to be taxed, as a RIC under Subchapter M of the Code. To maintain our RIC election, we must, among other requirements, meet certain source-of-income and quarterly asset diversification requirements. We also must annually distribute dividends of at least 90% of the sum of our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capital gain net income (i.e., the excess, if any, of capital gains over capital losses) for the one-year period ending on October 31 of the calendar year and (3) the sum of any net ordinary income plus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46"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52" w:lineRule="exact"/>
        <w:rPr>
          <w:sz w:val="20"/>
          <w:szCs w:val="20"/>
          <w:color w:val="auto"/>
        </w:rPr>
      </w:pPr>
    </w:p>
    <w:p>
      <w:pPr>
        <w:ind w:right="80" w:firstLine="456"/>
        <w:spacing w:after="0" w:line="278" w:lineRule="auto"/>
        <w:rPr>
          <w:sz w:val="20"/>
          <w:szCs w:val="20"/>
          <w:color w:val="auto"/>
        </w:rPr>
      </w:pPr>
      <w:r>
        <w:rPr>
          <w:rFonts w:ascii="Arial" w:cs="Arial" w:eastAsia="Arial" w:hAnsi="Arial"/>
          <w:sz w:val="12"/>
          <w:szCs w:val="12"/>
          <w:color w:val="auto"/>
        </w:rPr>
        <w:t>As of June 30, 2013, our portfolio totaled $250.5 million and consisted of $228.5 million of senior secured loans, $13.2 million of second lien secured debt and $8.8 million of subordinated debt, preferred and common equity investments. Our debt portfolio consisted of 91% variable-rate investments (including 88% with a LIBOR or prime floor) and 9% fixed-rate investments. Overall, the portfolio had unrealized depreciation of $3.0 million. Our overall portfolio consisted of 78 companies with an average investment size of $3.2 million, had a weighted average yield on debt investments of 8.1%, and was invested 91% in senior secured loans, 5% in second lien secured debt and 4% in subordinated debt, preferred and common equity investments.</w:t>
      </w:r>
    </w:p>
    <w:p>
      <w:pPr>
        <w:spacing w:after="0" w:line="117"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As of September 30, 2012, our portfolio totaled $171.8 million and consisted of $150.2 million of senior secured loans, $12.0 million of second lien secured debt and $9.6 million of subordinated debt, preferred and common equity investments. Our debt portfolio consisted of 85% variable-rate investments (including 81% with a LIBOR or prime floor) and 15% fixed-rate investments. Overall, the portfolio had net unrealized appreciation of $0.3 million. Our overall portfolio consisted of 61 companies with an average investment size of $2.8 million, had a weighted average yield on debt investments of 8.6%, and was invested 87% in senior secured loans, 7% in second lien secured debt and 6% in subordinated debt, preferred and common equity investments.</w:t>
      </w:r>
    </w:p>
    <w:p>
      <w:pPr>
        <w:spacing w:after="0" w:line="117" w:lineRule="exact"/>
        <w:rPr>
          <w:sz w:val="20"/>
          <w:szCs w:val="20"/>
          <w:color w:val="auto"/>
        </w:rPr>
      </w:pPr>
    </w:p>
    <w:p>
      <w:pPr>
        <w:ind w:right="80" w:firstLine="456"/>
        <w:spacing w:after="0" w:line="278" w:lineRule="auto"/>
        <w:rPr>
          <w:sz w:val="20"/>
          <w:szCs w:val="20"/>
          <w:color w:val="auto"/>
        </w:rPr>
      </w:pPr>
      <w:r>
        <w:rPr>
          <w:rFonts w:ascii="Arial" w:cs="Arial" w:eastAsia="Arial" w:hAnsi="Arial"/>
          <w:sz w:val="12"/>
          <w:szCs w:val="12"/>
          <w:color w:val="auto"/>
        </w:rPr>
        <w:t>As of September 30, 2011, our portfolio totaled $110.7 million and consisted of $91.4 million of senior secured loans, $12.2 million of second lien secured debt, $7.1 million of subordinated debt, preferred and common equity investments. Our portfolio consisted of 84% variable-rate investments (including 78% with a LIBOR or prime floor) and 16% fixed-rate investments. Overall, the portfolio had an unrealized depreciation of $4.1 million. Our overall portfolio consisted of 38 companies with an average investment size of $2.9 million, a weighted average yield on debt investments of 8.0%, and was invested 85% in senior secured loans, 9% in second lien secured debt and 6% in subordinated debt, preferred and common equity investments.</w:t>
      </w:r>
    </w:p>
    <w:p>
      <w:pPr>
        <w:spacing w:after="0" w:line="117"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For the three months ended June 30, 2013, we invested $114.3 million in 26 new and five existing portfolio companies with a weighted average yield on debt investments of 7.5%. Sales and repayments of investments for the three months ended June 30, 2013 totaled $46.4 million. For the nine months ended June 30, 2013, we invested $198.3 million in 54 new and 11 existing portfolio companies with a weighted average yield on debt investments of 8.0%. Sales and repayments of investments for the nine months ended June 30, 2013 totaled $120.7 million.</w:t>
      </w:r>
    </w:p>
    <w:p>
      <w:pPr>
        <w:spacing w:after="0" w:line="11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2"/>
          <w:szCs w:val="12"/>
          <w:color w:val="auto"/>
        </w:rPr>
        <w:t>For the three months ended June 30, 2012, we invested $27.7 million in 11 new and two existing portfolio companies with a weighted average yield on debt investments of 9.3%. Sales and repayments of investments for the three months ended June 30, 2012 totaled $15.4 million. For the nine months ended June 30, 2012, we invested $99.9 million in 36 new and four existing portfolio companies with a weighted average yield on debt investments of 9.2%. Sales and repayments of investments for the nine months ended June 30, 2012 totaled $57.0 million.</w:t>
      </w:r>
    </w:p>
    <w:p>
      <w:pPr>
        <w:spacing w:after="0" w:line="111" w:lineRule="exact"/>
        <w:rPr>
          <w:sz w:val="20"/>
          <w:szCs w:val="20"/>
          <w:color w:val="auto"/>
        </w:rPr>
      </w:pPr>
    </w:p>
    <w:p>
      <w:pPr>
        <w:ind w:right="380" w:firstLine="456"/>
        <w:spacing w:after="0" w:line="239" w:lineRule="auto"/>
        <w:rPr>
          <w:sz w:val="20"/>
          <w:szCs w:val="20"/>
          <w:color w:val="auto"/>
        </w:rPr>
      </w:pPr>
      <w:r>
        <w:rPr>
          <w:rFonts w:ascii="Arial" w:cs="Arial" w:eastAsia="Arial" w:hAnsi="Arial"/>
          <w:sz w:val="14"/>
          <w:szCs w:val="14"/>
          <w:color w:val="auto"/>
        </w:rPr>
        <w:t>For the fiscal year ended September 30, 2012, we purchased $128.7 million of investments issued by 47 new and seven existing portfolio companies with a weighted average yield of 8.9% on debt investments. For the same period sales and repayments of investments generated proceeds of $71.5 million.</w:t>
      </w:r>
    </w:p>
    <w:p>
      <w:pPr>
        <w:spacing w:after="0" w:line="13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For the period from March 4, 2011 (commencement of operations) to September 30, 2011, we purchased $147.5 million of investments issued by 50 portfolio companies with a weighted average yield of 7.6% on debt investments. For the same period sales and repayments of investments generated proceeds of $33.2 million.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Set forth below are the results of operations for the three and nine months ended June 30, 2013 and 2012.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69"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Investment income for the three and nine months ended June 30, 2013 was $4.7 million and $12.8 million, respectively, and was attributable to $3.9 million and $10.8 million from senior secured loans, $0.5 million and $1.0 million from second lien secured debt investments and $0.3 million and $1.0 million from subordinated debt investments, respectively. This compares to investment income for the three and nine months ended June 30, 2012, which was $3.2 million and $8.6 million, respectively, and was attributable to $2.7 million and $7.0 million from senior secured loans, $0.2 million and $0.8 million from second lien secured debt investments and $0.3 million and $0.5 million from subordinated debt investments, respectively. The increase in investment income compared with the same periods in the prior year is primarily the result of deploying our proceeds from our March 2013 equity offering.</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69" w:lineRule="exact"/>
        <w:rPr>
          <w:sz w:val="20"/>
          <w:szCs w:val="20"/>
          <w:color w:val="auto"/>
        </w:rPr>
      </w:pPr>
    </w:p>
    <w:p>
      <w:pPr>
        <w:ind w:right="140" w:firstLine="456"/>
        <w:spacing w:after="0" w:line="270" w:lineRule="auto"/>
        <w:rPr>
          <w:sz w:val="20"/>
          <w:szCs w:val="20"/>
          <w:color w:val="auto"/>
        </w:rPr>
      </w:pPr>
      <w:r>
        <w:rPr>
          <w:rFonts w:ascii="Arial" w:cs="Arial" w:eastAsia="Arial" w:hAnsi="Arial"/>
          <w:sz w:val="12"/>
          <w:szCs w:val="12"/>
          <w:color w:val="auto"/>
        </w:rPr>
        <w:t>Expenses for the three and nine months ended June 30, 2013 totaled $1.5 million and $5.8 million, respectively. Base management fee for the same periods totaled $0.5 million and $1.5 million, incentive fee totaled less than $0.1 million and $1.0 million, Credit Facility expenses totaled $0.4 million and $1.8 million (including $0.5 million of Credit Facility amendment expenses), general and administrative expenses totaled $0.5 million and $1.4 million and excise taxes were $0.1 million, respectively. This compares to expenses for the three and nine months ended June 30, 2012, which totaled $1.4 million and $3.8 million, respectively. Base management fee for the same periods in the prior year totaled $0.4 million and $1.1 million, incentive fee totaled $(0.1) million and $0.1 million, Credit Facility expenses totaled $0.7 million and $1.3 million (including $0.3 million of non-recurring expenses) and general and administrative expenses totaled $0.4 million and $1.4 million, respectively. The increase in management fee, incentive fee and Credit Facility expenses was due to the growth of our portfolio and expanding our borrowing capacity under our Credit Facility.</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69" w:lineRule="exact"/>
        <w:rPr>
          <w:sz w:val="20"/>
          <w:szCs w:val="20"/>
          <w:color w:val="auto"/>
        </w:rPr>
      </w:pPr>
    </w:p>
    <w:p>
      <w:pPr>
        <w:ind w:right="160" w:firstLine="456"/>
        <w:spacing w:after="0" w:line="233" w:lineRule="auto"/>
        <w:rPr>
          <w:sz w:val="20"/>
          <w:szCs w:val="20"/>
          <w:color w:val="auto"/>
        </w:rPr>
      </w:pPr>
      <w:r>
        <w:rPr>
          <w:rFonts w:ascii="Arial" w:cs="Arial" w:eastAsia="Arial" w:hAnsi="Arial"/>
          <w:sz w:val="14"/>
          <w:szCs w:val="14"/>
          <w:color w:val="auto"/>
        </w:rPr>
        <w:t>Net investment income totaled $3.2 million and $7.0 million, or $0.31 and $0.86 per share, for the three and nine months ended June 30, 2013, respectively. Net investment income totaled $1.8 million and $4.8 million, or $0.27 and $0.70 per share, for the three and nine months ended June 30, 2012, respectively. The increase in net investment income was due to a larger portfolio and higher yielding assets offset by higher Credit Facility expenses and management and incentive fees.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6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Sales and repayments of investments for the three and nine months ended June 30, 2013 totaled $46.4 million and $120.7 million and realized gains totaled $1.7 million and $3.2 million, respectively. Sales and repayments of investments for the three and nine months ended June 30, 2012 totaled $15.4 million and $57.0 million and realized gains totaled $0.2 million and $0.6 million, respectively. The increase in realized gains was driven by a higher volume of sales and early repayments than the comparable periods in the prior year.</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Credit Facility</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For the three and nine months ended June 30, 2013, we reported unrealized depreciation on investments of $3.3 million and $3.2 million, respectively. For the three and nine months ended June 30, 2012, we reported unrealized (depreciation) appreciation on investments of $(1.7) million and $2.4 million, respectively. As of June 30, 2013 and September 30, 2012, net unrealized (depreciation) appreciation on investments totaled $(3.0) million and $0.3 million, respectively. The decrease in unrealized appreciation for current periods compared to prior periods was the result of the reversal of unrealized gains upon exiting our investments and changes in market values.</w:t>
      </w:r>
    </w:p>
    <w:p>
      <w:pPr>
        <w:spacing w:after="0" w:line="139" w:lineRule="exact"/>
        <w:rPr>
          <w:sz w:val="20"/>
          <w:szCs w:val="20"/>
          <w:color w:val="auto"/>
        </w:rPr>
      </w:pPr>
    </w:p>
    <w:p>
      <w:pPr>
        <w:ind w:right="300" w:firstLine="456"/>
        <w:spacing w:after="0" w:line="230" w:lineRule="auto"/>
        <w:rPr>
          <w:sz w:val="20"/>
          <w:szCs w:val="20"/>
          <w:color w:val="auto"/>
        </w:rPr>
      </w:pPr>
      <w:r>
        <w:rPr>
          <w:rFonts w:ascii="Arial" w:cs="Arial" w:eastAsia="Arial" w:hAnsi="Arial"/>
          <w:sz w:val="14"/>
          <w:szCs w:val="14"/>
          <w:color w:val="auto"/>
        </w:rPr>
        <w:t>For the three and nine months ended June 30, 2013, our long-term Credit Facility had a change in unrealized appreciation of zero and $0.4 million, respectively. For the three and nine months ended June 30, 2012, our long-term Credit Facility had a change in unrealized depreciation of less than $0.1 million and $0.3 million, respectively. As of June 30, 2013 and September 30, 2012, net unrealized depreciation on our long-term Credit Facility totaled zero and $0.4 million, respectively. The change in unrealized appreciation for current periods compared to prior periods was the result of changes in the leveraged credit markets.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Increase in Net Assets Resulting from Operations</w:t>
      </w:r>
    </w:p>
    <w:p>
      <w:pPr>
        <w:spacing w:after="0" w:line="6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Net increase in net assets resulting from operations totaled $1.6 million and $6.5 million, or $0.15 and $0.81 per share, respectively, for the three and nine months ended June 30, 2013. This compares to a net increase in net assets resulting from operations which totaled $0.4 million and $8.0 million, or $0.06 and $1.17 per share, respectively, for the three and nine months ended June 30, 2012. The decrease in net assets resulting from operations compared to last year was due to changes in the market values of our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52" w:lineRule="exact"/>
        <w:rPr>
          <w:sz w:val="20"/>
          <w:szCs w:val="20"/>
          <w:color w:val="auto"/>
        </w:rPr>
      </w:pPr>
    </w:p>
    <w:p>
      <w:pPr>
        <w:ind w:right="1540" w:firstLine="456"/>
        <w:spacing w:after="0" w:line="342" w:lineRule="auto"/>
        <w:rPr>
          <w:sz w:val="20"/>
          <w:szCs w:val="20"/>
          <w:color w:val="auto"/>
        </w:rPr>
      </w:pPr>
      <w:r>
        <w:rPr>
          <w:rFonts w:ascii="Arial" w:cs="Arial" w:eastAsia="Arial" w:hAnsi="Arial"/>
          <w:sz w:val="14"/>
          <w:szCs w:val="14"/>
          <w:color w:val="auto"/>
        </w:rPr>
        <w:t xml:space="preserve">Set forth below are the results of operations for the year ended September 30, 2012 and the period from March 4, 2011 (commencement of operations) to September 30, 2011. </w:t>
      </w:r>
      <w:r>
        <w:rPr>
          <w:rFonts w:ascii="Arial" w:cs="Arial" w:eastAsia="Arial" w:hAnsi="Arial"/>
          <w:sz w:val="14"/>
          <w:szCs w:val="14"/>
          <w:b w:val="1"/>
          <w:bCs w:val="1"/>
          <w:i w:val="1"/>
          <w:iCs w:val="1"/>
          <w:color w:val="auto"/>
        </w:rPr>
        <w:t>Investment Income</w:t>
      </w:r>
    </w:p>
    <w:p>
      <w:pPr>
        <w:ind w:right="100" w:firstLine="456"/>
        <w:spacing w:after="0" w:line="230" w:lineRule="auto"/>
        <w:rPr>
          <w:sz w:val="20"/>
          <w:szCs w:val="20"/>
          <w:color w:val="auto"/>
        </w:rPr>
      </w:pPr>
      <w:r>
        <w:rPr>
          <w:rFonts w:ascii="Arial" w:cs="Arial" w:eastAsia="Arial" w:hAnsi="Arial"/>
          <w:sz w:val="14"/>
          <w:szCs w:val="14"/>
          <w:color w:val="auto"/>
        </w:rPr>
        <w:t>Investment income for the year ended September 30, 2012 was $12.1 million and was primarily attributable to $9.9 million from senior secured loans, $1.0 million from second lien secured debt investments and $1.2 million from subordinated debt investments. This compares to investment income for the period March 4, 2011 (commencement of operations) to September 30, 2011, which was $2.9 million, and was attributable to $2.3 million from senior secured loan investments, $0.5 million from second lien secured debt investments, and $0.1 million from subordinated debt investments. The increase in interest income over the prior year was due to both a full year of operation and the increased size of our portfolio.</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69" w:lineRule="exact"/>
        <w:rPr>
          <w:sz w:val="20"/>
          <w:szCs w:val="20"/>
          <w:color w:val="auto"/>
        </w:rPr>
      </w:pPr>
    </w:p>
    <w:p>
      <w:pPr>
        <w:jc w:val="both"/>
        <w:ind w:right="140" w:firstLine="456"/>
        <w:spacing w:after="0" w:line="230" w:lineRule="auto"/>
        <w:rPr>
          <w:sz w:val="20"/>
          <w:szCs w:val="20"/>
          <w:color w:val="auto"/>
        </w:rPr>
      </w:pPr>
      <w:r>
        <w:rPr>
          <w:rFonts w:ascii="Arial" w:cs="Arial" w:eastAsia="Arial" w:hAnsi="Arial"/>
          <w:sz w:val="14"/>
          <w:szCs w:val="14"/>
          <w:color w:val="auto"/>
        </w:rPr>
        <w:t>Expenses for the year ended September 30, 2012 totaled $5.8 million. Base management fees for the same period totaled $1.5 million, performance-based incentive fees totaled $0.6 million (including $0.3 million accrued but not to be paid under GAAP unless the net unrealized gains are realized), Credit Facility expenses totaled $1.8 million (including $0.3 million of amendment expenses) and general and administrative expenses totaled $1.9 million. We expect our Credit Facility expenses and management fees to continue to increase as a result of growth in our portfolio. Additionally, general and administrative costs increased over the prior year due to a full year of operations.</w:t>
      </w:r>
    </w:p>
    <w:p>
      <w:pPr>
        <w:spacing w:after="0" w:line="58" w:lineRule="exact"/>
        <w:rPr>
          <w:sz w:val="20"/>
          <w:szCs w:val="20"/>
          <w:color w:val="auto"/>
        </w:rPr>
      </w:pPr>
    </w:p>
    <w:p>
      <w:pPr>
        <w:jc w:val="both"/>
        <w:ind w:right="240" w:firstLine="452"/>
        <w:spacing w:after="0" w:line="233" w:lineRule="auto"/>
        <w:rPr>
          <w:sz w:val="20"/>
          <w:szCs w:val="20"/>
          <w:color w:val="auto"/>
        </w:rPr>
      </w:pPr>
      <w:r>
        <w:rPr>
          <w:rFonts w:ascii="Arial" w:cs="Arial" w:eastAsia="Arial" w:hAnsi="Arial"/>
          <w:sz w:val="14"/>
          <w:szCs w:val="14"/>
          <w:color w:val="auto"/>
        </w:rPr>
        <w:t>Expenses for the period March 4, 2011 (commencement of operations) to September 30, 2011, totaled $2.6 million. Base management fee for the same period totaled $0.4 million, debt-issuance cost (non-recurring) totaled $1.4 million, credit facility expenses totaled $0.1 million and general and administrative expenses totaled $0.7 million. Expenses include organizational cost associated with starting up our operations.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69" w:lineRule="exact"/>
        <w:rPr>
          <w:sz w:val="20"/>
          <w:szCs w:val="20"/>
          <w:color w:val="auto"/>
        </w:rPr>
      </w:pPr>
    </w:p>
    <w:p>
      <w:pPr>
        <w:ind w:right="280" w:firstLine="456"/>
        <w:spacing w:after="0" w:line="239" w:lineRule="auto"/>
        <w:rPr>
          <w:sz w:val="20"/>
          <w:szCs w:val="20"/>
          <w:color w:val="auto"/>
        </w:rPr>
      </w:pPr>
      <w:r>
        <w:rPr>
          <w:rFonts w:ascii="Arial" w:cs="Arial" w:eastAsia="Arial" w:hAnsi="Arial"/>
          <w:sz w:val="14"/>
          <w:szCs w:val="14"/>
          <w:color w:val="auto"/>
        </w:rPr>
        <w:t>Net investment income totaled $6.3 million, or $0.92 per share, for the year ended September 30, 2012. This compares to net investment income which totaled $0.3 million or $0.05 per share for the period March 4, 2011 (commencement of operations) to September 30, 2011.</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69"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Sales and repayments of investments for the year ended September 30, 2012 totaled $71.5 million and realized gains totaled $0.9 million, due to sales and repayments of our debt investments. This compares to sales and repayments of long-term investments for the period March 4, 2011 (commencement of operations) to September 30, 2011 which totaled $33.2 million and net realized gains which totaled $0.3 million. The increase in sales and repayments of investments was due to shorter-term investment opportunities.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Credit Facility</w:t>
      </w:r>
    </w:p>
    <w:p>
      <w:pPr>
        <w:spacing w:after="0" w:line="69" w:lineRule="exact"/>
        <w:rPr>
          <w:sz w:val="20"/>
          <w:szCs w:val="20"/>
          <w:color w:val="auto"/>
        </w:rPr>
      </w:pPr>
    </w:p>
    <w:p>
      <w:pPr>
        <w:jc w:val="both"/>
        <w:ind w:right="180" w:firstLine="456"/>
        <w:spacing w:after="0" w:line="288" w:lineRule="auto"/>
        <w:rPr>
          <w:sz w:val="20"/>
          <w:szCs w:val="20"/>
          <w:color w:val="auto"/>
        </w:rPr>
      </w:pPr>
      <w:r>
        <w:rPr>
          <w:rFonts w:ascii="Arial" w:cs="Arial" w:eastAsia="Arial" w:hAnsi="Arial"/>
          <w:sz w:val="12"/>
          <w:szCs w:val="12"/>
          <w:color w:val="auto"/>
        </w:rPr>
        <w:t>For the year ended September 30, 2012 and for the period March 4, 2011 (commencement of operations) to September 30, 2011, we reported unrealized appreciation (depreciation) on investments of $4.4 million and $(4.1) million, respectively. As of September 30, 2012 and September 30, 2011, net unrealized appreciation (depreciation) on investments totaled $0.3 million and $(4.1) million, respectively. Net change in unrealized appreciation on investments over the prior year was the result of changes in the overall leveraged finance markets.</w:t>
      </w:r>
    </w:p>
    <w:p>
      <w:pPr>
        <w:spacing w:after="0" w:line="30"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2"/>
          <w:szCs w:val="12"/>
          <w:color w:val="auto"/>
        </w:rPr>
        <w:t>For the year ended September 30, 2012 and for the period March 4, 2011 (commencement of operations) to September 30, 2011, our long-term Credit Facility had a change in unrealized depreciation of $0.4 million and zero, respectively. As of September 30, 2012 and September 30, 2011, net unrealized depreciation on our long-term Credit Facility totaled $0.4 million and zero, respectively. The net change in unrealized appreciation on the Credit Facility over the prior year was due to amending the terms and changes in the leveraged finance markets.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Increase or Decrease in Net Assets Resulting from Operations</w:t>
      </w:r>
    </w:p>
    <w:p>
      <w:pPr>
        <w:spacing w:after="0" w:line="6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Net increase in net assets resulting from operations totaled $12.0 million, or $1.75 per share, respectively, for the year ended September 30, 2012. This increase in net assets from operations was due to the continued growth in net investment income and both realized and unrealized appreciation on investments. We continue to find both long-term and short-term investment opportunities to grow net assets from operations.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Net decrease in net assets resulting from operations totaled $3.5 million, or $0.51 per share for the period March 4, 2011 (commencement of operations) to September 30, 2011.</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52"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39" w:lineRule="exact"/>
        <w:rPr>
          <w:sz w:val="20"/>
          <w:szCs w:val="20"/>
          <w:color w:val="auto"/>
        </w:rPr>
      </w:pPr>
    </w:p>
    <w:p>
      <w:pPr>
        <w:ind w:right="240" w:firstLine="456"/>
        <w:spacing w:after="0" w:line="230" w:lineRule="auto"/>
        <w:rPr>
          <w:sz w:val="20"/>
          <w:szCs w:val="20"/>
          <w:color w:val="auto"/>
        </w:rPr>
      </w:pPr>
      <w:r>
        <w:rPr>
          <w:rFonts w:ascii="Arial" w:cs="Arial" w:eastAsia="Arial" w:hAnsi="Arial"/>
          <w:sz w:val="14"/>
          <w:szCs w:val="14"/>
          <w:color w:val="auto"/>
        </w:rPr>
        <w:t>Funding I’s Credit Facility with the Lender, is $125 million, subject to satisfaction of certain conditions and the regulatory restrictions that the 1940 Act imposes on us as a BDC, has an interest rate spread above LIBOR of 200 basis points, a maturity date of May 2018 and a revolving period ending in May 2016. As of June 30, 2013 and September 30, 2012 and 2011, Funding I had $85.6 million, $75.5 million and $24.7 million of outstanding borrowings under the Credit Facility, respectively, and carried an interest rate of 2.20%, 2.47% and 2.53%, respectively, excluding the 0.375%, 0.375% and 0.500% undrawn commitment fee, respectively.</w:t>
      </w:r>
    </w:p>
    <w:p>
      <w:pPr>
        <w:spacing w:after="0" w:line="139"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Until May 2016, or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1"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a complete list of such covenants see the amended and restated revolving credit and security agreement filed as an exhibit to Form 10-Q filed on August 9, 2012 and the third amendment thereto filed as an exhibit to Form 10-Q filed May 9, 2013. As of June 30, 2013, we were in compliance with the covenants relating to our Credit Facility.</w:t>
      </w:r>
    </w:p>
    <w:p>
      <w:pPr>
        <w:spacing w:after="0" w:line="120" w:lineRule="exact"/>
        <w:rPr>
          <w:sz w:val="20"/>
          <w:szCs w:val="20"/>
          <w:color w:val="auto"/>
        </w:rPr>
      </w:pPr>
    </w:p>
    <w:p>
      <w:pPr>
        <w:ind w:right="40" w:firstLine="456"/>
        <w:spacing w:after="0" w:line="318" w:lineRule="auto"/>
        <w:rPr>
          <w:sz w:val="20"/>
          <w:szCs w:val="20"/>
          <w:color w:val="auto"/>
        </w:rPr>
      </w:pPr>
      <w:r>
        <w:rPr>
          <w:rFonts w:ascii="Arial" w:cs="Arial" w:eastAsia="Arial" w:hAnsi="Arial"/>
          <w:sz w:val="12"/>
          <w:szCs w:val="12"/>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94"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all management fee owed with respect to such services are to be paid to the Company so long as the Investment Adviser remains the collateral manager.</w:t>
      </w:r>
    </w:p>
    <w:p>
      <w:pPr>
        <w:spacing w:after="0" w:line="140"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We may raise equity or debt capital through both registered offerings and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shareholders or for other general corporate purposes. In March 2013, we completed a follow-on public offering, including the underwriters’ exercise of the overallotment option, of 3,450,000 shares of common stock at a public offering price of $14.00 per share for gross proceeds of $48.3 million and net proceeds of $47.9 million after offering expenses. Our Investment Adviser paid the entire sales load of $1.4 million in connection with this offering.</w:t>
      </w:r>
    </w:p>
    <w:p>
      <w:pPr>
        <w:spacing w:after="0" w:line="120" w:lineRule="exact"/>
        <w:rPr>
          <w:sz w:val="20"/>
          <w:szCs w:val="20"/>
          <w:color w:val="auto"/>
        </w:rPr>
      </w:pPr>
    </w:p>
    <w:p>
      <w:pPr>
        <w:ind w:right="340" w:firstLine="456"/>
        <w:spacing w:after="0" w:line="239" w:lineRule="auto"/>
        <w:rPr>
          <w:sz w:val="20"/>
          <w:szCs w:val="20"/>
          <w:color w:val="auto"/>
        </w:rPr>
      </w:pPr>
      <w:r>
        <w:rPr>
          <w:rFonts w:ascii="Arial" w:cs="Arial" w:eastAsia="Arial" w:hAnsi="Arial"/>
          <w:sz w:val="14"/>
          <w:szCs w:val="14"/>
          <w:color w:val="auto"/>
        </w:rPr>
        <w:t>At June 30, 2013 and September 30, 2012 and 2011, we had cash equivalents of $6.9 million, $3.8 million and $7.0 million, respectively, available for investing and general corporate purposes. We believe our liquidity and capital resources are sufficient to take advantage of market opportunities.</w:t>
      </w:r>
    </w:p>
    <w:p>
      <w:pPr>
        <w:spacing w:after="0" w:line="139" w:lineRule="exact"/>
        <w:rPr>
          <w:sz w:val="20"/>
          <w:szCs w:val="20"/>
          <w:color w:val="auto"/>
        </w:rPr>
      </w:pPr>
    </w:p>
    <w:p>
      <w:pPr>
        <w:ind w:right="40" w:firstLine="456"/>
        <w:spacing w:after="0" w:line="318" w:lineRule="auto"/>
        <w:rPr>
          <w:sz w:val="20"/>
          <w:szCs w:val="20"/>
          <w:color w:val="auto"/>
        </w:rPr>
      </w:pPr>
      <w:r>
        <w:rPr>
          <w:rFonts w:ascii="Arial" w:cs="Arial" w:eastAsia="Arial" w:hAnsi="Arial"/>
          <w:sz w:val="12"/>
          <w:szCs w:val="12"/>
          <w:color w:val="auto"/>
        </w:rPr>
        <w:t>Our operating activities used cash of $47.1 million for the nine months ended June 30, 2013, and our financing activities provided cash of $50.2 million for the same period. Our operating activities used cash primarily for our investment activity that was offset by our financing activities, which provided cash primarily from a public offering and net repayments under the Credit Facility.</w:t>
      </w:r>
    </w:p>
    <w:p>
      <w:pPr>
        <w:spacing w:after="0" w:line="94"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Our operating activities used cash of $28.9 million for the nine months ended June 30, 2012, and our financing activities provided cash of $25.2 million for the same period. Our operating activities used cash primarily for our investment activity that was financed by net draws under the Credit Facility.</w:t>
      </w:r>
    </w:p>
    <w:p>
      <w:pPr>
        <w:spacing w:after="0" w:line="139" w:lineRule="exact"/>
        <w:rPr>
          <w:sz w:val="20"/>
          <w:szCs w:val="20"/>
          <w:color w:val="auto"/>
        </w:rPr>
      </w:pPr>
    </w:p>
    <w:p>
      <w:pPr>
        <w:ind w:right="240" w:firstLine="456"/>
        <w:spacing w:after="0" w:line="239" w:lineRule="auto"/>
        <w:rPr>
          <w:sz w:val="20"/>
          <w:szCs w:val="20"/>
          <w:color w:val="auto"/>
        </w:rPr>
      </w:pPr>
      <w:r>
        <w:rPr>
          <w:rFonts w:ascii="Arial" w:cs="Arial" w:eastAsia="Arial" w:hAnsi="Arial"/>
          <w:sz w:val="14"/>
          <w:szCs w:val="14"/>
          <w:color w:val="auto"/>
        </w:rPr>
        <w:t>Our operating activities used cash of $47.8 million for the year ended September 30, 2012, and our financing activities provided net cash proceeds of $44.7 million for the same period. Our operating activities used cash primarily for our investment activity that was provided from net draws under the Credit Facility.</w:t>
      </w:r>
    </w:p>
    <w:p>
      <w:pPr>
        <w:spacing w:after="0" w:line="139"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Our operating activities used cash of $113.7 million for the period March 4, 2011 (commencement of operations) to September 30, 2011, and our financing activities provided net cash proceeds of $120.7 million for the same period. Our operating activities used cash primarily for our investment activity that was provided from, primarily, proceeds from our initial public offering of common stock and draws under our Credit Facility.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summary of our significant contractual payment obligations as of June 30, 2013, including borrowings under our Credit Facility and other contractual obligations, is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center"/>
              <w:ind w:left="252"/>
              <w:spacing w:after="0"/>
              <w:rPr>
                <w:sz w:val="20"/>
                <w:szCs w:val="20"/>
                <w:color w:val="auto"/>
              </w:rPr>
            </w:pPr>
            <w:r>
              <w:rPr>
                <w:rFonts w:ascii="Arial" w:cs="Arial" w:eastAsia="Arial" w:hAnsi="Arial"/>
                <w:sz w:val="14"/>
                <w:szCs w:val="14"/>
                <w:b w:val="1"/>
                <w:bCs w:val="1"/>
                <w:color w:val="auto"/>
                <w:w w:val="86"/>
              </w:rPr>
              <w:t>Payments due by period (in millions)</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Less than</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1 year</w:t>
            </w:r>
          </w:p>
        </w:tc>
        <w:tc>
          <w:tcPr>
            <w:tcW w:w="160" w:type="dxa"/>
            <w:vAlign w:val="bottom"/>
            <w:vMerge w:val="restart"/>
          </w:tcPr>
          <w:p>
            <w:pPr>
              <w:spacing w:after="0"/>
              <w:rPr>
                <w:sz w:val="11"/>
                <w:szCs w:val="11"/>
                <w:color w:val="auto"/>
              </w:rPr>
            </w:pPr>
          </w:p>
        </w:tc>
        <w:tc>
          <w:tcPr>
            <w:tcW w:w="5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years</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5 years</w:t>
            </w:r>
          </w:p>
        </w:tc>
        <w:tc>
          <w:tcPr>
            <w:tcW w:w="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vMerge w:val="continue"/>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040" w:type="dxa"/>
            <w:vAlign w:val="bottom"/>
            <w:shd w:val="clear" w:color="auto" w:fill="CCEEFF"/>
          </w:tcPr>
          <w:p>
            <w:pPr>
              <w:spacing w:after="0"/>
              <w:rPr>
                <w:sz w:val="20"/>
                <w:szCs w:val="20"/>
                <w:color w:val="auto"/>
              </w:rPr>
            </w:pPr>
            <w:r>
              <w:rPr>
                <w:rFonts w:ascii="Arial" w:cs="Arial" w:eastAsia="Arial" w:hAnsi="Arial"/>
                <w:sz w:val="14"/>
                <w:szCs w:val="14"/>
                <w:color w:val="auto"/>
              </w:rPr>
              <w:t>Credit Facility</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0"/>
              </w:rPr>
              <w:t>85.6</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2"/>
          <w:szCs w:val="12"/>
          <w:color w:val="auto"/>
        </w:rPr>
        <w:t>We have entered into certain contracts under which we have material future commitments. Under our Investment Management Agreement, which was re-approved by our board of directors, including a majority of our independent directors, in February 2013,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111" w:lineRule="exact"/>
        <w:rPr>
          <w:sz w:val="20"/>
          <w:szCs w:val="20"/>
          <w:color w:val="auto"/>
        </w:rPr>
      </w:pPr>
    </w:p>
    <w:p>
      <w:pPr>
        <w:jc w:val="both"/>
        <w:ind w:right="80" w:firstLine="456"/>
        <w:spacing w:after="0" w:line="278" w:lineRule="auto"/>
        <w:rPr>
          <w:sz w:val="20"/>
          <w:szCs w:val="20"/>
          <w:color w:val="auto"/>
        </w:rPr>
      </w:pPr>
      <w:r>
        <w:rPr>
          <w:rFonts w:ascii="Arial" w:cs="Arial" w:eastAsia="Arial" w:hAnsi="Arial"/>
          <w:sz w:val="12"/>
          <w:szCs w:val="12"/>
          <w:color w:val="auto"/>
        </w:rPr>
        <w:t>Under our Administration Agreement, which was re-approved by the board of directors, including a majority of our independent directors, in February 2013,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17" w:lineRule="exact"/>
        <w:rPr>
          <w:sz w:val="20"/>
          <w:szCs w:val="20"/>
          <w:color w:val="auto"/>
        </w:rPr>
      </w:pPr>
    </w:p>
    <w:p>
      <w:pPr>
        <w:jc w:val="both"/>
        <w:ind w:right="220" w:firstLine="456"/>
        <w:spacing w:after="0" w:line="233"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39" w:lineRule="exact"/>
        <w:rPr>
          <w:sz w:val="20"/>
          <w:szCs w:val="20"/>
          <w:color w:val="auto"/>
        </w:rPr>
      </w:pPr>
    </w:p>
    <w:p>
      <w:pPr>
        <w:ind w:right="140" w:firstLine="456"/>
        <w:spacing w:after="0" w:line="273"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 (b) upon our liquidation. Based on actual returns, we met the conditions for repayment to the Investment Adviser at the end of the quarter ended December 31, 2012 and repaid approximately $2.1 million to the Investment Adviser, which then used such amount to purchase shares of our common stock in the secondary market.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currently engage in no off-balance sheet arrangements, including any risk management of commodity pricing or other hedging practices.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w:t>
      </w:r>
    </w:p>
    <w:p>
      <w:pPr>
        <w:spacing w:after="0" w:line="15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2"/>
          <w:szCs w:val="12"/>
          <w:color w:val="auto"/>
        </w:rPr>
        <w:t>In order to qualify as a RIC and to not be subject to corporate-level tax on income, we are required, under Subchapter M of the Code, to distribute annually dividends of at least 90% of the sum of our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our capital gain net income (i.e., the excess, if any of capital gains over capital losses) for the one-year period ending on October 31 of the calendar year and (3) the sum of any net ordinary income and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net ordinary income to provide us with additional liquidity.</w:t>
      </w:r>
    </w:p>
    <w:p>
      <w:pPr>
        <w:spacing w:after="0" w:line="123" w:lineRule="exact"/>
        <w:rPr>
          <w:sz w:val="20"/>
          <w:szCs w:val="20"/>
          <w:color w:val="auto"/>
        </w:rPr>
      </w:pPr>
    </w:p>
    <w:p>
      <w:pPr>
        <w:ind w:right="60" w:firstLine="456"/>
        <w:spacing w:after="0" w:line="270" w:lineRule="auto"/>
        <w:rPr>
          <w:sz w:val="20"/>
          <w:szCs w:val="20"/>
          <w:color w:val="auto"/>
        </w:rPr>
      </w:pPr>
      <w:r>
        <w:rPr>
          <w:rFonts w:ascii="Arial" w:cs="Arial" w:eastAsia="Arial" w:hAnsi="Arial"/>
          <w:sz w:val="12"/>
          <w:szCs w:val="12"/>
          <w:color w:val="auto"/>
        </w:rPr>
        <w:t>During the three and nine months ended June 30, 2013, we declared to stockholders distributions of $0.263 and $0.765 per share, for total distributions of $2.7 million and $6.1 million, respectively. For the same periods in the prior year, we declared distributions of $0.235 and $0.670 per share, respectively, for total distributions of $1.6 million and $4.6 million, respectively. During the year ended September 30, 2012, we declared distributions of $0.91 per share for total distributions of $6.2 million. For the period March 4, 2011 (commencement of operations) to September 30, 2011, we declared distributions of $0.25 per share for a total distribution of $1.7 million.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continue to distribute monthly distributions to our stockholders. Our monthly distributions, if any, are determined by our board of directors quarterly.</w:t>
      </w:r>
    </w:p>
    <w:p>
      <w:pPr>
        <w:spacing w:after="0" w:line="150"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 We cannot assure stockholders that they will receive any dividends and distributions at a particular level.</w:t>
      </w:r>
    </w:p>
    <w:p>
      <w:pPr>
        <w:spacing w:after="0" w:line="139" w:lineRule="exact"/>
        <w:rPr>
          <w:sz w:val="20"/>
          <w:szCs w:val="20"/>
          <w:color w:val="auto"/>
        </w:rPr>
      </w:pPr>
    </w:p>
    <w:p>
      <w:pPr>
        <w:jc w:val="both"/>
        <w:ind w:right="60" w:firstLine="456"/>
        <w:spacing w:after="0" w:line="230" w:lineRule="auto"/>
        <w:rPr>
          <w:sz w:val="20"/>
          <w:szCs w:val="20"/>
          <w:color w:val="auto"/>
        </w:rPr>
      </w:pPr>
      <w:r>
        <w:rPr>
          <w:rFonts w:ascii="Arial" w:cs="Arial" w:eastAsia="Arial" w:hAnsi="Arial"/>
          <w:sz w:val="14"/>
          <w:szCs w:val="14"/>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w:t>
      </w:r>
    </w:p>
    <w:p>
      <w:pPr>
        <w:spacing w:after="0" w:line="152" w:lineRule="exact"/>
        <w:rPr>
          <w:sz w:val="20"/>
          <w:szCs w:val="20"/>
          <w:color w:val="auto"/>
        </w:rPr>
      </w:pPr>
    </w:p>
    <w:p>
      <w:pPr>
        <w:ind w:right="120" w:firstLine="799"/>
        <w:spacing w:after="0" w:line="239" w:lineRule="auto"/>
        <w:rPr>
          <w:sz w:val="20"/>
          <w:szCs w:val="20"/>
          <w:color w:val="auto"/>
        </w:rPr>
      </w:pPr>
      <w:r>
        <w:rPr>
          <w:rFonts w:ascii="Arial" w:cs="Arial" w:eastAsia="Arial" w:hAnsi="Arial"/>
          <w:sz w:val="14"/>
          <w:szCs w:val="14"/>
          <w:color w:val="auto"/>
        </w:rPr>
        <w:t>In connection with our July 2013 public offering, we issued approximately 4.6 million shares (including underwriters’ overallotment option) of common stock at a public offering price of $14.20 per share, raising approximately $65.1 million in gross proceeds.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Quantitative And Qualitative Disclosures About Market Risk</w:t>
      </w:r>
    </w:p>
    <w:p>
      <w:pPr>
        <w:spacing w:after="0" w:line="152"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We are subject to financial market risks, including changes in interest rates. As of June 30, 2013, our debt portfolio consisted of 91% variable-rate investments (including 88% with a LIBOR or prime floor) and 9%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40"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Assuming that the most recent statement of assets and liabilities was to remain constant, and no actions were taken to alter the existing interest rate sensitivity, the following table shows the annualized impact of hypothetical base rate changes in interest rates.</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6020" w:type="dxa"/>
            <w:vAlign w:val="bottom"/>
            <w:gridSpan w:val="3"/>
          </w:tcPr>
          <w:p>
            <w:pPr>
              <w:jc w:val="center"/>
              <w:ind w:left="3892"/>
              <w:spacing w:after="0"/>
              <w:rPr>
                <w:sz w:val="20"/>
                <w:szCs w:val="20"/>
                <w:color w:val="auto"/>
              </w:rPr>
            </w:pPr>
            <w:r>
              <w:rPr>
                <w:rFonts w:ascii="Arial" w:cs="Arial" w:eastAsia="Arial" w:hAnsi="Arial"/>
                <w:sz w:val="14"/>
                <w:szCs w:val="14"/>
                <w:b w:val="1"/>
                <w:bCs w:val="1"/>
                <w:color w:val="auto"/>
                <w:w w:val="90"/>
              </w:rPr>
              <w:t>Change In Interest</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Change In Interest Rates</w:t>
            </w:r>
          </w:p>
        </w:tc>
        <w:tc>
          <w:tcPr>
            <w:tcW w:w="4440" w:type="dxa"/>
            <w:vAlign w:val="bottom"/>
          </w:tcPr>
          <w:p>
            <w:pPr>
              <w:spacing w:after="0"/>
              <w:rPr>
                <w:sz w:val="12"/>
                <w:szCs w:val="12"/>
                <w:color w:val="auto"/>
              </w:rPr>
            </w:pPr>
          </w:p>
        </w:tc>
        <w:tc>
          <w:tcPr>
            <w:tcW w:w="15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Income, Net Of</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540" w:type="dxa"/>
            <w:vAlign w:val="bottom"/>
            <w:tcBorders>
              <w:bottom w:val="single" w:sz="8" w:color="auto"/>
            </w:tcBorders>
            <w:vMerge w:val="continue"/>
          </w:tcPr>
          <w:p>
            <w:pPr>
              <w:spacing w:after="0"/>
              <w:rPr>
                <w:sz w:val="14"/>
                <w:szCs w:val="14"/>
                <w:color w:val="auto"/>
              </w:rPr>
            </w:pPr>
          </w:p>
        </w:tc>
        <w:tc>
          <w:tcPr>
            <w:tcW w:w="4440" w:type="dxa"/>
            <w:vAlign w:val="bottom"/>
          </w:tcPr>
          <w:p>
            <w:pPr>
              <w:spacing w:after="0"/>
              <w:rPr>
                <w:sz w:val="14"/>
                <w:szCs w:val="14"/>
                <w:color w:val="auto"/>
              </w:rPr>
            </w:pPr>
          </w:p>
        </w:tc>
        <w:tc>
          <w:tcPr>
            <w:tcW w:w="158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5"/>
              </w:rPr>
              <w:t>Interest Expense</w:t>
            </w:r>
          </w:p>
        </w:tc>
        <w:tc>
          <w:tcPr>
            <w:tcW w:w="1120" w:type="dxa"/>
            <w:vAlign w:val="bottom"/>
            <w:gridSpan w:val="4"/>
          </w:tcPr>
          <w:p>
            <w:pPr>
              <w:ind w:left="460"/>
              <w:spacing w:after="0" w:line="148" w:lineRule="exact"/>
              <w:rPr>
                <w:sz w:val="20"/>
                <w:szCs w:val="20"/>
                <w:color w:val="auto"/>
              </w:rPr>
            </w:pPr>
            <w:r>
              <w:rPr>
                <w:rFonts w:ascii="Arial" w:cs="Arial" w:eastAsia="Arial" w:hAnsi="Arial"/>
                <w:sz w:val="14"/>
                <w:szCs w:val="14"/>
                <w:b w:val="1"/>
                <w:bCs w:val="1"/>
                <w:color w:val="auto"/>
                <w:w w:val="97"/>
              </w:rPr>
              <w:t>Per Share</w:t>
            </w:r>
          </w:p>
        </w:tc>
        <w:tc>
          <w:tcPr>
            <w:tcW w:w="0" w:type="dxa"/>
            <w:vAlign w:val="bottom"/>
          </w:tcPr>
          <w:p>
            <w:pPr>
              <w:spacing w:after="0"/>
              <w:rPr>
                <w:sz w:val="1"/>
                <w:szCs w:val="1"/>
                <w:color w:val="auto"/>
              </w:rPr>
            </w:pPr>
          </w:p>
        </w:tc>
      </w:tr>
      <w:tr>
        <w:trPr>
          <w:trHeight w:val="136"/>
        </w:trPr>
        <w:tc>
          <w:tcPr>
            <w:tcW w:w="1540" w:type="dxa"/>
            <w:vAlign w:val="bottom"/>
            <w:tcBorders>
              <w:top w:val="single" w:sz="8" w:color="CCEEFF"/>
            </w:tcBorders>
            <w:shd w:val="clear" w:color="auto" w:fill="CCEEFF"/>
          </w:tcPr>
          <w:p>
            <w:pPr>
              <w:spacing w:after="0" w:line="136" w:lineRule="exact"/>
              <w:rPr>
                <w:sz w:val="20"/>
                <w:szCs w:val="20"/>
                <w:color w:val="auto"/>
              </w:rPr>
            </w:pPr>
            <w:r>
              <w:rPr>
                <w:rFonts w:ascii="Arial" w:cs="Arial" w:eastAsia="Arial" w:hAnsi="Arial"/>
                <w:sz w:val="14"/>
                <w:szCs w:val="14"/>
                <w:color w:val="auto"/>
              </w:rPr>
              <w:t>Up 1%</w:t>
            </w:r>
          </w:p>
        </w:tc>
        <w:tc>
          <w:tcPr>
            <w:tcW w:w="444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(760,458)</w:t>
            </w:r>
          </w:p>
        </w:tc>
        <w:tc>
          <w:tcPr>
            <w:tcW w:w="4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(0.07)</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Up 2%</w:t>
            </w:r>
          </w:p>
        </w:tc>
        <w:tc>
          <w:tcPr>
            <w:tcW w:w="5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144,173</w:t>
            </w:r>
          </w:p>
        </w:tc>
        <w:tc>
          <w:tcPr>
            <w:tcW w:w="480" w:type="dxa"/>
            <w:vAlign w:val="bottom"/>
          </w:tcPr>
          <w:p>
            <w:pPr>
              <w:spacing w:after="0"/>
              <w:rPr>
                <w:sz w:val="12"/>
                <w:szCs w:val="12"/>
                <w:color w:val="auto"/>
              </w:rPr>
            </w:pPr>
          </w:p>
        </w:tc>
        <w:tc>
          <w:tcPr>
            <w:tcW w:w="64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Up 3%</w:t>
            </w:r>
          </w:p>
        </w:tc>
        <w:tc>
          <w:tcPr>
            <w:tcW w:w="5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1,635,040</w:t>
            </w:r>
          </w:p>
        </w:tc>
        <w:tc>
          <w:tcPr>
            <w:tcW w:w="4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540" w:type="dxa"/>
            <w:vAlign w:val="bottom"/>
          </w:tcPr>
          <w:p>
            <w:pPr>
              <w:spacing w:after="0"/>
              <w:rPr>
                <w:sz w:val="20"/>
                <w:szCs w:val="20"/>
                <w:color w:val="auto"/>
              </w:rPr>
            </w:pPr>
            <w:r>
              <w:rPr>
                <w:rFonts w:ascii="Arial" w:cs="Arial" w:eastAsia="Arial" w:hAnsi="Arial"/>
                <w:sz w:val="14"/>
                <w:szCs w:val="14"/>
                <w:color w:val="auto"/>
              </w:rPr>
              <w:t>Up 4%</w:t>
            </w:r>
          </w:p>
        </w:tc>
        <w:tc>
          <w:tcPr>
            <w:tcW w:w="5540" w:type="dxa"/>
            <w:vAlign w:val="bottom"/>
            <w:gridSpan w:val="2"/>
          </w:tcPr>
          <w:p>
            <w:pPr>
              <w:jc w:val="right"/>
              <w:spacing w:after="0"/>
              <w:rPr>
                <w:sz w:val="20"/>
                <w:szCs w:val="20"/>
                <w:color w:val="auto"/>
              </w:rPr>
            </w:pPr>
            <w:r>
              <w:rPr>
                <w:rFonts w:ascii="Arial" w:cs="Arial" w:eastAsia="Arial" w:hAnsi="Arial"/>
                <w:sz w:val="14"/>
                <w:szCs w:val="14"/>
                <w:color w:val="auto"/>
              </w:rPr>
              <w:t>3,125,906</w:t>
            </w:r>
          </w:p>
        </w:tc>
        <w:tc>
          <w:tcPr>
            <w:tcW w:w="480" w:type="dxa"/>
            <w:vAlign w:val="bottom"/>
          </w:tcPr>
          <w:p>
            <w:pPr>
              <w:spacing w:after="0"/>
              <w:rPr>
                <w:sz w:val="14"/>
                <w:szCs w:val="14"/>
                <w:color w:val="auto"/>
              </w:rPr>
            </w:pPr>
          </w:p>
        </w:tc>
        <w:tc>
          <w:tcPr>
            <w:tcW w:w="64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0.30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the statement above.</w:t>
      </w:r>
    </w:p>
    <w:p>
      <w:pPr>
        <w:spacing w:after="0" w:line="139" w:lineRule="exact"/>
        <w:rPr>
          <w:sz w:val="20"/>
          <w:szCs w:val="20"/>
          <w:color w:val="auto"/>
        </w:rPr>
      </w:pPr>
    </w:p>
    <w:p>
      <w:pPr>
        <w:ind w:right="160" w:firstLine="456"/>
        <w:spacing w:after="0" w:line="318" w:lineRule="auto"/>
        <w:rPr>
          <w:sz w:val="20"/>
          <w:szCs w:val="20"/>
          <w:color w:val="auto"/>
        </w:rPr>
      </w:pPr>
      <w:r>
        <w:rPr>
          <w:rFonts w:ascii="Arial" w:cs="Arial" w:eastAsia="Arial" w:hAnsi="Arial"/>
          <w:sz w:val="12"/>
          <w:szCs w:val="12"/>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94"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SENIOR SECURITIES</w:t>
      </w:r>
    </w:p>
    <w:p>
      <w:pPr>
        <w:spacing w:after="0" w:line="152" w:lineRule="exact"/>
        <w:rPr>
          <w:sz w:val="20"/>
          <w:szCs w:val="20"/>
          <w:color w:val="auto"/>
        </w:rPr>
      </w:pPr>
    </w:p>
    <w:p>
      <w:pPr>
        <w:ind w:right="100" w:firstLine="456"/>
        <w:spacing w:after="0" w:line="230" w:lineRule="auto"/>
        <w:rPr>
          <w:sz w:val="20"/>
          <w:szCs w:val="20"/>
          <w:color w:val="auto"/>
        </w:rPr>
      </w:pPr>
      <w:r>
        <w:rPr>
          <w:rFonts w:ascii="Arial" w:cs="Arial" w:eastAsia="Arial" w:hAnsi="Arial"/>
          <w:sz w:val="14"/>
          <w:szCs w:val="14"/>
          <w:color w:val="auto"/>
        </w:rPr>
        <w:t>Information about our senior securities shown in the following table as of June 30, 2013 has been derived from our unaudited Consolidated Financial Statements. Information about our senior securities shown in the following table as of September 30, 2012 and 2011 has been derived from our Consolidated Financial Statements which have been audited by KPMG LLP, an independent registered public accounting firm. This information about our senior securities should be read in conjunction with our Consolidated Financial Statements and related notes thereto and “Management’s Discussion and Analysis of Financial Condition and Results of Operations” for more information.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8"/>
              </w:rPr>
              <w:t>Asset</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4"/>
        </w:trPr>
        <w:tc>
          <w:tcPr>
            <w:tcW w:w="6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Coverage</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Total Amount</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1"/>
                <w:szCs w:val="11"/>
                <w:b w:val="1"/>
                <w:bCs w:val="1"/>
                <w:color w:val="auto"/>
              </w:rPr>
              <w:t xml:space="preserve">per Unit </w:t>
            </w:r>
            <w:r>
              <w:rPr>
                <w:rFonts w:ascii="Arial" w:cs="Arial" w:eastAsia="Arial" w:hAnsi="Arial"/>
                <w:sz w:val="17"/>
                <w:szCs w:val="17"/>
                <w:b w:val="1"/>
                <w:bCs w:val="1"/>
                <w:color w:val="auto"/>
                <w:vertAlign w:val="superscript"/>
              </w:rPr>
              <w:t>(2)</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Per</w:t>
            </w:r>
          </w:p>
        </w:tc>
        <w:tc>
          <w:tcPr>
            <w:tcW w:w="0" w:type="dxa"/>
            <w:vAlign w:val="bottom"/>
          </w:tcPr>
          <w:p>
            <w:pPr>
              <w:spacing w:after="0"/>
              <w:rPr>
                <w:sz w:val="1"/>
                <w:szCs w:val="1"/>
                <w:color w:val="auto"/>
              </w:rPr>
            </w:pPr>
          </w:p>
        </w:tc>
      </w:tr>
      <w:tr>
        <w:trPr>
          <w:trHeight w:val="189"/>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Class and Year</w:t>
            </w:r>
          </w:p>
        </w:tc>
        <w:tc>
          <w:tcPr>
            <w:tcW w:w="1720" w:type="dxa"/>
            <w:vAlign w:val="bottom"/>
            <w:gridSpan w:val="2"/>
          </w:tcPr>
          <w:p>
            <w:pPr>
              <w:jc w:val="center"/>
              <w:ind w:right="160"/>
              <w:spacing w:after="0" w:line="189" w:lineRule="exact"/>
              <w:rPr>
                <w:sz w:val="20"/>
                <w:szCs w:val="20"/>
                <w:color w:val="auto"/>
              </w:rPr>
            </w:pPr>
            <w:r>
              <w:rPr>
                <w:rFonts w:ascii="Arial" w:cs="Arial" w:eastAsia="Arial" w:hAnsi="Arial"/>
                <w:sz w:val="13"/>
                <w:szCs w:val="13"/>
                <w:b w:val="1"/>
                <w:bCs w:val="1"/>
                <w:color w:val="auto"/>
                <w:w w:val="90"/>
              </w:rPr>
              <w:t xml:space="preserve">Outstanding </w:t>
            </w:r>
            <w:r>
              <w:rPr>
                <w:rFonts w:ascii="Arial" w:cs="Arial" w:eastAsia="Arial" w:hAnsi="Arial"/>
                <w:sz w:val="21"/>
                <w:szCs w:val="21"/>
                <w:b w:val="1"/>
                <w:bCs w:val="1"/>
                <w:color w:val="auto"/>
                <w:w w:val="90"/>
                <w:vertAlign w:val="superscript"/>
              </w:rPr>
              <w:t>(1)</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(unaudited)</w:t>
            </w:r>
          </w:p>
        </w:tc>
        <w:tc>
          <w:tcPr>
            <w:tcW w:w="16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1"/>
              </w:rPr>
              <w:t xml:space="preserve">Unit </w:t>
            </w:r>
            <w:r>
              <w:rPr>
                <w:rFonts w:ascii="Arial" w:cs="Arial" w:eastAsia="Arial" w:hAnsi="Arial"/>
                <w:sz w:val="21"/>
                <w:szCs w:val="21"/>
                <w:b w:val="1"/>
                <w:bCs w:val="1"/>
                <w:color w:val="auto"/>
                <w:w w:val="91"/>
                <w:vertAlign w:val="superscript"/>
              </w:rPr>
              <w:t>(3)</w:t>
            </w:r>
          </w:p>
        </w:tc>
        <w:tc>
          <w:tcPr>
            <w:tcW w:w="0" w:type="dxa"/>
            <w:vAlign w:val="bottom"/>
          </w:tcPr>
          <w:p>
            <w:pPr>
              <w:spacing w:after="0"/>
              <w:rPr>
                <w:sz w:val="1"/>
                <w:szCs w:val="1"/>
                <w:color w:val="auto"/>
              </w:rPr>
            </w:pPr>
          </w:p>
        </w:tc>
      </w:tr>
      <w:tr>
        <w:trPr>
          <w:trHeight w:val="142"/>
        </w:trPr>
        <w:tc>
          <w:tcPr>
            <w:tcW w:w="6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Credit Facility</w:t>
            </w:r>
          </w:p>
        </w:tc>
        <w:tc>
          <w:tcPr>
            <w:tcW w:w="12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300" w:type="dxa"/>
            <w:vAlign w:val="bottom"/>
            <w:gridSpan w:val="2"/>
          </w:tcPr>
          <w:p>
            <w:pPr>
              <w:spacing w:after="0"/>
              <w:rPr>
                <w:sz w:val="20"/>
                <w:szCs w:val="20"/>
                <w:color w:val="auto"/>
              </w:rPr>
            </w:pPr>
            <w:r>
              <w:rPr>
                <w:rFonts w:ascii="Arial" w:cs="Arial" w:eastAsia="Arial" w:hAnsi="Arial"/>
                <w:sz w:val="14"/>
                <w:szCs w:val="14"/>
                <w:color w:val="auto"/>
              </w:rPr>
              <w:t>Fiscal 2013 (as of June 30, 2013)</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w w:val="86"/>
              </w:rPr>
              <w:t>$85,600</w:t>
            </w:r>
          </w:p>
        </w:tc>
        <w:tc>
          <w:tcPr>
            <w:tcW w:w="12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88"/>
              </w:rPr>
              <w:t>$2,683</w:t>
            </w:r>
          </w:p>
        </w:tc>
        <w:tc>
          <w:tcPr>
            <w:tcW w:w="10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44"/>
        </w:trPr>
        <w:tc>
          <w:tcPr>
            <w:tcW w:w="6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Fiscal 2012</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6"/>
              </w:rPr>
              <w:t>$75,500</w:t>
            </w:r>
          </w:p>
        </w:tc>
        <w:tc>
          <w:tcPr>
            <w:tcW w:w="12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8"/>
              </w:rPr>
              <w:t>$2,275</w:t>
            </w: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2"/>
        </w:trPr>
        <w:tc>
          <w:tcPr>
            <w:tcW w:w="6300" w:type="dxa"/>
            <w:vAlign w:val="bottom"/>
            <w:gridSpan w:val="2"/>
          </w:tcPr>
          <w:p>
            <w:pPr>
              <w:spacing w:after="0"/>
              <w:rPr>
                <w:sz w:val="20"/>
                <w:szCs w:val="20"/>
                <w:color w:val="auto"/>
              </w:rPr>
            </w:pPr>
            <w:r>
              <w:rPr>
                <w:rFonts w:ascii="Arial" w:cs="Arial" w:eastAsia="Arial" w:hAnsi="Arial"/>
                <w:sz w:val="14"/>
                <w:szCs w:val="14"/>
                <w:color w:val="auto"/>
              </w:rPr>
              <w:t>Fiscal 2011</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w w:val="86"/>
              </w:rPr>
              <w:t>$24,650</w:t>
            </w:r>
          </w:p>
        </w:tc>
        <w:tc>
          <w:tcPr>
            <w:tcW w:w="12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88"/>
              </w:rPr>
              <w:t>$4,735</w:t>
            </w:r>
          </w:p>
        </w:tc>
        <w:tc>
          <w:tcPr>
            <w:tcW w:w="10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57"/>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15176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Total cost of each class of senior securities outstanding at the end of the period presented in thousands (000s).</w:t>
      </w:r>
    </w:p>
    <w:p>
      <w:pPr>
        <w:ind w:left="460" w:right="280" w:hanging="452"/>
        <w:spacing w:after="0" w:line="258" w:lineRule="auto"/>
        <w:tabs>
          <w:tab w:leader="none" w:pos="4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ind w:left="460" w:hanging="45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Not applicable, as senior securities are not registered for public trading.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PRICE RANGE OF COMMON STOCK</w:t>
      </w:r>
    </w:p>
    <w:p>
      <w:pPr>
        <w:spacing w:after="0" w:line="152"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Our common stock is traded on the NASDAQ Global Select Market under the symbol “PFLT.” The following table lists the high and low closing sale price for our common stock, the closing sale price as a percentage of net asset value, or NAV, and monthly distributions per share since April 8, 2011 (initial public offering). On September 13, 2013, the last reported closing price of our common stock was $13.61 per share.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Premium/</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Premium/</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(Discount) of</w:t>
            </w: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High Closing</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Low Closing</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4"/>
          </w:tcPr>
          <w:p>
            <w:pPr>
              <w:ind w:left="260"/>
              <w:spacing w:after="0" w:line="145" w:lineRule="exact"/>
              <w:rPr>
                <w:sz w:val="20"/>
                <w:szCs w:val="20"/>
                <w:color w:val="auto"/>
              </w:rPr>
            </w:pPr>
            <w:r>
              <w:rPr>
                <w:rFonts w:ascii="Arial" w:cs="Arial" w:eastAsia="Arial" w:hAnsi="Arial"/>
                <w:sz w:val="14"/>
                <w:szCs w:val="14"/>
                <w:b w:val="1"/>
                <w:bCs w:val="1"/>
                <w:color w:val="auto"/>
              </w:rPr>
              <w:t>Closing Price</w:t>
            </w:r>
          </w:p>
        </w:tc>
        <w:tc>
          <w:tcPr>
            <w:tcW w:w="12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85"/>
              </w:rPr>
              <w:t>Price to</w:t>
            </w:r>
          </w:p>
        </w:tc>
        <w:tc>
          <w:tcPr>
            <w:tcW w:w="122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89"/>
              </w:rPr>
              <w:t>Price to</w:t>
            </w:r>
          </w:p>
        </w:tc>
        <w:tc>
          <w:tcPr>
            <w:tcW w:w="9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87"/>
              </w:rPr>
              <w:t>Period</w:t>
            </w:r>
          </w:p>
        </w:tc>
        <w:tc>
          <w:tcPr>
            <w:tcW w:w="36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0"/>
                <w:szCs w:val="10"/>
                <w:b w:val="1"/>
                <w:bCs w:val="1"/>
                <w:color w:val="auto"/>
              </w:rPr>
              <w:t>NAV</w:t>
            </w:r>
            <w:r>
              <w:rPr>
                <w:rFonts w:ascii="Arial" w:cs="Arial" w:eastAsia="Arial" w:hAnsi="Arial"/>
                <w:sz w:val="15"/>
                <w:szCs w:val="15"/>
                <w:b w:val="1"/>
                <w:bCs w:val="1"/>
                <w:color w:val="auto"/>
                <w:vertAlign w:val="superscript"/>
              </w:rPr>
              <w:t>(1)</w:t>
            </w:r>
          </w:p>
        </w:tc>
        <w:tc>
          <w:tcPr>
            <w:tcW w:w="180" w:type="dxa"/>
            <w:vAlign w:val="bottom"/>
          </w:tcPr>
          <w:p>
            <w:pPr>
              <w:spacing w:after="0"/>
              <w:rPr>
                <w:sz w:val="13"/>
                <w:szCs w:val="13"/>
                <w:color w:val="auto"/>
              </w:rPr>
            </w:pPr>
          </w:p>
        </w:tc>
        <w:tc>
          <w:tcPr>
            <w:tcW w:w="900" w:type="dxa"/>
            <w:vAlign w:val="bottom"/>
            <w:tcBorders>
              <w:top w:val="single" w:sz="8" w:color="auto"/>
            </w:tcBorders>
            <w:gridSpan w:val="2"/>
          </w:tcPr>
          <w:p>
            <w:pPr>
              <w:jc w:val="right"/>
              <w:ind w:right="560"/>
              <w:spacing w:after="0" w:line="135" w:lineRule="exact"/>
              <w:rPr>
                <w:sz w:val="20"/>
                <w:szCs w:val="20"/>
                <w:color w:val="auto"/>
              </w:rPr>
            </w:pPr>
            <w:r>
              <w:rPr>
                <w:rFonts w:ascii="Arial" w:cs="Arial" w:eastAsia="Arial" w:hAnsi="Arial"/>
                <w:sz w:val="14"/>
                <w:szCs w:val="14"/>
                <w:b w:val="1"/>
                <w:bCs w:val="1"/>
                <w:color w:val="auto"/>
              </w:rPr>
              <w:t>High</w:t>
            </w:r>
          </w:p>
        </w:tc>
        <w:tc>
          <w:tcPr>
            <w:tcW w:w="3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Low</w:t>
            </w:r>
          </w:p>
        </w:tc>
        <w:tc>
          <w:tcPr>
            <w:tcW w:w="340" w:type="dxa"/>
            <w:vAlign w:val="bottom"/>
          </w:tcPr>
          <w:p>
            <w:pPr>
              <w:spacing w:after="0"/>
              <w:rPr>
                <w:sz w:val="13"/>
                <w:szCs w:val="13"/>
                <w:color w:val="auto"/>
              </w:rPr>
            </w:pPr>
          </w:p>
        </w:tc>
        <w:tc>
          <w:tcPr>
            <w:tcW w:w="1220" w:type="dxa"/>
            <w:vAlign w:val="bottom"/>
            <w:gridSpan w:val="2"/>
          </w:tcPr>
          <w:p>
            <w:pPr>
              <w:jc w:val="center"/>
              <w:ind w:right="420"/>
              <w:spacing w:after="0" w:line="135" w:lineRule="exact"/>
              <w:rPr>
                <w:sz w:val="20"/>
                <w:szCs w:val="20"/>
                <w:color w:val="auto"/>
              </w:rPr>
            </w:pPr>
            <w:r>
              <w:rPr>
                <w:rFonts w:ascii="Arial" w:cs="Arial" w:eastAsia="Arial" w:hAnsi="Arial"/>
                <w:sz w:val="10"/>
                <w:szCs w:val="10"/>
                <w:b w:val="1"/>
                <w:bCs w:val="1"/>
                <w:color w:val="auto"/>
              </w:rPr>
              <w:t xml:space="preserve">NAV </w:t>
            </w:r>
            <w:r>
              <w:rPr>
                <w:rFonts w:ascii="Arial" w:cs="Arial" w:eastAsia="Arial" w:hAnsi="Arial"/>
                <w:sz w:val="15"/>
                <w:szCs w:val="15"/>
                <w:b w:val="1"/>
                <w:bCs w:val="1"/>
                <w:color w:val="auto"/>
                <w:vertAlign w:val="superscript"/>
              </w:rPr>
              <w:t>(2)</w:t>
            </w:r>
          </w:p>
        </w:tc>
        <w:tc>
          <w:tcPr>
            <w:tcW w:w="1220" w:type="dxa"/>
            <w:vAlign w:val="bottom"/>
            <w:gridSpan w:val="2"/>
          </w:tcPr>
          <w:p>
            <w:pPr>
              <w:jc w:val="center"/>
              <w:ind w:right="440"/>
              <w:spacing w:after="0" w:line="135" w:lineRule="exact"/>
              <w:rPr>
                <w:sz w:val="20"/>
                <w:szCs w:val="20"/>
                <w:color w:val="auto"/>
              </w:rPr>
            </w:pPr>
            <w:r>
              <w:rPr>
                <w:rFonts w:ascii="Arial" w:cs="Arial" w:eastAsia="Arial" w:hAnsi="Arial"/>
                <w:sz w:val="10"/>
                <w:szCs w:val="10"/>
                <w:b w:val="1"/>
                <w:bCs w:val="1"/>
                <w:color w:val="auto"/>
              </w:rPr>
              <w:t xml:space="preserve">NAV </w:t>
            </w:r>
            <w:r>
              <w:rPr>
                <w:rFonts w:ascii="Arial" w:cs="Arial" w:eastAsia="Arial" w:hAnsi="Arial"/>
                <w:sz w:val="15"/>
                <w:szCs w:val="15"/>
                <w:b w:val="1"/>
                <w:bCs w:val="1"/>
                <w:color w:val="auto"/>
                <w:vertAlign w:val="superscript"/>
              </w:rPr>
              <w:t>(2)</w:t>
            </w:r>
          </w:p>
        </w:tc>
        <w:tc>
          <w:tcPr>
            <w:tcW w:w="100" w:type="dxa"/>
            <w:vAlign w:val="bottom"/>
          </w:tcPr>
          <w:p>
            <w:pPr>
              <w:spacing w:after="0"/>
              <w:rPr>
                <w:sz w:val="13"/>
                <w:szCs w:val="13"/>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36"/>
        </w:trPr>
        <w:tc>
          <w:tcPr>
            <w:tcW w:w="40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Fiscal year ending September 30, 2013</w:t>
            </w:r>
          </w:p>
        </w:tc>
        <w:tc>
          <w:tcPr>
            <w:tcW w:w="16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40" w:type="dxa"/>
            <w:vAlign w:val="bottom"/>
            <w:gridSpan w:val="2"/>
          </w:tcPr>
          <w:p>
            <w:pPr>
              <w:spacing w:after="0"/>
              <w:rPr>
                <w:sz w:val="20"/>
                <w:szCs w:val="20"/>
                <w:color w:val="auto"/>
              </w:rPr>
            </w:pPr>
            <w:r>
              <w:rPr>
                <w:rFonts w:ascii="Arial" w:cs="Arial" w:eastAsia="Arial" w:hAnsi="Arial"/>
                <w:sz w:val="14"/>
                <w:szCs w:val="14"/>
                <w:color w:val="auto"/>
              </w:rPr>
              <w:t>Fourth quarter (through September 13, 2013)</w:t>
            </w:r>
          </w:p>
        </w:tc>
        <w:tc>
          <w:tcPr>
            <w:tcW w:w="2200" w:type="dxa"/>
            <w:vAlign w:val="bottom"/>
            <w:gridSpan w:val="3"/>
          </w:tcPr>
          <w:p>
            <w:pPr>
              <w:jc w:val="right"/>
              <w:ind w:right="160"/>
              <w:spacing w:after="0"/>
              <w:rPr>
                <w:sz w:val="20"/>
                <w:szCs w:val="20"/>
                <w:color w:val="auto"/>
              </w:rPr>
            </w:pPr>
            <w:r>
              <w:rPr>
                <w:rFonts w:ascii="Arial" w:cs="Arial" w:eastAsia="Arial" w:hAnsi="Arial"/>
                <w:sz w:val="14"/>
                <w:szCs w:val="14"/>
                <w:color w:val="auto"/>
              </w:rPr>
              <w:t>$  N/A</w:t>
            </w:r>
          </w:p>
        </w:tc>
        <w:tc>
          <w:tcPr>
            <w:tcW w:w="1080" w:type="dxa"/>
            <w:vAlign w:val="bottom"/>
            <w:gridSpan w:val="3"/>
          </w:tcPr>
          <w:p>
            <w:pPr>
              <w:jc w:val="right"/>
              <w:ind w:right="520"/>
              <w:spacing w:after="0"/>
              <w:rPr>
                <w:sz w:val="20"/>
                <w:szCs w:val="20"/>
                <w:color w:val="auto"/>
              </w:rPr>
            </w:pPr>
            <w:r>
              <w:rPr>
                <w:rFonts w:ascii="Arial" w:cs="Arial" w:eastAsia="Arial" w:hAnsi="Arial"/>
                <w:sz w:val="14"/>
                <w:szCs w:val="14"/>
                <w:color w:val="auto"/>
              </w:rPr>
              <w:t>$14.60</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w w:val="83"/>
              </w:rPr>
              <w:t>$13.01</w:t>
            </w: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N/A%</w:t>
            </w: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300"/>
              <w:spacing w:after="0" w:line="162" w:lineRule="exact"/>
              <w:rPr>
                <w:sz w:val="20"/>
                <w:szCs w:val="20"/>
                <w:color w:val="auto"/>
              </w:rPr>
            </w:pPr>
            <w:r>
              <w:rPr>
                <w:rFonts w:ascii="Arial" w:cs="Arial" w:eastAsia="Arial" w:hAnsi="Arial"/>
                <w:sz w:val="12"/>
                <w:szCs w:val="12"/>
                <w:color w:val="auto"/>
              </w:rPr>
              <w:t>0.2625</w:t>
            </w:r>
            <w:r>
              <w:rPr>
                <w:rFonts w:ascii="Arial" w:cs="Arial" w:eastAsia="Arial" w:hAnsi="Arial"/>
                <w:sz w:val="18"/>
                <w:szCs w:val="18"/>
                <w:color w:val="auto"/>
                <w:vertAlign w:val="superscript"/>
              </w:rPr>
              <w:t>(3)</w:t>
            </w: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Third quarter</w:t>
            </w:r>
          </w:p>
        </w:tc>
        <w:tc>
          <w:tcPr>
            <w:tcW w:w="2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13.98</w:t>
            </w:r>
          </w:p>
        </w:tc>
        <w:tc>
          <w:tcPr>
            <w:tcW w:w="1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14.90</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13.82</w:t>
            </w:r>
          </w:p>
        </w:tc>
        <w:tc>
          <w:tcPr>
            <w:tcW w:w="12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w:t>
            </w:r>
          </w:p>
        </w:tc>
        <w:tc>
          <w:tcPr>
            <w:tcW w:w="12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0.2625</w:t>
            </w: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Second quarter</w:t>
            </w:r>
          </w:p>
        </w:tc>
        <w:tc>
          <w:tcPr>
            <w:tcW w:w="2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14.10</w:t>
            </w:r>
          </w:p>
        </w:tc>
        <w:tc>
          <w:tcPr>
            <w:tcW w:w="160" w:type="dxa"/>
            <w:vAlign w:val="bottom"/>
          </w:tcPr>
          <w:p>
            <w:pPr>
              <w:spacing w:after="0"/>
              <w:rPr>
                <w:sz w:val="12"/>
                <w:szCs w:val="12"/>
                <w:color w:val="auto"/>
              </w:rPr>
            </w:pPr>
          </w:p>
        </w:tc>
        <w:tc>
          <w:tcPr>
            <w:tcW w:w="10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14.43</w:t>
            </w: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12.94</w:t>
            </w: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w:t>
            </w: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8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0.2550</w:t>
            </w: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 quarter</w:t>
            </w:r>
          </w:p>
        </w:tc>
        <w:tc>
          <w:tcPr>
            <w:tcW w:w="2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13.99</w:t>
            </w:r>
          </w:p>
        </w:tc>
        <w:tc>
          <w:tcPr>
            <w:tcW w:w="1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13.30</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12.35</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w:t>
            </w:r>
          </w:p>
        </w:tc>
        <w:tc>
          <w:tcPr>
            <w:tcW w:w="12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0.2475</w:t>
            </w: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Fiscal year ended September 30, 2012</w:t>
            </w:r>
          </w:p>
        </w:tc>
        <w:tc>
          <w:tcPr>
            <w:tcW w:w="1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Fourth quarter</w:t>
            </w:r>
          </w:p>
        </w:tc>
        <w:tc>
          <w:tcPr>
            <w:tcW w:w="2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13.98</w:t>
            </w:r>
          </w:p>
        </w:tc>
        <w:tc>
          <w:tcPr>
            <w:tcW w:w="1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13.03</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11.85</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w:t>
            </w:r>
          </w:p>
        </w:tc>
        <w:tc>
          <w:tcPr>
            <w:tcW w:w="12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0.2400</w:t>
            </w: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Third quarter</w:t>
            </w:r>
          </w:p>
        </w:tc>
        <w:tc>
          <w:tcPr>
            <w:tcW w:w="2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13.94</w:t>
            </w:r>
          </w:p>
        </w:tc>
        <w:tc>
          <w:tcPr>
            <w:tcW w:w="160" w:type="dxa"/>
            <w:vAlign w:val="bottom"/>
          </w:tcPr>
          <w:p>
            <w:pPr>
              <w:spacing w:after="0"/>
              <w:rPr>
                <w:sz w:val="12"/>
                <w:szCs w:val="12"/>
                <w:color w:val="auto"/>
              </w:rPr>
            </w:pPr>
          </w:p>
        </w:tc>
        <w:tc>
          <w:tcPr>
            <w:tcW w:w="10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11.93</w:t>
            </w: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11.46</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(14)</w:t>
            </w: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(18)</w:t>
            </w:r>
          </w:p>
        </w:tc>
        <w:tc>
          <w:tcPr>
            <w:tcW w:w="100" w:type="dxa"/>
            <w:vAlign w:val="bottom"/>
          </w:tcPr>
          <w:p>
            <w:pPr>
              <w:spacing w:after="0"/>
              <w:rPr>
                <w:sz w:val="12"/>
                <w:szCs w:val="12"/>
                <w:color w:val="auto"/>
              </w:rPr>
            </w:pPr>
          </w:p>
        </w:tc>
        <w:tc>
          <w:tcPr>
            <w:tcW w:w="8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0.2350</w:t>
            </w: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Second quarter</w:t>
            </w:r>
          </w:p>
        </w:tc>
        <w:tc>
          <w:tcPr>
            <w:tcW w:w="2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14.12</w:t>
            </w:r>
          </w:p>
        </w:tc>
        <w:tc>
          <w:tcPr>
            <w:tcW w:w="1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12.10</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10.52</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w:t>
            </w:r>
          </w:p>
        </w:tc>
        <w:tc>
          <w:tcPr>
            <w:tcW w:w="12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0.2250</w:t>
            </w: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First quarter</w:t>
            </w:r>
          </w:p>
        </w:tc>
        <w:tc>
          <w:tcPr>
            <w:tcW w:w="2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13.68</w:t>
            </w:r>
          </w:p>
        </w:tc>
        <w:tc>
          <w:tcPr>
            <w:tcW w:w="160" w:type="dxa"/>
            <w:vAlign w:val="bottom"/>
          </w:tcPr>
          <w:p>
            <w:pPr>
              <w:spacing w:after="0"/>
              <w:rPr>
                <w:sz w:val="12"/>
                <w:szCs w:val="12"/>
                <w:color w:val="auto"/>
              </w:rPr>
            </w:pPr>
          </w:p>
        </w:tc>
        <w:tc>
          <w:tcPr>
            <w:tcW w:w="10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11.03</w:t>
            </w: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10.01</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(19)</w:t>
            </w: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(27)</w:t>
            </w:r>
          </w:p>
        </w:tc>
        <w:tc>
          <w:tcPr>
            <w:tcW w:w="100" w:type="dxa"/>
            <w:vAlign w:val="bottom"/>
          </w:tcPr>
          <w:p>
            <w:pPr>
              <w:spacing w:after="0"/>
              <w:rPr>
                <w:sz w:val="12"/>
                <w:szCs w:val="12"/>
                <w:color w:val="auto"/>
              </w:rPr>
            </w:pPr>
          </w:p>
        </w:tc>
        <w:tc>
          <w:tcPr>
            <w:tcW w:w="8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0.2100</w:t>
            </w: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Fiscal year ended September 30, 2011</w:t>
            </w:r>
          </w:p>
        </w:tc>
        <w:tc>
          <w:tcPr>
            <w:tcW w:w="1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Fourth quarter</w:t>
            </w:r>
          </w:p>
        </w:tc>
        <w:tc>
          <w:tcPr>
            <w:tcW w:w="2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13.44</w:t>
            </w:r>
          </w:p>
        </w:tc>
        <w:tc>
          <w:tcPr>
            <w:tcW w:w="160" w:type="dxa"/>
            <w:vAlign w:val="bottom"/>
          </w:tcPr>
          <w:p>
            <w:pPr>
              <w:spacing w:after="0"/>
              <w:rPr>
                <w:sz w:val="12"/>
                <w:szCs w:val="12"/>
                <w:color w:val="auto"/>
              </w:rPr>
            </w:pPr>
          </w:p>
        </w:tc>
        <w:tc>
          <w:tcPr>
            <w:tcW w:w="10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12.85</w:t>
            </w: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10.34</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w:t>
            </w: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2"/>
                <w:szCs w:val="12"/>
                <w:color w:val="auto"/>
              </w:rPr>
            </w:pPr>
          </w:p>
        </w:tc>
        <w:tc>
          <w:tcPr>
            <w:tcW w:w="8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0.2000</w:t>
            </w: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Third quarter*</w:t>
            </w:r>
          </w:p>
        </w:tc>
        <w:tc>
          <w:tcPr>
            <w:tcW w:w="2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14.06</w:t>
            </w:r>
          </w:p>
        </w:tc>
        <w:tc>
          <w:tcPr>
            <w:tcW w:w="1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13.70</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12.27</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w:t>
            </w:r>
          </w:p>
        </w:tc>
        <w:tc>
          <w:tcPr>
            <w:tcW w:w="12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0.0500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8" w:lineRule="exact"/>
        <w:rPr>
          <w:sz w:val="20"/>
          <w:szCs w:val="20"/>
          <w:color w:val="auto"/>
        </w:rPr>
      </w:pPr>
    </w:p>
    <w:p>
      <w:pPr>
        <w:ind w:left="220" w:right="80" w:hanging="212"/>
        <w:spacing w:after="0" w:line="230" w:lineRule="auto"/>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for more information.</w:t>
      </w:r>
    </w:p>
    <w:p>
      <w:pPr>
        <w:ind w:left="220" w:hanging="212"/>
        <w:spacing w:after="0" w:line="221" w:lineRule="auto"/>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Calculated as of the respective high or low closing sales price divided by the quarter-end NAV.</w:t>
      </w:r>
    </w:p>
    <w:p>
      <w:pPr>
        <w:ind w:left="220" w:hanging="212"/>
        <w:spacing w:after="0" w:line="221" w:lineRule="auto"/>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dividend of $0.0875 per share payable October 1, 2013 to shareholders of record as of September 20, 2013.</w:t>
      </w:r>
    </w:p>
    <w:p>
      <w:pPr>
        <w:ind w:left="220" w:hanging="212"/>
        <w:spacing w:after="0"/>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From April 8, 2011 (initial public offering) to June 30, 2011.</w:t>
      </w:r>
    </w:p>
    <w:p>
      <w:pPr>
        <w:spacing w:after="0" w:line="138" w:lineRule="exact"/>
        <w:rPr>
          <w:sz w:val="20"/>
          <w:szCs w:val="20"/>
          <w:color w:val="auto"/>
        </w:rPr>
      </w:pPr>
    </w:p>
    <w:p>
      <w:pPr>
        <w:ind w:right="160" w:firstLine="456"/>
        <w:spacing w:after="0" w:line="230" w:lineRule="auto"/>
        <w:rPr>
          <w:sz w:val="20"/>
          <w:szCs w:val="20"/>
          <w:color w:val="auto"/>
        </w:rPr>
      </w:pPr>
      <w:r>
        <w:rPr>
          <w:rFonts w:ascii="Arial" w:cs="Arial" w:eastAsia="Arial" w:hAnsi="Arial"/>
          <w:sz w:val="14"/>
          <w:szCs w:val="14"/>
          <w:color w:val="auto"/>
        </w:rPr>
        <w:t>Shares of BDCs may trade at a market price that is less than the NAV that is attributable to those shares. Our shares have traded above and below our NAV. Our shares traded on the NASDAQ Global Select Market at $14.14 and $12.67 as of June 30, 2013 and September 30, 2012, respectively. Our NAV was $13.98 and $13.98 per share, as of June 30, 2013 and September 30,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SALES OF COMMON STOCK BELOW NET ASSET VALUE</w:t>
      </w:r>
    </w:p>
    <w:p>
      <w:pPr>
        <w:spacing w:after="0" w:line="152"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58" w:lineRule="exact"/>
        <w:rPr>
          <w:sz w:val="20"/>
          <w:szCs w:val="20"/>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effect that an offering below NAV per share would have on our stockholders, including the potential dilution they would experience as a result of the offering;</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amount per share by which the offering price per share and the net proceeds per share are less than the most recently determined NAV per share;</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relationship of recent market prices of our common stock to NAV per share and the potential impact of the offering on the market price per share of our common stock;</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Whether the estimated offering price would closely approximate the market value of our shares, less distributing commissions or discounts, and would not be below current market price;</w:t>
      </w:r>
    </w:p>
    <w:p>
      <w:pPr>
        <w:spacing w:after="0" w:line="91" w:lineRule="exact"/>
        <w:rPr>
          <w:rFonts w:ascii="Arial" w:cs="Arial" w:eastAsia="Arial" w:hAnsi="Arial"/>
          <w:sz w:val="12"/>
          <w:szCs w:val="12"/>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potential market impact of being able to raise capital in the current financial market;</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nature of any new investors anticipated to acquire shares in the offering;</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anticipated rate of return on and quality, type and availability of investments;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leverage available to us both before and after the offering and other borrowing terms;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potential investment opportunities available relative to the potential dilutive effect of additional capital at the time of the offering.</w:t>
      </w:r>
    </w:p>
    <w:p>
      <w:pPr>
        <w:spacing w:after="0" w:line="150" w:lineRule="exact"/>
        <w:rPr>
          <w:sz w:val="20"/>
          <w:szCs w:val="20"/>
          <w:color w:val="auto"/>
        </w:rPr>
      </w:pPr>
    </w:p>
    <w:p>
      <w:pPr>
        <w:ind w:right="400" w:firstLine="456"/>
        <w:spacing w:after="0" w:line="318" w:lineRule="auto"/>
        <w:rPr>
          <w:sz w:val="20"/>
          <w:szCs w:val="20"/>
          <w:color w:val="auto"/>
        </w:rPr>
      </w:pPr>
      <w:r>
        <w:rPr>
          <w:rFonts w:ascii="Arial" w:cs="Arial" w:eastAsia="Arial" w:hAnsi="Arial"/>
          <w:sz w:val="12"/>
          <w:szCs w:val="12"/>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us or from the offering of common stock at a premium to NAV per share.</w:t>
      </w:r>
    </w:p>
    <w:p>
      <w:pPr>
        <w:spacing w:after="0" w:line="94"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Sales by us of our common stock at a discount from NAV pose potential risks for our existing stockholders whether or not they participate in the offering, as well as for new investors who participate in the offering.</w:t>
      </w:r>
    </w:p>
    <w:p>
      <w:pPr>
        <w:spacing w:after="0" w:line="139" w:lineRule="exact"/>
        <w:rPr>
          <w:sz w:val="20"/>
          <w:szCs w:val="20"/>
          <w:color w:val="auto"/>
        </w:rPr>
      </w:pPr>
    </w:p>
    <w:p>
      <w:pPr>
        <w:ind w:firstLine="342"/>
        <w:spacing w:after="0" w:line="262" w:lineRule="auto"/>
        <w:rPr>
          <w:sz w:val="20"/>
          <w:szCs w:val="20"/>
          <w:color w:val="auto"/>
        </w:rPr>
      </w:pPr>
      <w:r>
        <w:rPr>
          <w:rFonts w:ascii="Arial" w:cs="Arial" w:eastAsia="Arial" w:hAnsi="Arial"/>
          <w:sz w:val="12"/>
          <w:szCs w:val="12"/>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w:t>
      </w:r>
    </w:p>
    <w:p>
      <w:pPr>
        <w:spacing w:after="0" w:line="2" w:lineRule="exact"/>
        <w:rPr>
          <w:sz w:val="20"/>
          <w:szCs w:val="20"/>
          <w:color w:val="auto"/>
        </w:rPr>
      </w:pPr>
    </w:p>
    <w:p>
      <w:pPr>
        <w:ind w:right="40"/>
        <w:spacing w:after="0" w:line="227" w:lineRule="auto"/>
        <w:rPr>
          <w:sz w:val="20"/>
          <w:szCs w:val="20"/>
          <w:color w:val="auto"/>
        </w:rPr>
      </w:pPr>
      <w:r>
        <w:rPr>
          <w:rFonts w:ascii="Arial" w:cs="Arial" w:eastAsia="Arial" w:hAnsi="Arial"/>
          <w:sz w:val="14"/>
          <w:szCs w:val="14"/>
          <w:color w:val="auto"/>
        </w:rPr>
        <w:t>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39" w:lineRule="exact"/>
        <w:rPr>
          <w:sz w:val="20"/>
          <w:szCs w:val="20"/>
          <w:color w:val="auto"/>
        </w:rPr>
      </w:pPr>
    </w:p>
    <w:p>
      <w:pPr>
        <w:ind w:right="180" w:firstLine="342"/>
        <w:spacing w:after="0" w:line="239" w:lineRule="auto"/>
        <w:rPr>
          <w:sz w:val="20"/>
          <w:szCs w:val="20"/>
          <w:color w:val="auto"/>
        </w:rPr>
      </w:pPr>
      <w:r>
        <w:rPr>
          <w:rFonts w:ascii="Arial" w:cs="Arial" w:eastAsia="Arial" w:hAnsi="Arial"/>
          <w:sz w:val="14"/>
          <w:szCs w:val="14"/>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8" w:lineRule="exact"/>
        <w:rPr>
          <w:sz w:val="20"/>
          <w:szCs w:val="20"/>
          <w:color w:val="auto"/>
        </w:rPr>
      </w:pPr>
    </w:p>
    <w:p>
      <w:pPr>
        <w:ind w:left="540" w:hanging="316"/>
        <w:spacing w:after="0"/>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existing stockholders who do not purchase any shares in the offering;</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existing stockholders who purchase a relatively small amount of shares in the offering or a relatively large amount of shares in the offering;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new investors who become stockholders by purchasing shares in the offering.</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Existing Stockholders who do not Participate in the Offering</w:t>
      </w:r>
    </w:p>
    <w:p>
      <w:pPr>
        <w:spacing w:after="0" w:line="6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Our existing stockholders who do not participate, or who are not given the opportunity to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20" w:lineRule="exact"/>
        <w:rPr>
          <w:sz w:val="20"/>
          <w:szCs w:val="20"/>
          <w:color w:val="auto"/>
        </w:rPr>
      </w:pPr>
    </w:p>
    <w:p>
      <w:pPr>
        <w:ind w:right="280" w:firstLine="456"/>
        <w:spacing w:after="0" w:line="318" w:lineRule="auto"/>
        <w:rPr>
          <w:sz w:val="20"/>
          <w:szCs w:val="20"/>
          <w:color w:val="auto"/>
        </w:rPr>
      </w:pPr>
      <w:r>
        <w:rPr>
          <w:rFonts w:ascii="Arial" w:cs="Arial" w:eastAsia="Arial" w:hAnsi="Arial"/>
          <w:sz w:val="12"/>
          <w:szCs w:val="12"/>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94"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1</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9"/>
              </w:rPr>
              <w:t>Example 2</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3</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10% Offering</w:t>
            </w:r>
          </w:p>
        </w:tc>
        <w:tc>
          <w:tcPr>
            <w:tcW w:w="100" w:type="dxa"/>
            <w:vAlign w:val="bottom"/>
          </w:tcPr>
          <w:p>
            <w:pPr>
              <w:spacing w:after="0"/>
              <w:rPr>
                <w:sz w:val="12"/>
                <w:szCs w:val="12"/>
                <w:color w:val="auto"/>
              </w:rPr>
            </w:pPr>
          </w:p>
        </w:tc>
        <w:tc>
          <w:tcPr>
            <w:tcW w:w="16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Prior to Sale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at 5% Discount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at 10% Discount</w:t>
            </w:r>
          </w:p>
        </w:tc>
        <w:tc>
          <w:tcPr>
            <w:tcW w:w="100" w:type="dxa"/>
            <w:vAlign w:val="bottom"/>
          </w:tcPr>
          <w:p>
            <w:pPr>
              <w:spacing w:after="0"/>
              <w:rPr>
                <w:sz w:val="14"/>
                <w:szCs w:val="14"/>
                <w:color w:val="auto"/>
              </w:rPr>
            </w:pPr>
          </w:p>
        </w:tc>
        <w:tc>
          <w:tcPr>
            <w:tcW w:w="16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8"/>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5"/>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Following</w:t>
            </w:r>
          </w:p>
        </w:tc>
        <w:tc>
          <w:tcPr>
            <w:tcW w:w="54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Below NAV</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3"/>
              </w:rPr>
              <w:t>Sale</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0" w:type="dxa"/>
            <w:vAlign w:val="bottom"/>
            <w:tcBorders>
              <w:top w:val="single" w:sz="8" w:color="CCEEFF"/>
              <w:bottom w:val="single" w:sz="8" w:color="CCEEFF"/>
            </w:tcBorders>
            <w:shd w:val="clear" w:color="auto" w:fill="CCEEFF"/>
          </w:tcPr>
          <w:p>
            <w:pPr>
              <w:spacing w:after="0" w:line="153" w:lineRule="exact"/>
              <w:rPr>
                <w:sz w:val="20"/>
                <w:szCs w:val="20"/>
                <w:color w:val="auto"/>
              </w:rPr>
            </w:pPr>
            <w:r>
              <w:rPr>
                <w:rFonts w:ascii="Arial" w:cs="Arial" w:eastAsia="Arial" w:hAnsi="Arial"/>
                <w:sz w:val="14"/>
                <w:szCs w:val="14"/>
                <w:b w:val="1"/>
                <w:bCs w:val="1"/>
                <w:i w:val="1"/>
                <w:iCs w:val="1"/>
                <w:color w:val="auto"/>
              </w:rPr>
              <w:t>Offering Price</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Price per share to public</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10.05</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9.52</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8.47</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offering proceeds per share to issuer</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9.50</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9.00</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8.00</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Decrease to NAV</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1,050,000</w:t>
            </w: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5.00 %</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1,100,000</w:t>
            </w: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1,200,000</w:t>
            </w: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20.00 %</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NAV per share</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(0.20)%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9.91</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(0.90)%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Dilution to Stockholder A</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Shares held by stockholder A</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Percentage held by stockholder A</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0.95%</w:t>
            </w: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0.91%</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1"/>
              </w:rPr>
              <w:t>(17.00)%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Arial" w:cs="Arial" w:eastAsia="Arial" w:hAnsi="Arial"/>
                <w:sz w:val="14"/>
                <w:szCs w:val="14"/>
                <w:b w:val="1"/>
                <w:bCs w:val="1"/>
                <w:color w:val="auto"/>
              </w:rPr>
              <w:t>Total Asset Values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Total NAV held by stockholder A</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100,000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99,800</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(0.20)%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99,100</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(0.90)%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96,700</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ind w:left="420"/>
              <w:spacing w:after="0"/>
              <w:rPr>
                <w:sz w:val="20"/>
                <w:szCs w:val="20"/>
                <w:color w:val="auto"/>
              </w:rPr>
            </w:pPr>
            <w:r>
              <w:rPr>
                <w:rFonts w:ascii="Arial" w:cs="Arial" w:eastAsia="Arial" w:hAnsi="Arial"/>
                <w:sz w:val="14"/>
                <w:szCs w:val="14"/>
                <w:color w:val="auto"/>
                <w:w w:val="93"/>
              </w:rPr>
              <w:t>Total investment by stockholder A (assumed to be $10.00 per share)</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4"/>
                <w:szCs w:val="14"/>
                <w:color w:val="auto"/>
              </w:rPr>
            </w:pP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Total dilution to stockholder A (total NAV less total investment)</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(3,300)</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Arial" w:cs="Arial" w:eastAsia="Arial" w:hAnsi="Arial"/>
                <w:sz w:val="14"/>
                <w:szCs w:val="14"/>
                <w:b w:val="1"/>
                <w:bCs w:val="1"/>
                <w:color w:val="auto"/>
              </w:rPr>
              <w:t>Per Share Amounts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NAV per share held by stockholder A</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9.91</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9.67</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tcPr>
          <w:p>
            <w:pPr>
              <w:ind w:left="420"/>
              <w:spacing w:after="0" w:line="138" w:lineRule="exact"/>
              <w:rPr>
                <w:sz w:val="20"/>
                <w:szCs w:val="20"/>
                <w:color w:val="auto"/>
              </w:rPr>
            </w:pPr>
            <w:r>
              <w:rPr>
                <w:rFonts w:ascii="Arial" w:cs="Arial" w:eastAsia="Arial" w:hAnsi="Arial"/>
                <w:sz w:val="14"/>
                <w:szCs w:val="14"/>
                <w:color w:val="auto"/>
                <w:w w:val="89"/>
              </w:rPr>
              <w:t>Investment per share held by stockholder A (assumed to be $10.00 per</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ind w:left="420"/>
              <w:spacing w:after="0"/>
              <w:rPr>
                <w:sz w:val="20"/>
                <w:szCs w:val="20"/>
                <w:color w:val="auto"/>
              </w:rPr>
            </w:pPr>
            <w:r>
              <w:rPr>
                <w:rFonts w:ascii="Arial" w:cs="Arial" w:eastAsia="Arial" w:hAnsi="Arial"/>
                <w:sz w:val="14"/>
                <w:szCs w:val="14"/>
                <w:color w:val="auto"/>
              </w:rPr>
              <w:t>share on shares held prior to sale)</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Dilution per share held by stockholder A (NAV per share less</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investment per share)</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tcPr>
          <w:p>
            <w:pPr>
              <w:ind w:left="420"/>
              <w:spacing w:after="0" w:line="138" w:lineRule="exact"/>
              <w:rPr>
                <w:sz w:val="20"/>
                <w:szCs w:val="20"/>
                <w:color w:val="auto"/>
              </w:rPr>
            </w:pPr>
            <w:r>
              <w:rPr>
                <w:rFonts w:ascii="Arial" w:cs="Arial" w:eastAsia="Arial" w:hAnsi="Arial"/>
                <w:sz w:val="14"/>
                <w:szCs w:val="14"/>
                <w:color w:val="auto"/>
                <w:w w:val="97"/>
              </w:rPr>
              <w:t>Percentage dilution to stockholder A (dilution per share divided by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ind w:left="420"/>
              <w:spacing w:after="0"/>
              <w:rPr>
                <w:sz w:val="20"/>
                <w:szCs w:val="20"/>
                <w:color w:val="auto"/>
              </w:rPr>
            </w:pPr>
            <w:r>
              <w:rPr>
                <w:rFonts w:ascii="Arial" w:cs="Arial" w:eastAsia="Arial" w:hAnsi="Arial"/>
                <w:sz w:val="14"/>
                <w:szCs w:val="14"/>
                <w:color w:val="auto"/>
              </w:rPr>
              <w:t>investment per share)</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restart"/>
          </w:tcPr>
          <w:p>
            <w:pPr>
              <w:jc w:val="right"/>
              <w:ind w:right="4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restart"/>
          </w:tcPr>
          <w:p>
            <w:pPr>
              <w:jc w:val="right"/>
              <w:ind w:right="4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(0.90)%</w:t>
            </w:r>
          </w:p>
        </w:tc>
        <w:tc>
          <w:tcPr>
            <w:tcW w:w="100" w:type="dxa"/>
            <w:vAlign w:val="bottom"/>
          </w:tcPr>
          <w:p>
            <w:pPr>
              <w:spacing w:after="0"/>
              <w:rPr>
                <w:sz w:val="14"/>
                <w:szCs w:val="14"/>
                <w:color w:val="auto"/>
              </w:rPr>
            </w:pPr>
          </w:p>
        </w:tc>
        <w:tc>
          <w:tcPr>
            <w:tcW w:w="1060" w:type="dxa"/>
            <w:vAlign w:val="bottom"/>
            <w:gridSpan w:val="3"/>
            <w:vMerge w:val="restart"/>
          </w:tcPr>
          <w:p>
            <w:pPr>
              <w:jc w:val="right"/>
              <w:ind w:right="4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40</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Existing Stockholders who Participate in the Offering</w:t>
      </w:r>
    </w:p>
    <w:p>
      <w:pPr>
        <w:spacing w:after="0" w:line="69"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8"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w:t>
      </w:r>
    </w:p>
    <w:p>
      <w:pPr>
        <w:spacing w:after="0" w:line="1" w:lineRule="exact"/>
        <w:rPr>
          <w:sz w:val="20"/>
          <w:szCs w:val="20"/>
          <w:color w:val="auto"/>
        </w:rPr>
      </w:pPr>
    </w:p>
    <w:p>
      <w:pPr>
        <w:ind w:firstLine="8"/>
        <w:spacing w:after="0" w:line="277" w:lineRule="auto"/>
        <w:tabs>
          <w:tab w:leader="none" w:pos="191" w:val="left"/>
        </w:tabs>
        <w:numPr>
          <w:ilvl w:val="0"/>
          <w:numId w:val="24"/>
        </w:numPr>
        <w:rPr>
          <w:rFonts w:ascii="Arial" w:cs="Arial" w:eastAsia="Arial" w:hAnsi="Arial"/>
          <w:sz w:val="12"/>
          <w:szCs w:val="12"/>
          <w:color w:val="auto"/>
        </w:rPr>
      </w:pPr>
      <w:r>
        <w:rPr>
          <w:rFonts w:ascii="Arial" w:cs="Arial" w:eastAsia="Arial" w:hAnsi="Arial"/>
          <w:sz w:val="12"/>
          <w:szCs w:val="12"/>
          <w:color w:val="auto"/>
        </w:rPr>
        <w:t>50% of their proportionate share of the offering (i.e. 1,000 shares which is 0.50% of the offering of 200,000 shares rather than their 1.00% proportionate 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Price per share to public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proceeds per share to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Increases in Shares and Decrease to NAV</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Total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NAV per share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(Dilution)/Accretion to Participating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Shares held by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held by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 Values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NAV held by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Total investment by stockholder A (assumed to be $10.00 per share on shares held prior to sale)</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(dilution)/accretion to stockholder A (total NAV less total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Amounts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NAV per share held by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Investment per share held by stockholder A (assumed to be $10.00 per share on shares held prior to sale)</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(Dilution)/accretion per share held by stockholder A (NAV per share less investment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8" w:lineRule="exact"/>
        <w:rPr>
          <w:sz w:val="20"/>
          <w:szCs w:val="20"/>
          <w:color w:val="auto"/>
        </w:rPr>
      </w:pPr>
    </w:p>
    <w:p>
      <w:pPr>
        <w:ind w:left="440" w:right="60"/>
        <w:spacing w:after="0" w:line="239" w:lineRule="auto"/>
        <w:rPr>
          <w:sz w:val="20"/>
          <w:szCs w:val="20"/>
          <w:color w:val="auto"/>
        </w:rPr>
      </w:pPr>
      <w:r>
        <w:rPr>
          <w:rFonts w:ascii="Arial" w:cs="Arial" w:eastAsia="Arial" w:hAnsi="Arial"/>
          <w:sz w:val="14"/>
          <w:szCs w:val="14"/>
          <w:color w:val="auto"/>
        </w:rPr>
        <w:t>Percentage (dilution)/accretion to stockholder A (dilution/accretion per share divided by investment per share)</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4"/>
                <w:szCs w:val="14"/>
                <w:color w:val="auto"/>
              </w:rPr>
            </w:pPr>
          </w:p>
        </w:tc>
        <w:tc>
          <w:tcPr>
            <w:tcW w:w="17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50% Participation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Following</w:t>
            </w:r>
          </w:p>
        </w:tc>
        <w:tc>
          <w:tcPr>
            <w:tcW w:w="58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Below NAV</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26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7"/>
              </w:rPr>
              <w:t>Change</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425"/>
        </w:trPr>
        <w:tc>
          <w:tcPr>
            <w:tcW w:w="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26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30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8.00</w:t>
            </w:r>
          </w:p>
        </w:tc>
        <w:tc>
          <w:tcPr>
            <w:tcW w:w="2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8.00</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1,200,000</w:t>
            </w:r>
          </w:p>
        </w:tc>
        <w:tc>
          <w:tcPr>
            <w:tcW w:w="2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1,200,000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(3.30)%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11,000</w:t>
            </w:r>
          </w:p>
        </w:tc>
        <w:tc>
          <w:tcPr>
            <w:tcW w:w="2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13,000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0.92%</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1.08%</w:t>
            </w:r>
          </w:p>
        </w:tc>
        <w:tc>
          <w:tcPr>
            <w:tcW w:w="580" w:type="dxa"/>
            <w:vAlign w:val="bottom"/>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432"/>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106,370</w:t>
            </w:r>
          </w:p>
        </w:tc>
        <w:tc>
          <w:tcPr>
            <w:tcW w:w="2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6.37%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125,710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25.71%</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108,470</w:t>
            </w:r>
          </w:p>
        </w:tc>
        <w:tc>
          <w:tcPr>
            <w:tcW w:w="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8.47%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125,410</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(2,100)</w:t>
            </w:r>
          </w:p>
        </w:tc>
        <w:tc>
          <w:tcPr>
            <w:tcW w:w="2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300</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30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9.86</w:t>
            </w:r>
          </w:p>
        </w:tc>
        <w:tc>
          <w:tcPr>
            <w:tcW w:w="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(1.40)%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9.65</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(0.19)</w:t>
            </w:r>
          </w:p>
        </w:tc>
        <w:tc>
          <w:tcPr>
            <w:tcW w:w="2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0.02</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(1.93)%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bl>
    <w:p>
      <w:pPr>
        <w:sectPr>
          <w:pgSz w:w="11900" w:h="16838" w:orient="portrait"/>
          <w:cols w:equalWidth="0" w:num="2">
            <w:col w:w="6100" w:space="440"/>
            <w:col w:w="488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New Investors</w:t>
      </w:r>
    </w:p>
    <w:p>
      <w:pPr>
        <w:spacing w:after="0" w:line="69"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94"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27"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a stockholder A at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Offering Price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Price per share to public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offering proceeds per share to issuer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Decrease to NAV</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Total shares outstanding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NAV per share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Dilution to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Shares held by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held by stockholder A</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 Values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NAV held by stockholder A</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investment by stockholder A</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dilution to stockholder A (total NAV less total investment)</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Amounts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NAV per share held by stockholder A</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 per share held by stockholder A</w:t>
      </w:r>
    </w:p>
    <w:p>
      <w:pPr>
        <w:spacing w:after="0" w:line="55" w:lineRule="exact"/>
        <w:rPr>
          <w:sz w:val="20"/>
          <w:szCs w:val="20"/>
          <w:color w:val="auto"/>
        </w:rPr>
      </w:pPr>
    </w:p>
    <w:p>
      <w:pPr>
        <w:ind w:left="440"/>
        <w:spacing w:after="0" w:line="239" w:lineRule="auto"/>
        <w:rPr>
          <w:sz w:val="20"/>
          <w:szCs w:val="20"/>
          <w:color w:val="auto"/>
        </w:rPr>
      </w:pPr>
      <w:r>
        <w:rPr>
          <w:rFonts w:ascii="Arial" w:cs="Arial" w:eastAsia="Arial" w:hAnsi="Arial"/>
          <w:sz w:val="14"/>
          <w:szCs w:val="14"/>
          <w:color w:val="auto"/>
        </w:rPr>
        <w:t>Dilution per share held by stockholder A (NAV per share less investment per share)</w:t>
      </w:r>
    </w:p>
    <w:p>
      <w:pPr>
        <w:spacing w:after="0" w:line="44" w:lineRule="exact"/>
        <w:rPr>
          <w:sz w:val="20"/>
          <w:szCs w:val="20"/>
          <w:color w:val="auto"/>
        </w:rPr>
      </w:pPr>
    </w:p>
    <w:p>
      <w:pPr>
        <w:ind w:left="440" w:right="320"/>
        <w:spacing w:after="0" w:line="239" w:lineRule="auto"/>
        <w:rPr>
          <w:sz w:val="20"/>
          <w:szCs w:val="20"/>
          <w:color w:val="auto"/>
        </w:rPr>
      </w:pPr>
      <w:r>
        <w:rPr>
          <w:rFonts w:ascii="Arial" w:cs="Arial" w:eastAsia="Arial" w:hAnsi="Arial"/>
          <w:sz w:val="14"/>
          <w:szCs w:val="14"/>
          <w:color w:val="auto"/>
        </w:rPr>
        <w:t>Percentage dilution to stockholder A (dilution per share divided by investment per share)</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1</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2</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72"/>
              <w:spacing w:after="0"/>
              <w:rPr>
                <w:sz w:val="20"/>
                <w:szCs w:val="20"/>
                <w:color w:val="auto"/>
              </w:rPr>
            </w:pPr>
            <w:r>
              <w:rPr>
                <w:rFonts w:ascii="Arial" w:cs="Arial" w:eastAsia="Arial" w:hAnsi="Arial"/>
                <w:sz w:val="14"/>
                <w:szCs w:val="14"/>
                <w:b w:val="1"/>
                <w:bCs w:val="1"/>
                <w:color w:val="auto"/>
                <w:w w:val="89"/>
              </w:rPr>
              <w:t>Example 3</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00" w:type="dxa"/>
            <w:vAlign w:val="bottom"/>
          </w:tcPr>
          <w:p>
            <w:pPr>
              <w:spacing w:after="0"/>
              <w:rPr>
                <w:sz w:val="12"/>
                <w:szCs w:val="12"/>
                <w:color w:val="auto"/>
              </w:rPr>
            </w:pPr>
          </w:p>
        </w:tc>
        <w:tc>
          <w:tcPr>
            <w:tcW w:w="17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jc w:val="center"/>
              <w:ind w:right="52"/>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8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2"/>
              </w:rPr>
              <w:t>Prior to Sale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7"/>
              </w:rPr>
              <w:t>at 5% Discount</w:t>
            </w:r>
          </w:p>
        </w:tc>
        <w:tc>
          <w:tcPr>
            <w:tcW w:w="100" w:type="dxa"/>
            <w:vAlign w:val="bottom"/>
          </w:tcPr>
          <w:p>
            <w:pPr>
              <w:spacing w:after="0"/>
              <w:rPr>
                <w:sz w:val="14"/>
                <w:szCs w:val="1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at 10% Discount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8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w w:val="91"/>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w w:val="91"/>
              </w:rPr>
              <w:t>Following</w:t>
            </w:r>
          </w:p>
        </w:tc>
        <w:tc>
          <w:tcPr>
            <w:tcW w:w="54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9"/>
              </w:rPr>
              <w:t>Below NAV</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Sale</w:t>
            </w: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Sale</w:t>
            </w:r>
          </w:p>
        </w:tc>
        <w:tc>
          <w:tcPr>
            <w:tcW w:w="2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425"/>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10.05</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9.52</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9.50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8.00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1,050,000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5.00 %</w:t>
            </w:r>
          </w:p>
        </w:tc>
        <w:tc>
          <w:tcPr>
            <w:tcW w:w="10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w w:val="99"/>
              </w:rPr>
              <w:t>1,100,000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7"/>
              </w:rPr>
              <w:t>10.00 %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1,200,000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20.00 %</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(0.20)%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(0.90)%</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500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1,000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2,000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0.09%</w:t>
            </w: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0.17%</w:t>
            </w: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4,990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9,910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19,340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5,025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9,952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16,940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390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2,400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9.91</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10.05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9.52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(0.07)</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0.39</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(0.70)%</w:t>
            </w:r>
          </w:p>
        </w:tc>
        <w:tc>
          <w:tcPr>
            <w:tcW w:w="100" w:type="dxa"/>
            <w:vAlign w:val="bottom"/>
          </w:tcPr>
          <w:p>
            <w:pPr>
              <w:spacing w:after="0"/>
              <w:rPr>
                <w:sz w:val="24"/>
                <w:szCs w:val="2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4.10 %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14.17 %</w:t>
            </w: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42</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-2854960</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-2580640</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-2305685</wp:posOffset>
            </wp:positionV>
            <wp:extent cx="72466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-2031365</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-1757045</wp:posOffset>
            </wp:positionV>
            <wp:extent cx="72466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-1482725</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-1208405</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-934085</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-659130</wp:posOffset>
            </wp:positionV>
            <wp:extent cx="7246620" cy="2317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ectPr>
          <w:pgSz w:w="11900" w:h="16838" w:orient="portrait"/>
          <w:cols w:equalWidth="0" w:num="2">
            <w:col w:w="4380" w:space="280"/>
            <w:col w:w="6760"/>
          </w:cols>
          <w:pgMar w:left="240" w:top="459"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DISTRIBUTIONS</w:t>
      </w:r>
    </w:p>
    <w:p>
      <w:pPr>
        <w:spacing w:after="0" w:line="152"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our inception.</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Record Dates</w:t>
            </w:r>
          </w:p>
        </w:tc>
        <w:tc>
          <w:tcPr>
            <w:tcW w:w="4000" w:type="dxa"/>
            <w:vAlign w:val="bottom"/>
            <w:vMerge w:val="restart"/>
          </w:tcPr>
          <w:p>
            <w:pPr>
              <w:spacing w:after="0"/>
              <w:rPr>
                <w:sz w:val="14"/>
                <w:szCs w:val="14"/>
                <w:color w:val="auto"/>
              </w:rPr>
            </w:pPr>
          </w:p>
        </w:tc>
        <w:tc>
          <w:tcPr>
            <w:tcW w:w="4100" w:type="dxa"/>
            <w:vAlign w:val="bottom"/>
            <w:gridSpan w:val="3"/>
            <w:vMerge w:val="restart"/>
          </w:tcPr>
          <w:p>
            <w:pPr>
              <w:ind w:left="2640"/>
              <w:spacing w:after="0"/>
              <w:rPr>
                <w:sz w:val="20"/>
                <w:szCs w:val="20"/>
                <w:color w:val="auto"/>
              </w:rPr>
            </w:pPr>
            <w:r>
              <w:rPr>
                <w:rFonts w:ascii="Arial" w:cs="Arial" w:eastAsia="Arial" w:hAnsi="Arial"/>
                <w:sz w:val="14"/>
                <w:szCs w:val="14"/>
                <w:b w:val="1"/>
                <w:bCs w:val="1"/>
                <w:color w:val="auto"/>
              </w:rPr>
              <w:t>Payment Dates</w:t>
            </w:r>
          </w:p>
        </w:tc>
        <w:tc>
          <w:tcPr>
            <w:tcW w:w="44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Distributions</w:t>
            </w:r>
          </w:p>
        </w:tc>
        <w:tc>
          <w:tcPr>
            <w:tcW w:w="0" w:type="dxa"/>
            <w:vAlign w:val="bottom"/>
          </w:tcPr>
          <w:p>
            <w:pPr>
              <w:spacing w:after="0"/>
              <w:rPr>
                <w:sz w:val="1"/>
                <w:szCs w:val="1"/>
                <w:color w:val="auto"/>
              </w:rPr>
            </w:pPr>
          </w:p>
        </w:tc>
      </w:tr>
      <w:tr>
        <w:trPr>
          <w:trHeight w:val="148"/>
        </w:trPr>
        <w:tc>
          <w:tcPr>
            <w:tcW w:w="840" w:type="dxa"/>
            <w:vAlign w:val="bottom"/>
            <w:vMerge w:val="continue"/>
          </w:tcPr>
          <w:p>
            <w:pPr>
              <w:spacing w:after="0"/>
              <w:rPr>
                <w:sz w:val="12"/>
                <w:szCs w:val="12"/>
                <w:color w:val="auto"/>
              </w:rPr>
            </w:pPr>
          </w:p>
        </w:tc>
        <w:tc>
          <w:tcPr>
            <w:tcW w:w="4000" w:type="dxa"/>
            <w:vAlign w:val="bottom"/>
            <w:vMerge w:val="continue"/>
          </w:tcPr>
          <w:p>
            <w:pPr>
              <w:spacing w:after="0"/>
              <w:rPr>
                <w:sz w:val="12"/>
                <w:szCs w:val="12"/>
                <w:color w:val="auto"/>
              </w:rPr>
            </w:pPr>
          </w:p>
        </w:tc>
        <w:tc>
          <w:tcPr>
            <w:tcW w:w="410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84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Fiscal year ending September 30, 2013</w:t>
            </w:r>
          </w:p>
        </w:tc>
        <w:tc>
          <w:tcPr>
            <w:tcW w:w="26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September 20, 2013</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October 1, 2013</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August 21, 2013</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September 3, 2013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July 19, 2013</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August 1, 2013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June 21, 2013</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July 1, 2013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May 20, 2013</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June 3, 2013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April 19, 2013</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May 1, 2013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March 22, 2013</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April 1, 2013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February 19, 2013</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March 1, 2013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January 22, 2013</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February 1, 2013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December 21, 2012</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January 2, 2013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November 20, 2012</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December 3, 2012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October 19, 2012</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November 1, 2012</w:t>
            </w:r>
          </w:p>
        </w:tc>
        <w:tc>
          <w:tcPr>
            <w:tcW w:w="4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0.0825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1.0275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Fiscal year ended September 30, 2012</w:t>
            </w:r>
          </w:p>
        </w:tc>
        <w:tc>
          <w:tcPr>
            <w:tcW w:w="26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September 20, 2012</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October 1, 2012</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August 20, 2012</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September 4, 2012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July 20, 2012</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August 1, 2012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June 21, 2012</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July 2, 2012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May 22, 2012</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June 1, 2012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April 20, 2012</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May 1, 2012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March 22, 2012</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April 2, 2012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0.0750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February 20, 2012</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March 1, 2012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January 20, 2012</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February 1, 2012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0.0750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December 23, 2011</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January 3, 2012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November 21, 2011</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December 1, 2011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0.0700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October 21, 2011</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November 1, 2011</w:t>
            </w:r>
          </w:p>
        </w:tc>
        <w:tc>
          <w:tcPr>
            <w:tcW w:w="4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0.0700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40" w:type="dxa"/>
            <w:vAlign w:val="bottom"/>
            <w:gridSpan w:val="2"/>
          </w:tcPr>
          <w:p>
            <w:pPr>
              <w:ind w:left="580"/>
              <w:spacing w:after="0" w:line="155" w:lineRule="exact"/>
              <w:rPr>
                <w:sz w:val="20"/>
                <w:szCs w:val="20"/>
                <w:color w:val="auto"/>
              </w:rPr>
            </w:pPr>
            <w:r>
              <w:rPr>
                <w:rFonts w:ascii="Arial" w:cs="Arial" w:eastAsia="Arial" w:hAnsi="Arial"/>
                <w:sz w:val="14"/>
                <w:szCs w:val="14"/>
                <w:b w:val="1"/>
                <w:bCs w:val="1"/>
                <w:color w:val="auto"/>
              </w:rPr>
              <w:t>Total</w:t>
            </w:r>
          </w:p>
        </w:tc>
        <w:tc>
          <w:tcPr>
            <w:tcW w:w="2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0.9100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Fiscal year ended September 30, 2011</w:t>
            </w:r>
          </w:p>
        </w:tc>
        <w:tc>
          <w:tcPr>
            <w:tcW w:w="26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September 23, 2011</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October 3, 2011</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0.0700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August 22, 2011</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September 1, 2011</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July 22, 2011</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August 1, 2011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0.0600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June 24, 2011</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July 1, 2011</w:t>
            </w:r>
          </w:p>
        </w:tc>
        <w:tc>
          <w:tcPr>
            <w:tcW w:w="4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0.0500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840" w:type="dxa"/>
            <w:vAlign w:val="bottom"/>
            <w:gridSpan w:val="2"/>
          </w:tcPr>
          <w:p>
            <w:pPr>
              <w:ind w:left="580"/>
              <w:spacing w:after="0"/>
              <w:rPr>
                <w:sz w:val="20"/>
                <w:szCs w:val="20"/>
                <w:color w:val="auto"/>
              </w:rPr>
            </w:pPr>
            <w:r>
              <w:rPr>
                <w:rFonts w:ascii="Arial" w:cs="Arial" w:eastAsia="Arial" w:hAnsi="Arial"/>
                <w:sz w:val="14"/>
                <w:szCs w:val="14"/>
                <w:b w:val="1"/>
                <w:bCs w:val="1"/>
                <w:color w:val="auto"/>
              </w:rPr>
              <w:t>Total</w:t>
            </w:r>
          </w:p>
        </w:tc>
        <w:tc>
          <w:tcPr>
            <w:tcW w:w="2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0.2500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right="340" w:firstLine="456"/>
        <w:spacing w:after="0" w:line="239" w:lineRule="auto"/>
        <w:rPr>
          <w:sz w:val="20"/>
          <w:szCs w:val="20"/>
          <w:color w:val="auto"/>
        </w:rPr>
      </w:pPr>
      <w:r>
        <w:rPr>
          <w:rFonts w:ascii="Arial" w:cs="Arial" w:eastAsia="Arial" w:hAnsi="Arial"/>
          <w:sz w:val="14"/>
          <w:szCs w:val="14"/>
          <w:color w:val="auto"/>
        </w:rPr>
        <w:t>In January 2014, a Form 1099-DIV will be sent to stockholders that will state the amount and composition of distributions and provide information with respect to appropriate tax treatment of our distributions.</w:t>
      </w:r>
    </w:p>
    <w:p>
      <w:pPr>
        <w:spacing w:after="0" w:line="112" w:lineRule="exact"/>
        <w:rPr>
          <w:sz w:val="20"/>
          <w:szCs w:val="20"/>
          <w:color w:val="auto"/>
        </w:rPr>
      </w:pPr>
    </w:p>
    <w:p>
      <w:pPr>
        <w:ind w:right="20" w:firstLine="456"/>
        <w:spacing w:after="0" w:line="318" w:lineRule="auto"/>
        <w:rPr>
          <w:sz w:val="20"/>
          <w:szCs w:val="20"/>
          <w:color w:val="auto"/>
        </w:rPr>
      </w:pPr>
      <w:r>
        <w:rPr>
          <w:rFonts w:ascii="Arial" w:cs="Arial" w:eastAsia="Arial" w:hAnsi="Arial"/>
          <w:sz w:val="12"/>
          <w:szCs w:val="12"/>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66"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BDC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at a particular level.</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340"/>
          </w:cols>
          <w:pgMar w:left="240" w:top="459" w:right="3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BUSINESS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 Park Floating Rate Capital Ltd.</w:t>
      </w:r>
    </w:p>
    <w:p>
      <w:pPr>
        <w:spacing w:after="0" w:line="71"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58"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U.S. middle-market public companies that are thinly traded or have a small market-capitalization.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42"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which means our net assets plus any borrowings for investment purposes, will be invested in Floating Rate Loans and other instruments bearing a variable-rate of interest which may, from time to time, include variable rate derivative instruments.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to lesser extent equity investments. Our investment size may generally range between $1 million and $10 million, on average, although we expect that this investment size will vary proportionately with the size of our capital base.</w:t>
      </w:r>
    </w:p>
    <w:p>
      <w:pPr>
        <w:spacing w:after="0" w:line="5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71" w:lineRule="exact"/>
        <w:rPr>
          <w:sz w:val="20"/>
          <w:szCs w:val="20"/>
          <w:color w:val="auto"/>
        </w:rPr>
      </w:pPr>
    </w:p>
    <w:p>
      <w:pPr>
        <w:ind w:right="140" w:firstLine="456"/>
        <w:spacing w:after="0" w:line="278" w:lineRule="auto"/>
        <w:rPr>
          <w:sz w:val="20"/>
          <w:szCs w:val="20"/>
          <w:color w:val="auto"/>
        </w:rPr>
      </w:pPr>
      <w:r>
        <w:rPr>
          <w:rFonts w:ascii="Arial" w:cs="Arial" w:eastAsia="Arial" w:hAnsi="Arial"/>
          <w:sz w:val="12"/>
          <w:szCs w:val="12"/>
          <w:color w:val="auto"/>
        </w:rPr>
        <w:t>PennantPark Floating Rate Capital Ltd., a Maryland corporation organized in October 2010, is a closed-end, externally managed, non-diversified investment company that has elected to be treated as a BDC under the 1940 Act. As such, we are required to comply with certain regulatory requirements. For instance, we generally have to hold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federal income tax purposes we elected to be treated, and intend to qualify annually, as a RIC under the Code.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Investment Adviser and Administrator</w:t>
      </w:r>
    </w:p>
    <w:p>
      <w:pPr>
        <w:spacing w:after="0" w:line="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We utilize the investing experience and contacts of PennantPark Investment Advisers in developing what we belive is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$1.8 billion in debt and equity capital and has invested approximately $2.7 billion in 270 companies with approximately 120 different financial sponsors through its managed funds.</w:t>
      </w:r>
    </w:p>
    <w:p>
      <w:pPr>
        <w:spacing w:after="0" w:line="42" w:lineRule="exact"/>
        <w:rPr>
          <w:sz w:val="20"/>
          <w:szCs w:val="20"/>
          <w:color w:val="auto"/>
        </w:rPr>
      </w:pPr>
    </w:p>
    <w:p>
      <w:pPr>
        <w:ind w:right="40" w:firstLine="456"/>
        <w:spacing w:after="0" w:line="273" w:lineRule="auto"/>
        <w:rPr>
          <w:sz w:val="20"/>
          <w:szCs w:val="20"/>
          <w:color w:val="auto"/>
        </w:rPr>
      </w:pPr>
      <w:r>
        <w:rPr>
          <w:rFonts w:ascii="Arial" w:cs="Arial" w:eastAsia="Arial" w:hAnsi="Arial"/>
          <w:sz w:val="12"/>
          <w:szCs w:val="12"/>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 —Risks Relating to our Business and Structure—There are significant potential conflicts of interest which could impact our investment returns” for more information.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Opportunity</w:t>
      </w:r>
    </w:p>
    <w:p>
      <w:pPr>
        <w:spacing w:after="0" w:line="71" w:lineRule="exact"/>
        <w:rPr>
          <w:sz w:val="20"/>
          <w:szCs w:val="20"/>
          <w:color w:val="auto"/>
        </w:rPr>
      </w:pPr>
    </w:p>
    <w:p>
      <w:pPr>
        <w:ind w:right="640" w:firstLine="456"/>
        <w:spacing w:after="0" w:line="239" w:lineRule="auto"/>
        <w:rPr>
          <w:sz w:val="20"/>
          <w:szCs w:val="20"/>
          <w:color w:val="auto"/>
        </w:rPr>
      </w:pPr>
      <w:r>
        <w:rPr>
          <w:rFonts w:ascii="Arial" w:cs="Arial" w:eastAsia="Arial" w:hAnsi="Arial"/>
          <w:sz w:val="14"/>
          <w:szCs w:val="14"/>
          <w:color w:val="auto"/>
        </w:rPr>
        <w:t>We believe that the limited amount of capital available to middle-market companies, coupled with the desire of these companies for flexible sources of capital, creates an attractive investment environment for us.</w:t>
      </w:r>
    </w:p>
    <w:p>
      <w:pPr>
        <w:spacing w:after="0" w:line="55" w:lineRule="exact"/>
        <w:rPr>
          <w:sz w:val="20"/>
          <w:szCs w:val="20"/>
          <w:color w:val="auto"/>
        </w:rPr>
      </w:pPr>
    </w:p>
    <w:p>
      <w:pPr>
        <w:jc w:val="both"/>
        <w:ind w:left="540" w:right="220" w:hanging="316"/>
        <w:spacing w:after="0" w:line="234"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increasing difficulty in raising debt through the capital markets. </w:t>
      </w:r>
      <w:r>
        <w:rPr>
          <w:rFonts w:ascii="Arial" w:cs="Arial" w:eastAsia="Arial" w:hAnsi="Arial"/>
          <w:sz w:val="14"/>
          <w:szCs w:val="14"/>
          <w:color w:val="auto"/>
        </w:rPr>
        <w:t>While many middle-market companies formerly were able to raise funds by</w:t>
      </w:r>
      <w:r>
        <w:rPr>
          <w:rFonts w:ascii="Arial" w:cs="Arial" w:eastAsia="Arial" w:hAnsi="Arial"/>
          <w:sz w:val="14"/>
          <w:szCs w:val="14"/>
          <w:b w:val="1"/>
          <w:bCs w:val="1"/>
          <w:color w:val="auto"/>
        </w:rPr>
        <w:t xml:space="preserve"> </w:t>
      </w:r>
      <w:r>
        <w:rPr>
          <w:rFonts w:ascii="Arial" w:cs="Arial" w:eastAsia="Arial" w:hAnsi="Arial"/>
          <w:sz w:val="14"/>
          <w:szCs w:val="14"/>
          <w:color w:val="auto"/>
        </w:rPr>
        <w:t>issuing high-yield bonds, we believe this approach to financing has become more difficult as institutional investors have sought to invest in larger, more liquid offerings. We believe this has made it harder for middle-market companies to raise funds by issuing high-yield securities.</w:t>
      </w:r>
    </w:p>
    <w:p>
      <w:pPr>
        <w:spacing w:after="0" w:line="55" w:lineRule="exact"/>
        <w:rPr>
          <w:rFonts w:ascii="Arial" w:cs="Arial" w:eastAsia="Arial" w:hAnsi="Arial"/>
          <w:sz w:val="14"/>
          <w:szCs w:val="14"/>
          <w:color w:val="auto"/>
        </w:rPr>
      </w:pPr>
    </w:p>
    <w:p>
      <w:pPr>
        <w:ind w:left="540" w:hanging="316"/>
        <w:spacing w:after="0" w:line="241"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difficulty raising debt in private markets. </w:t>
      </w:r>
      <w:r>
        <w:rPr>
          <w:rFonts w:ascii="Arial" w:cs="Arial" w:eastAsia="Arial" w:hAnsi="Arial"/>
          <w:sz w:val="14"/>
          <w:szCs w:val="14"/>
          <w:color w:val="auto"/>
        </w:rPr>
        <w:t>Banks, finance companies, hedge funds and CLO funds have withdrawn capital from the middle-market</w:t>
      </w:r>
      <w:r>
        <w:rPr>
          <w:rFonts w:ascii="Arial" w:cs="Arial" w:eastAsia="Arial" w:hAnsi="Arial"/>
          <w:sz w:val="14"/>
          <w:szCs w:val="14"/>
          <w:b w:val="1"/>
          <w:bCs w:val="1"/>
          <w:color w:val="auto"/>
        </w:rPr>
        <w:t xml:space="preserve"> </w:t>
      </w:r>
      <w:r>
        <w:rPr>
          <w:rFonts w:ascii="Arial" w:cs="Arial" w:eastAsia="Arial" w:hAnsi="Arial"/>
          <w:sz w:val="14"/>
          <w:szCs w:val="14"/>
          <w:color w:val="auto"/>
        </w:rPr>
        <w:t>resulting in opportunities for alternative funding sources.</w:t>
      </w:r>
    </w:p>
    <w:p>
      <w:pPr>
        <w:spacing w:after="0" w:line="54" w:lineRule="exact"/>
        <w:rPr>
          <w:rFonts w:ascii="Arial" w:cs="Arial" w:eastAsia="Arial" w:hAnsi="Arial"/>
          <w:sz w:val="14"/>
          <w:szCs w:val="14"/>
          <w:color w:val="auto"/>
        </w:rPr>
      </w:pPr>
    </w:p>
    <w:p>
      <w:pPr>
        <w:ind w:left="540" w:right="280" w:hanging="316"/>
        <w:spacing w:after="0" w:line="234"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that the current credit market dislocation for middle-market companies improves the risk-adjusted returns of our investments. </w:t>
      </w:r>
      <w:r>
        <w:rPr>
          <w:rFonts w:ascii="Arial" w:cs="Arial" w:eastAsia="Arial" w:hAnsi="Arial"/>
          <w:sz w:val="14"/>
          <w:szCs w:val="14"/>
          <w:color w:val="auto"/>
        </w:rPr>
        <w:t>In the current credit environment, market</w:t>
      </w:r>
      <w:r>
        <w:rPr>
          <w:rFonts w:ascii="Arial" w:cs="Arial" w:eastAsia="Arial" w:hAnsi="Arial"/>
          <w:sz w:val="14"/>
          <w:szCs w:val="14"/>
          <w:b w:val="1"/>
          <w:bCs w:val="1"/>
          <w:color w:val="auto"/>
        </w:rPr>
        <w:t xml:space="preserve"> </w:t>
      </w:r>
      <w:r>
        <w:rPr>
          <w:rFonts w:ascii="Arial" w:cs="Arial" w:eastAsia="Arial" w:hAnsi="Arial"/>
          <w:sz w:val="14"/>
          <w:szCs w:val="14"/>
          <w:color w:val="auto"/>
        </w:rPr>
        <w:t>participants have reduced lending to middle-market and non-investment grade borrowers. As a result, there is less competition in our market, more conservative capital structures, higher yields and stronger covenants.</w:t>
      </w:r>
    </w:p>
    <w:p>
      <w:pPr>
        <w:spacing w:after="0" w:line="55" w:lineRule="exact"/>
        <w:rPr>
          <w:rFonts w:ascii="Arial" w:cs="Arial" w:eastAsia="Arial" w:hAnsi="Arial"/>
          <w:sz w:val="14"/>
          <w:szCs w:val="14"/>
          <w:color w:val="auto"/>
        </w:rPr>
      </w:pPr>
    </w:p>
    <w:p>
      <w:pPr>
        <w:ind w:left="540" w:right="100" w:hanging="316"/>
        <w:spacing w:after="0" w:line="231"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4"/>
          <w:szCs w:val="14"/>
          <w:color w:val="auto"/>
        </w:rPr>
        <w:t>We expect that private</w:t>
      </w:r>
      <w:r>
        <w:rPr>
          <w:rFonts w:ascii="Arial" w:cs="Arial" w:eastAsia="Arial" w:hAnsi="Arial"/>
          <w:sz w:val="14"/>
          <w:szCs w:val="14"/>
          <w:b w:val="1"/>
          <w:bCs w:val="1"/>
          <w:color w:val="auto"/>
        </w:rPr>
        <w:t xml:space="preserve"> </w:t>
      </w:r>
      <w:r>
        <w:rPr>
          <w:rFonts w:ascii="Arial" w:cs="Arial" w:eastAsia="Arial" w:hAnsi="Arial"/>
          <w:sz w:val="14"/>
          <w:szCs w:val="14"/>
          <w:color w:val="auto"/>
        </w:rPr>
        <w:t>equity firms will continue to be active investors in middle-market companies. These 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55" w:lineRule="exact"/>
        <w:rPr>
          <w:rFonts w:ascii="Arial" w:cs="Arial" w:eastAsia="Arial" w:hAnsi="Arial"/>
          <w:sz w:val="14"/>
          <w:szCs w:val="14"/>
          <w:color w:val="auto"/>
        </w:rPr>
      </w:pPr>
    </w:p>
    <w:p>
      <w:pPr>
        <w:ind w:left="540" w:right="240" w:hanging="316"/>
        <w:spacing w:after="0" w:line="231"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a substantial supply of opportunities. </w:t>
      </w:r>
      <w:r>
        <w:rPr>
          <w:rFonts w:ascii="Arial" w:cs="Arial" w:eastAsia="Arial" w:hAnsi="Arial"/>
          <w:sz w:val="14"/>
          <w:szCs w:val="14"/>
          <w:color w:val="auto"/>
        </w:rPr>
        <w:t>A high volume of 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the reduced supply of credit described above should increase lending opportunities for us. We believe this supply of opportunities coupled with lack of demand offers attractive risk-adjusted returns to investors.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Competitive Advantages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believe that we have the following competitive advantages over other capital providers in middle-market companies:</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a) Experienced Management Team</w:t>
      </w:r>
    </w:p>
    <w:p>
      <w:pPr>
        <w:spacing w:after="0" w:line="69" w:lineRule="exact"/>
        <w:rPr>
          <w:sz w:val="20"/>
          <w:szCs w:val="20"/>
          <w:color w:val="auto"/>
        </w:rPr>
      </w:pPr>
    </w:p>
    <w:p>
      <w:pPr>
        <w:ind w:right="220" w:firstLine="456"/>
        <w:spacing w:after="0" w:line="288" w:lineRule="auto"/>
        <w:rPr>
          <w:sz w:val="20"/>
          <w:szCs w:val="20"/>
          <w:color w:val="auto"/>
        </w:rPr>
      </w:pPr>
      <w:r>
        <w:rPr>
          <w:rFonts w:ascii="Arial" w:cs="Arial" w:eastAsia="Arial" w:hAnsi="Arial"/>
          <w:sz w:val="12"/>
          <w:szCs w:val="12"/>
          <w:color w:val="auto"/>
        </w:rPr>
        <w:t>The senior investment professionals of our Investment Adviser have worked together for many years and average over 20 years of experience in mezzanine lending, leveraged finance, distressed debt and private equity businesses. These senior investment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30"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Lending to middle-market companies requires in 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and underwriting capabilities, and more extensive ongoing monitoring are required by the lender.</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b) Disciplined Investment Approach with Strong Value Orientation</w:t>
      </w:r>
    </w:p>
    <w:p>
      <w:pPr>
        <w:spacing w:after="0" w:line="69"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2"/>
          <w:szCs w:val="12"/>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3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 – Investment Selection Criteria” for more information.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to engaging in extensive due diligence, our Investment Adviser seeks to reduce risk by focusing on businesses with:</w:t>
      </w:r>
    </w:p>
    <w:p>
      <w:pPr>
        <w:spacing w:after="0" w:line="69" w:lineRule="exact"/>
        <w:rPr>
          <w:sz w:val="20"/>
          <w:szCs w:val="20"/>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strong competitive positions;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positive cash flow that is steady and stable;</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experienced management teams with strong track records;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potential for growth and viable exit strategies;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capital structures offering appropriate risk-adjusted terms and covenants.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c) Ability to Source and Evaluate Transactions through our Investment Adviser’s Research Capability and Established Network</w:t>
      </w:r>
    </w:p>
    <w:p>
      <w:pPr>
        <w:spacing w:after="0" w:line="69"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senior investment professionals of our Investment Adviser have long-term relationships.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d) Flexible Transaction Structuring</w:t>
      </w:r>
    </w:p>
    <w:p>
      <w:pPr>
        <w:spacing w:after="0" w:line="69"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2"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58"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71"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Our primary competitors provide financing to middle-market companies and include other BDCs, commercial and investment banks, commercial finance companies, CLOs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36" w:lineRule="exact"/>
        <w:rPr>
          <w:sz w:val="20"/>
          <w:szCs w:val="20"/>
          <w:color w:val="auto"/>
        </w:rPr>
      </w:pPr>
    </w:p>
    <w:p>
      <w:pPr>
        <w:jc w:val="both"/>
        <w:ind w:right="60" w:firstLine="456"/>
        <w:spacing w:after="0" w:line="278" w:lineRule="auto"/>
        <w:rPr>
          <w:sz w:val="20"/>
          <w:szCs w:val="20"/>
          <w:color w:val="auto"/>
        </w:rPr>
      </w:pPr>
      <w:r>
        <w:rPr>
          <w:rFonts w:ascii="Arial" w:cs="Arial" w:eastAsia="Arial" w:hAnsi="Arial"/>
          <w:sz w:val="12"/>
          <w:szCs w:val="12"/>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Leverage</w:t>
      </w:r>
    </w:p>
    <w:p>
      <w:pPr>
        <w:spacing w:after="0" w:line="71" w:lineRule="exact"/>
        <w:rPr>
          <w:sz w:val="20"/>
          <w:szCs w:val="20"/>
          <w:color w:val="auto"/>
        </w:rPr>
      </w:pPr>
    </w:p>
    <w:p>
      <w:pPr>
        <w:ind w:right="20" w:firstLine="342"/>
        <w:spacing w:after="0" w:line="227" w:lineRule="auto"/>
        <w:rPr>
          <w:sz w:val="20"/>
          <w:szCs w:val="20"/>
          <w:color w:val="auto"/>
        </w:rPr>
      </w:pPr>
      <w:r>
        <w:rPr>
          <w:rFonts w:ascii="Arial" w:cs="Arial" w:eastAsia="Arial" w:hAnsi="Arial"/>
          <w:sz w:val="14"/>
          <w:szCs w:val="14"/>
          <w:color w:val="auto"/>
        </w:rPr>
        <w:t>We maintain a $125 million Credit Facility, which matures in May 2018, with the Lender. During the Credit Facility’s revolving period, it bears interest at LIBOR plus 200 basis points, and after the revolving period, the rate sets to LIBOR plus 425 basis points for the remaining two years. The Credit Facility is secured by all of the assets held by Funding I, under which we had $85.6 million outstanding with a weighted average interest rate of 2.20%, excluding the undrawn commitment fee of 0.375%, as of June 30, 2013. We believe that our capital resources provide us with the flexibility to take advantage of market opportunities when they arise. Our use of leverage, as calculated under the asset coverage requirements of the 1940 Act, may generally range between 70% to 90% of our net assets, or 40% to 50% of our Managed Assets. We cannot assure investors that our leverage will remain within the range. The amount of leverage that we employ will depend on our assessment of the market and other factors at the time of any proposed borrowing.</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INVESTMENT OBJECTIVES AND POLICIES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Policy Overview</w:t>
      </w:r>
    </w:p>
    <w:p>
      <w:pPr>
        <w:spacing w:after="0" w:line="71"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We seek to create a diversified portfolio primarily of Floating Rate Loans by generally targeting an investment size of $1 million to $10 million in securities, on average, of U.S. middle-market private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3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Objectives and Policies—Investment Selection Criteria” for more information.</w:t>
      </w:r>
    </w:p>
    <w:p>
      <w:pPr>
        <w:spacing w:after="0" w:line="140"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Selection Criteria</w:t>
      </w:r>
    </w:p>
    <w:p>
      <w:pPr>
        <w:spacing w:after="0" w:line="71"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We are committed to a value oriented philosophy used by the senior investment professionals who manage our portfolio and seek to minimize the risk of capital loss without foregoing potential for capital appreciation.</w:t>
      </w:r>
    </w:p>
    <w:p>
      <w:pPr>
        <w:spacing w:after="0" w:line="139" w:lineRule="exact"/>
        <w:rPr>
          <w:sz w:val="20"/>
          <w:szCs w:val="20"/>
          <w:color w:val="auto"/>
        </w:rPr>
      </w:pPr>
    </w:p>
    <w:p>
      <w:pPr>
        <w:ind w:right="140" w:firstLine="456"/>
        <w:spacing w:after="0" w:line="233" w:lineRule="auto"/>
        <w:rPr>
          <w:sz w:val="20"/>
          <w:szCs w:val="20"/>
          <w:color w:val="auto"/>
        </w:rPr>
      </w:pPr>
      <w:r>
        <w:rPr>
          <w:rFonts w:ascii="Arial" w:cs="Arial" w:eastAsia="Arial" w:hAnsi="Arial"/>
          <w:sz w:val="14"/>
          <w:szCs w:val="14"/>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quickly and effectively.</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Leading and defensible competitive market positions</w:t>
      </w:r>
    </w:p>
    <w:p>
      <w:pPr>
        <w:spacing w:after="0" w:line="69"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will seek portfolio companies that it believes possess advantages in scale, scope, customer loyalty, product pricing or product quality as compared to their competitors.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in stable borrowers with positive cash flow</w:t>
      </w:r>
    </w:p>
    <w:p>
      <w:pPr>
        <w:spacing w:after="0" w:line="69" w:lineRule="exact"/>
        <w:rPr>
          <w:sz w:val="20"/>
          <w:szCs w:val="20"/>
          <w:color w:val="auto"/>
        </w:rPr>
      </w:pPr>
    </w:p>
    <w:p>
      <w:pPr>
        <w:ind w:right="240" w:firstLine="456"/>
        <w:spacing w:after="0" w:line="288" w:lineRule="auto"/>
        <w:rPr>
          <w:sz w:val="20"/>
          <w:szCs w:val="20"/>
          <w:color w:val="auto"/>
        </w:rPr>
      </w:pPr>
      <w:r>
        <w:rPr>
          <w:rFonts w:ascii="Arial" w:cs="Arial" w:eastAsia="Arial" w:hAnsi="Arial"/>
          <w:sz w:val="12"/>
          <w:szCs w:val="12"/>
          <w:color w:val="auto"/>
        </w:rPr>
        <w:t>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Proven management teams</w:t>
      </w:r>
    </w:p>
    <w:p>
      <w:pPr>
        <w:spacing w:after="0" w:line="69" w:lineRule="exact"/>
        <w:rPr>
          <w:sz w:val="20"/>
          <w:szCs w:val="20"/>
          <w:color w:val="auto"/>
        </w:rPr>
      </w:pPr>
    </w:p>
    <w:p>
      <w:pPr>
        <w:ind w:right="280" w:firstLine="456"/>
        <w:spacing w:after="0" w:line="239" w:lineRule="auto"/>
        <w:rPr>
          <w:sz w:val="20"/>
          <w:szCs w:val="20"/>
          <w:color w:val="auto"/>
        </w:rPr>
      </w:pPr>
      <w:r>
        <w:rPr>
          <w:rFonts w:ascii="Arial" w:cs="Arial" w:eastAsia="Arial" w:hAnsi="Arial"/>
          <w:sz w:val="14"/>
          <w:szCs w:val="14"/>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Private equity sponsorship</w:t>
      </w:r>
    </w:p>
    <w:p>
      <w:pPr>
        <w:spacing w:after="0" w:line="69" w:lineRule="exact"/>
        <w:rPr>
          <w:sz w:val="20"/>
          <w:szCs w:val="20"/>
          <w:color w:val="auto"/>
        </w:rPr>
      </w:pPr>
    </w:p>
    <w:p>
      <w:pPr>
        <w:ind w:right="140" w:firstLine="456"/>
        <w:spacing w:after="0" w:line="288" w:lineRule="auto"/>
        <w:rPr>
          <w:sz w:val="20"/>
          <w:szCs w:val="20"/>
          <w:color w:val="auto"/>
        </w:rPr>
      </w:pPr>
      <w:r>
        <w:rPr>
          <w:rFonts w:ascii="Arial" w:cs="Arial" w:eastAsia="Arial" w:hAnsi="Arial"/>
          <w:sz w:val="12"/>
          <w:szCs w:val="12"/>
          <w:color w:val="auto"/>
        </w:rPr>
        <w:t>The Investment Adviser may seek to cause us to participate in transactions sponsored by what it believes to be high-quality private equity firms. The Investment Adviser believes that a private equity sponsor’s willingness to invest significant equity capital in a company is an implicit endorsement of the quality of that company. Further, private equity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Investments in different borrowers and industries</w:t>
      </w:r>
    </w:p>
    <w:p>
      <w:pPr>
        <w:spacing w:after="0" w:line="69"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The Investment Adviser seeks to invest our assets broadly among portfolio companies and across industries. The Investment Adviser believes that this diversified approach may reduce the risk that a downturn in any one company or industry will have a disproportionate impact on the value of our portfolio.</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Viable exit strategy</w:t>
      </w:r>
    </w:p>
    <w:p>
      <w:pPr>
        <w:spacing w:after="0" w:line="6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We seek to invest in portfolio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will exit from our investments over time. In addition, we seek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markets transaction.</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Due Diligence</w:t>
      </w:r>
    </w:p>
    <w:p>
      <w:pPr>
        <w:spacing w:after="0" w:line="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due diligence typically includes:</w:t>
      </w:r>
    </w:p>
    <w:p>
      <w:pPr>
        <w:spacing w:after="0" w:line="69" w:lineRule="exact"/>
        <w:rPr>
          <w:sz w:val="20"/>
          <w:szCs w:val="20"/>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review of historical and prospective financial information;</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on-site visits;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interviews with management, employees, customers and vendors of the potential portfolio company;</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review of loan documents;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background checks;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research relating to the company’s management, industry, markets, products and services and competitors.</w:t>
      </w:r>
    </w:p>
    <w:p>
      <w:pPr>
        <w:spacing w:after="0" w:line="150" w:lineRule="exact"/>
        <w:rPr>
          <w:sz w:val="20"/>
          <w:szCs w:val="20"/>
          <w:color w:val="auto"/>
        </w:rPr>
      </w:pPr>
    </w:p>
    <w:p>
      <w:pPr>
        <w:jc w:val="both"/>
        <w:ind w:right="320" w:firstLine="456"/>
        <w:spacing w:after="0" w:line="288" w:lineRule="auto"/>
        <w:rPr>
          <w:sz w:val="20"/>
          <w:szCs w:val="20"/>
          <w:color w:val="auto"/>
        </w:rPr>
      </w:pPr>
      <w:r>
        <w:rPr>
          <w:rFonts w:ascii="Arial" w:cs="Arial" w:eastAsia="Arial" w:hAnsi="Arial"/>
          <w:sz w:val="12"/>
          <w:szCs w:val="12"/>
          <w:color w:val="auto"/>
        </w:rPr>
        <w:t>Upon the completion of due diligence and a decision to proceed with an investment in a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11"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Additional due diligence with respect to any investment may be conducted on our behalf by attorneys and independent auditors prior to the closing of the investment, as well as other outside advisers, as appropriate.</w:t>
      </w:r>
    </w:p>
    <w:p>
      <w:pPr>
        <w:spacing w:after="0" w:line="139" w:lineRule="exact"/>
        <w:rPr>
          <w:sz w:val="20"/>
          <w:szCs w:val="20"/>
          <w:color w:val="auto"/>
        </w:rPr>
      </w:pPr>
    </w:p>
    <w:p>
      <w:pPr>
        <w:ind w:right="160" w:firstLine="456"/>
        <w:spacing w:after="0" w:line="265" w:lineRule="auto"/>
        <w:rPr>
          <w:sz w:val="20"/>
          <w:szCs w:val="20"/>
          <w:color w:val="auto"/>
        </w:rPr>
      </w:pPr>
      <w:r>
        <w:rPr>
          <w:rFonts w:ascii="Arial" w:cs="Arial" w:eastAsia="Arial" w:hAnsi="Arial"/>
          <w:sz w:val="12"/>
          <w:szCs w:val="12"/>
          <w:color w:val="auto"/>
        </w:rPr>
        <w:t>The Investment Adviser monitors credit risk of each portfolio company regularly and periodically with a goal toward identifying early, and when able and appropriate selling, Floating Rate Loans and other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w:t>
      </w:r>
    </w:p>
    <w:p>
      <w:pPr>
        <w:spacing w:after="0" w:line="1" w:lineRule="exact"/>
        <w:rPr>
          <w:sz w:val="20"/>
          <w:szCs w:val="20"/>
          <w:color w:val="auto"/>
        </w:rPr>
      </w:pPr>
    </w:p>
    <w:p>
      <w:pPr>
        <w:ind w:right="40" w:firstLine="8"/>
        <w:spacing w:after="0" w:line="230" w:lineRule="auto"/>
        <w:tabs>
          <w:tab w:leader="none" w:pos="191"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39" w:lineRule="exact"/>
        <w:rPr>
          <w:sz w:val="20"/>
          <w:szCs w:val="20"/>
          <w:color w:val="auto"/>
        </w:rPr>
      </w:pPr>
    </w:p>
    <w:p>
      <w:pPr>
        <w:ind w:right="220" w:firstLine="456"/>
        <w:spacing w:after="0" w:line="318" w:lineRule="auto"/>
        <w:rPr>
          <w:sz w:val="20"/>
          <w:szCs w:val="20"/>
          <w:color w:val="auto"/>
        </w:rPr>
      </w:pPr>
      <w:r>
        <w:rPr>
          <w:rFonts w:ascii="Arial" w:cs="Arial" w:eastAsia="Arial" w:hAnsi="Arial"/>
          <w:sz w:val="12"/>
          <w:szCs w:val="12"/>
          <w:color w:val="auto"/>
        </w:rPr>
        <w:t>Under normal market conditions, we expect that at least 80% of our Managed Assets will be invested in Floating Rate Loans and other instruments bearing a variable rate of interest which may, from time to time, include variable rate derivative instruments. This policy is not fundamental and may be changed by our board of directors with at least 60 days prior written notice provided to stockholders.</w:t>
      </w:r>
    </w:p>
    <w:p>
      <w:pPr>
        <w:spacing w:after="0" w:line="94" w:lineRule="exact"/>
        <w:rPr>
          <w:sz w:val="20"/>
          <w:szCs w:val="20"/>
          <w:color w:val="auto"/>
        </w:rPr>
      </w:pPr>
    </w:p>
    <w:p>
      <w:pPr>
        <w:ind w:firstLine="456"/>
        <w:spacing w:after="0" w:line="269" w:lineRule="auto"/>
        <w:rPr>
          <w:sz w:val="20"/>
          <w:szCs w:val="20"/>
          <w:color w:val="auto"/>
        </w:rPr>
      </w:pPr>
      <w:r>
        <w:rPr>
          <w:rFonts w:ascii="Arial" w:cs="Arial" w:eastAsia="Arial" w:hAnsi="Arial"/>
          <w:sz w:val="12"/>
          <w:szCs w:val="12"/>
          <w:color w:val="auto"/>
        </w:rPr>
        <w:t>The Investment Adviser seeks to achieve our investment objectives through a disciplined approach to the selection of credit investments and its evaluation of portfolio companies. The Investment Adviser also gains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274"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While our investment objectives are to seek high current income and capital appreciation through investments in Floating Rate Loans, we may invest up to 35% of the portfolio in opportunistic investments. These investments may include investments in high-yield bonds, distressed debt, private equity or securities of public companies and securities of companies located outside of the United States. We expect that these public foreign companies generally will have debt securities that are non-investment grade.</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Structure</w:t>
      </w:r>
    </w:p>
    <w:p>
      <w:pPr>
        <w:spacing w:after="0" w:line="71"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94" w:lineRule="exact"/>
        <w:rPr>
          <w:sz w:val="20"/>
          <w:szCs w:val="20"/>
          <w:color w:val="auto"/>
        </w:rPr>
      </w:pPr>
    </w:p>
    <w:p>
      <w:pPr>
        <w:ind w:right="140" w:firstLine="342"/>
        <w:spacing w:after="0" w:line="239" w:lineRule="auto"/>
        <w:rPr>
          <w:sz w:val="20"/>
          <w:szCs w:val="20"/>
          <w:color w:val="auto"/>
        </w:rPr>
      </w:pPr>
      <w:r>
        <w:rPr>
          <w:rFonts w:ascii="Arial" w:cs="Arial" w:eastAsia="Arial" w:hAnsi="Arial"/>
          <w:sz w:val="14"/>
          <w:szCs w:val="14"/>
          <w:color w:val="auto"/>
        </w:rPr>
        <w:t>We expect our Floating Rate Loans to have terms of three to ten years. We may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320" w:firstLine="342"/>
        <w:spacing w:after="0" w:line="288" w:lineRule="auto"/>
        <w:rPr>
          <w:sz w:val="20"/>
          <w:szCs w:val="20"/>
          <w:color w:val="auto"/>
        </w:rPr>
      </w:pPr>
      <w:r>
        <w:rPr>
          <w:rFonts w:ascii="Arial" w:cs="Arial" w:eastAsia="Arial" w:hAnsi="Arial"/>
          <w:sz w:val="12"/>
          <w:szCs w:val="12"/>
          <w:color w:val="auto"/>
        </w:rPr>
        <w:t>Certain Floating Rate Loans may have interest-only payments in the early years, cash or PIK payments with amortization of principal deferred to the later years.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11" w:lineRule="exact"/>
        <w:rPr>
          <w:sz w:val="20"/>
          <w:szCs w:val="20"/>
          <w:color w:val="auto"/>
        </w:rPr>
      </w:pPr>
    </w:p>
    <w:p>
      <w:pPr>
        <w:ind w:right="100" w:firstLine="342"/>
        <w:spacing w:after="0" w:line="233" w:lineRule="auto"/>
        <w:rPr>
          <w:sz w:val="20"/>
          <w:szCs w:val="20"/>
          <w:color w:val="auto"/>
        </w:rPr>
      </w:pPr>
      <w:r>
        <w:rPr>
          <w:rFonts w:ascii="Arial" w:cs="Arial" w:eastAsia="Arial" w:hAnsi="Arial"/>
          <w:sz w:val="14"/>
          <w:szCs w:val="14"/>
          <w:color w:val="auto"/>
        </w:rPr>
        <w:t>In the case of our Floating Rate Loans,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58" w:lineRule="exact"/>
        <w:rPr>
          <w:sz w:val="20"/>
          <w:szCs w:val="20"/>
          <w:color w:val="auto"/>
        </w:rPr>
      </w:pPr>
    </w:p>
    <w:p>
      <w:pPr>
        <w:ind w:left="540" w:hanging="316"/>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requiring a total return on our investments (including both interest and potential equity appreciation) that compensates us for credit risk;</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incorporating “put” rights and call protection into the investment structure; and</w:t>
      </w:r>
    </w:p>
    <w:p>
      <w:pPr>
        <w:spacing w:after="0" w:line="68" w:lineRule="exact"/>
        <w:rPr>
          <w:rFonts w:ascii="Arial" w:cs="Arial" w:eastAsia="Arial" w:hAnsi="Arial"/>
          <w:sz w:val="14"/>
          <w:szCs w:val="14"/>
          <w:color w:val="auto"/>
        </w:rPr>
      </w:pPr>
    </w:p>
    <w:p>
      <w:pPr>
        <w:jc w:val="both"/>
        <w:ind w:left="540" w:right="160" w:hanging="316"/>
        <w:spacing w:after="0" w:line="318" w:lineRule="auto"/>
        <w:tabs>
          <w:tab w:leader="none" w:pos="5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94"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7"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Ongoing Relationships with Portfolio Companies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Monitoring</w:t>
      </w:r>
    </w:p>
    <w:p>
      <w:pPr>
        <w:spacing w:after="0" w:line="6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Investment Adviser has several methods of evaluating and monitoring the performance and fair value of our investments, which may include the following:</w:t>
      </w:r>
    </w:p>
    <w:p>
      <w:pPr>
        <w:spacing w:after="0" w:line="69" w:lineRule="exact"/>
        <w:rPr>
          <w:sz w:val="20"/>
          <w:szCs w:val="20"/>
          <w:color w:val="auto"/>
        </w:rPr>
      </w:pPr>
    </w:p>
    <w:p>
      <w:pPr>
        <w:ind w:left="540" w:hanging="316"/>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Assessment of success in adhering to portfolio company’s business plan and compliance with covenants;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Periodic or regular contact with portfolio company management and, if appropriate, the financial or strategic sponsor, to discuss financial position, requirement and accomplishments;</w:t>
      </w:r>
    </w:p>
    <w:p>
      <w:pPr>
        <w:spacing w:after="0" w:line="91" w:lineRule="exact"/>
        <w:rPr>
          <w:rFonts w:ascii="Arial" w:cs="Arial" w:eastAsia="Arial" w:hAnsi="Arial"/>
          <w:sz w:val="12"/>
          <w:szCs w:val="12"/>
          <w:color w:val="auto"/>
        </w:rPr>
      </w:pPr>
    </w:p>
    <w:p>
      <w:pPr>
        <w:ind w:left="540" w:hanging="316"/>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Comparisons to other portfolio companies in the industry, if any;</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Attendance at and participation in board meetings or presentations by portfolio companies;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Review of monthly and quarterly financial statements and financial projections of portfolio companies.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Managerial assistance</w:t>
      </w:r>
    </w:p>
    <w:p>
      <w:pPr>
        <w:spacing w:after="0" w:line="6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We offer managerial assistance to our portfolio companies. As a BDC, we are required to make available such managerial assistance within the meaning of section 55 of the 1940 Act. See “Regulation” for more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Staffing</w:t>
      </w:r>
    </w:p>
    <w:p>
      <w:pPr>
        <w:spacing w:after="0" w:line="69" w:lineRule="exact"/>
        <w:rPr>
          <w:sz w:val="20"/>
          <w:szCs w:val="20"/>
          <w:color w:val="auto"/>
        </w:rPr>
      </w:pPr>
    </w:p>
    <w:p>
      <w:pPr>
        <w:ind w:right="460" w:firstLine="456"/>
        <w:spacing w:after="0" w:line="239" w:lineRule="auto"/>
        <w:rPr>
          <w:sz w:val="20"/>
          <w:szCs w:val="20"/>
          <w:color w:val="auto"/>
        </w:rPr>
      </w:pPr>
      <w:r>
        <w:rPr>
          <w:rFonts w:ascii="Arial" w:cs="Arial" w:eastAsia="Arial" w:hAnsi="Arial"/>
          <w:sz w:val="14"/>
          <w:szCs w:val="14"/>
          <w:color w:val="auto"/>
        </w:rPr>
        <w:t>We do not currently have any employees. Our Investment Adviser and Administrator have hired and expect to continue to hire professionals with skills applicable to our business plan, including experience in middle-market investing, leveraged finance and capital markets.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Consolidated Portfolio</w:t>
      </w:r>
    </w:p>
    <w:p>
      <w:pPr>
        <w:spacing w:after="0" w:line="71" w:lineRule="exact"/>
        <w:rPr>
          <w:sz w:val="20"/>
          <w:szCs w:val="20"/>
          <w:color w:val="auto"/>
        </w:rPr>
      </w:pPr>
    </w:p>
    <w:p>
      <w:pPr>
        <w:ind w:firstLine="456"/>
        <w:spacing w:after="0" w:line="318" w:lineRule="auto"/>
        <w:rPr>
          <w:sz w:val="20"/>
          <w:szCs w:val="20"/>
          <w:color w:val="auto"/>
        </w:rPr>
      </w:pPr>
      <w:r>
        <w:rPr>
          <w:rFonts w:ascii="Arial" w:cs="Arial" w:eastAsia="Arial" w:hAnsi="Arial"/>
          <w:sz w:val="12"/>
          <w:szCs w:val="12"/>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75"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Aerospace and Defense</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Environmental Services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Auto Sector</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Financial Services</w:t>
            </w:r>
          </w:p>
        </w:tc>
      </w:tr>
      <w:tr>
        <w:trPr>
          <w:trHeight w:val="230"/>
        </w:trPr>
        <w:tc>
          <w:tcPr>
            <w:tcW w:w="3960" w:type="dxa"/>
            <w:vAlign w:val="bottom"/>
            <w:gridSpan w:val="2"/>
          </w:tcPr>
          <w:p>
            <w:pPr>
              <w:spacing w:after="0"/>
              <w:rPr>
                <w:sz w:val="20"/>
                <w:szCs w:val="20"/>
                <w:color w:val="auto"/>
              </w:rPr>
            </w:pPr>
            <w:r>
              <w:rPr>
                <w:rFonts w:ascii="Arial" w:cs="Arial" w:eastAsia="Arial" w:hAnsi="Arial"/>
                <w:sz w:val="14"/>
                <w:szCs w:val="14"/>
                <w:color w:val="auto"/>
              </w:rPr>
              <w:t>•   Beverage, Food and Tobacco</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Grocery</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Broadcasting and Entertainment</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Healthcare, Education and Childcare</w:t>
            </w:r>
          </w:p>
        </w:tc>
      </w:tr>
      <w:tr>
        <w:trPr>
          <w:trHeight w:val="230"/>
        </w:trPr>
        <w:tc>
          <w:tcPr>
            <w:tcW w:w="3960" w:type="dxa"/>
            <w:vAlign w:val="bottom"/>
            <w:gridSpan w:val="2"/>
          </w:tcPr>
          <w:p>
            <w:pPr>
              <w:spacing w:after="0"/>
              <w:rPr>
                <w:sz w:val="20"/>
                <w:szCs w:val="20"/>
                <w:color w:val="auto"/>
              </w:rPr>
            </w:pPr>
            <w:r>
              <w:rPr>
                <w:rFonts w:ascii="Arial" w:cs="Arial" w:eastAsia="Arial" w:hAnsi="Arial"/>
                <w:sz w:val="14"/>
                <w:szCs w:val="14"/>
                <w:color w:val="auto"/>
              </w:rPr>
              <w:t>•   Buildings and Real Estate</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High Tech Industries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Business Services</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w w:val="87"/>
              </w:rPr>
              <w:t>Home &amp; Office Furnishings, Housewares &amp; Durable Consumer Products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Cable Television</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Hotels, Motels, Inns and Gaming</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Cargo Transportation</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Insurance</w:t>
            </w:r>
          </w:p>
        </w:tc>
      </w:tr>
      <w:tr>
        <w:trPr>
          <w:trHeight w:val="230"/>
        </w:trPr>
        <w:tc>
          <w:tcPr>
            <w:tcW w:w="3960" w:type="dxa"/>
            <w:vAlign w:val="bottom"/>
            <w:gridSpan w:val="2"/>
          </w:tcPr>
          <w:p>
            <w:pPr>
              <w:spacing w:after="0"/>
              <w:rPr>
                <w:sz w:val="20"/>
                <w:szCs w:val="20"/>
                <w:color w:val="auto"/>
              </w:rPr>
            </w:pPr>
            <w:r>
              <w:rPr>
                <w:rFonts w:ascii="Arial" w:cs="Arial" w:eastAsia="Arial" w:hAnsi="Arial"/>
                <w:sz w:val="14"/>
                <w:szCs w:val="14"/>
                <w:color w:val="auto"/>
              </w:rPr>
              <w:t>•   Chemicals, Plastics and Rubber</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Leisure, Amusement, Motion Picture, Entertainment</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Communications</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Logistics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Consumer Goods: Durable</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Manufacturing / Basic Industries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Consumer Goods: Non-Durable</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Media; Broadcasting and Subscription</w:t>
            </w:r>
          </w:p>
        </w:tc>
      </w:tr>
      <w:tr>
        <w:trPr>
          <w:trHeight w:val="230"/>
        </w:trPr>
        <w:tc>
          <w:tcPr>
            <w:tcW w:w="3960" w:type="dxa"/>
            <w:vAlign w:val="bottom"/>
            <w:gridSpan w:val="2"/>
          </w:tcPr>
          <w:p>
            <w:pPr>
              <w:spacing w:after="0"/>
              <w:rPr>
                <w:sz w:val="20"/>
                <w:szCs w:val="20"/>
                <w:color w:val="auto"/>
              </w:rPr>
            </w:pPr>
            <w:r>
              <w:rPr>
                <w:rFonts w:ascii="Arial" w:cs="Arial" w:eastAsia="Arial" w:hAnsi="Arial"/>
                <w:sz w:val="14"/>
                <w:szCs w:val="14"/>
                <w:color w:val="auto"/>
              </w:rPr>
              <w:t>•   Containers Packaging &amp; Glass</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Mining, Steel, Iron and Non-Precious Metals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Distribution</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Oil and Gas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Diversified/Conglomerate Manufacturing</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Other Media</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Diversified/Conglomerate Services</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Personal, Food and Miscellaneous Services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Education</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Printing and Publishing</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Energy / Utilities</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Retail Stores</w:t>
            </w:r>
          </w:p>
        </w:tc>
      </w:tr>
      <w:tr>
        <w:trPr>
          <w:trHeight w:val="230"/>
        </w:trPr>
        <w:tc>
          <w:tcPr>
            <w:tcW w:w="1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Telecommunications</w:t>
            </w:r>
          </w:p>
        </w:tc>
      </w:tr>
      <w:tr>
        <w:trPr>
          <w:trHeight w:val="405"/>
        </w:trPr>
        <w:tc>
          <w:tcPr>
            <w:tcW w:w="1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00" w:type="dxa"/>
            <w:vAlign w:val="bottom"/>
          </w:tcPr>
          <w:p>
            <w:pPr>
              <w:ind w:left="1460"/>
              <w:spacing w:after="0"/>
              <w:rPr>
                <w:sz w:val="20"/>
                <w:szCs w:val="20"/>
                <w:color w:val="auto"/>
              </w:rPr>
            </w:pPr>
            <w:r>
              <w:rPr>
                <w:rFonts w:ascii="Arial" w:cs="Arial" w:eastAsia="Arial" w:hAnsi="Arial"/>
                <w:sz w:val="14"/>
                <w:szCs w:val="14"/>
                <w:color w:val="auto"/>
              </w:rPr>
              <w:t>50</w:t>
            </w:r>
          </w:p>
        </w:tc>
        <w:tc>
          <w:tcPr>
            <w:tcW w:w="404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2"/>
          <w:szCs w:val="12"/>
          <w:color w:val="auto"/>
        </w:rPr>
        <w:t>Listed below are our top ten portfolio companies and industries represented as a percentage of our consolidated portfolio assets (excluding cash equivalents) as of:</w:t>
      </w:r>
    </w:p>
    <w:p>
      <w:pPr>
        <w:sectPr>
          <w:pgSz w:w="11900" w:h="16838" w:orient="portrait"/>
          <w:cols w:equalWidth="0" w:num="1">
            <w:col w:w="11420"/>
          </w:cols>
          <w:pgMar w:left="240" w:top="459" w:right="239" w:bottom="1440" w:gutter="0" w:footer="0" w:header="0"/>
        </w:sect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640" w:type="dxa"/>
            <w:vAlign w:val="bottom"/>
          </w:tcPr>
          <w:p>
            <w:pPr>
              <w:spacing w:after="0"/>
              <w:rPr>
                <w:sz w:val="15"/>
                <w:szCs w:val="15"/>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5"/>
              </w:rPr>
              <w:t>June 30, 2013</w:t>
            </w:r>
          </w:p>
        </w:tc>
        <w:tc>
          <w:tcPr>
            <w:tcW w:w="120" w:type="dxa"/>
            <w:vAlign w:val="bottom"/>
          </w:tcPr>
          <w:p>
            <w:pPr>
              <w:spacing w:after="0"/>
              <w:rPr>
                <w:sz w:val="15"/>
                <w:szCs w:val="15"/>
                <w:color w:val="auto"/>
              </w:rPr>
            </w:pPr>
          </w:p>
        </w:tc>
      </w:tr>
      <w:tr>
        <w:trPr>
          <w:trHeight w:val="182"/>
        </w:trPr>
        <w:tc>
          <w:tcPr>
            <w:tcW w:w="4280" w:type="dxa"/>
            <w:vAlign w:val="bottom"/>
            <w:gridSpan w:val="2"/>
          </w:tcPr>
          <w:p>
            <w:pPr>
              <w:spacing w:after="0"/>
              <w:rPr>
                <w:sz w:val="20"/>
                <w:szCs w:val="20"/>
                <w:color w:val="auto"/>
              </w:rPr>
            </w:pPr>
            <w:r>
              <w:rPr>
                <w:rFonts w:ascii="Arial" w:cs="Arial" w:eastAsia="Arial" w:hAnsi="Arial"/>
                <w:sz w:val="14"/>
                <w:szCs w:val="14"/>
                <w:color w:val="auto"/>
              </w:rPr>
              <w:t>iEnergizer Limited and Aptara, Inc.</w:t>
            </w:r>
          </w:p>
        </w:tc>
        <w:tc>
          <w:tcPr>
            <w:tcW w:w="980" w:type="dxa"/>
            <w:vAlign w:val="bottom"/>
            <w:gridSpan w:val="2"/>
          </w:tcPr>
          <w:p>
            <w:pPr>
              <w:ind w:left="800"/>
              <w:spacing w:after="0"/>
              <w:rPr>
                <w:sz w:val="20"/>
                <w:szCs w:val="20"/>
                <w:color w:val="auto"/>
              </w:rPr>
            </w:pPr>
            <w:r>
              <w:rPr>
                <w:rFonts w:ascii="Arial" w:cs="Arial" w:eastAsia="Arial" w:hAnsi="Arial"/>
                <w:sz w:val="14"/>
                <w:szCs w:val="14"/>
                <w:color w:val="auto"/>
                <w:w w:val="78"/>
              </w:rPr>
              <w:t>4%</w:t>
            </w:r>
          </w:p>
        </w:tc>
      </w:tr>
      <w:tr>
        <w:trPr>
          <w:trHeight w:val="189"/>
        </w:trPr>
        <w:tc>
          <w:tcPr>
            <w:tcW w:w="4280" w:type="dxa"/>
            <w:vAlign w:val="bottom"/>
            <w:gridSpan w:val="2"/>
          </w:tcPr>
          <w:p>
            <w:pPr>
              <w:spacing w:after="0"/>
              <w:rPr>
                <w:sz w:val="20"/>
                <w:szCs w:val="20"/>
                <w:color w:val="auto"/>
              </w:rPr>
            </w:pPr>
            <w:r>
              <w:rPr>
                <w:rFonts w:ascii="Arial" w:cs="Arial" w:eastAsia="Arial" w:hAnsi="Arial"/>
                <w:sz w:val="14"/>
                <w:szCs w:val="14"/>
                <w:color w:val="auto"/>
              </w:rPr>
              <w:t>ALG USA Holdings, LLC</w:t>
            </w:r>
          </w:p>
        </w:tc>
        <w:tc>
          <w:tcPr>
            <w:tcW w:w="860" w:type="dxa"/>
            <w:vAlign w:val="bottom"/>
          </w:tcPr>
          <w:p>
            <w:pPr>
              <w:ind w:left="80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r>
      <w:tr>
        <w:trPr>
          <w:trHeight w:val="189"/>
        </w:trPr>
        <w:tc>
          <w:tcPr>
            <w:tcW w:w="4280" w:type="dxa"/>
            <w:vAlign w:val="bottom"/>
            <w:gridSpan w:val="2"/>
          </w:tcPr>
          <w:p>
            <w:pPr>
              <w:spacing w:after="0"/>
              <w:rPr>
                <w:sz w:val="20"/>
                <w:szCs w:val="20"/>
                <w:color w:val="auto"/>
              </w:rPr>
            </w:pPr>
            <w:r>
              <w:rPr>
                <w:rFonts w:ascii="Arial" w:cs="Arial" w:eastAsia="Arial" w:hAnsi="Arial"/>
                <w:sz w:val="14"/>
                <w:szCs w:val="14"/>
                <w:color w:val="auto"/>
              </w:rPr>
              <w:t>AMF Bowling Centers, Inc.</w:t>
            </w:r>
          </w:p>
        </w:tc>
        <w:tc>
          <w:tcPr>
            <w:tcW w:w="860" w:type="dxa"/>
            <w:vAlign w:val="bottom"/>
          </w:tcPr>
          <w:p>
            <w:pPr>
              <w:ind w:left="80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r>
      <w:tr>
        <w:trPr>
          <w:trHeight w:val="189"/>
        </w:trPr>
        <w:tc>
          <w:tcPr>
            <w:tcW w:w="4280" w:type="dxa"/>
            <w:vAlign w:val="bottom"/>
            <w:gridSpan w:val="2"/>
          </w:tcPr>
          <w:p>
            <w:pPr>
              <w:spacing w:after="0"/>
              <w:rPr>
                <w:sz w:val="20"/>
                <w:szCs w:val="20"/>
                <w:color w:val="auto"/>
              </w:rPr>
            </w:pPr>
            <w:r>
              <w:rPr>
                <w:rFonts w:ascii="Arial" w:cs="Arial" w:eastAsia="Arial" w:hAnsi="Arial"/>
                <w:sz w:val="14"/>
                <w:szCs w:val="14"/>
                <w:color w:val="auto"/>
              </w:rPr>
              <w:t>BBTS Borrower LP</w:t>
            </w:r>
          </w:p>
        </w:tc>
        <w:tc>
          <w:tcPr>
            <w:tcW w:w="860" w:type="dxa"/>
            <w:vAlign w:val="bottom"/>
          </w:tcPr>
          <w:p>
            <w:pPr>
              <w:ind w:left="80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r>
      <w:tr>
        <w:trPr>
          <w:trHeight w:val="189"/>
        </w:trPr>
        <w:tc>
          <w:tcPr>
            <w:tcW w:w="4280" w:type="dxa"/>
            <w:vAlign w:val="bottom"/>
            <w:gridSpan w:val="2"/>
          </w:tcPr>
          <w:p>
            <w:pPr>
              <w:spacing w:after="0"/>
              <w:rPr>
                <w:sz w:val="20"/>
                <w:szCs w:val="20"/>
                <w:color w:val="auto"/>
              </w:rPr>
            </w:pPr>
            <w:r>
              <w:rPr>
                <w:rFonts w:ascii="Arial" w:cs="Arial" w:eastAsia="Arial" w:hAnsi="Arial"/>
                <w:sz w:val="14"/>
                <w:szCs w:val="14"/>
                <w:color w:val="auto"/>
              </w:rPr>
              <w:t>Polyconcept Finance B.V.</w:t>
            </w:r>
          </w:p>
        </w:tc>
        <w:tc>
          <w:tcPr>
            <w:tcW w:w="860" w:type="dxa"/>
            <w:vAlign w:val="bottom"/>
          </w:tcPr>
          <w:p>
            <w:pPr>
              <w:ind w:left="80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r>
      <w:tr>
        <w:trPr>
          <w:trHeight w:val="189"/>
        </w:trPr>
        <w:tc>
          <w:tcPr>
            <w:tcW w:w="4280" w:type="dxa"/>
            <w:vAlign w:val="bottom"/>
            <w:gridSpan w:val="2"/>
          </w:tcPr>
          <w:p>
            <w:pPr>
              <w:spacing w:after="0"/>
              <w:rPr>
                <w:sz w:val="20"/>
                <w:szCs w:val="20"/>
                <w:color w:val="auto"/>
              </w:rPr>
            </w:pPr>
            <w:r>
              <w:rPr>
                <w:rFonts w:ascii="Arial" w:cs="Arial" w:eastAsia="Arial" w:hAnsi="Arial"/>
                <w:sz w:val="14"/>
                <w:szCs w:val="14"/>
                <w:color w:val="auto"/>
              </w:rPr>
              <w:t>K2 Pure Solutions NoCal, L.P.</w:t>
            </w:r>
          </w:p>
        </w:tc>
        <w:tc>
          <w:tcPr>
            <w:tcW w:w="860" w:type="dxa"/>
            <w:vAlign w:val="bottom"/>
          </w:tcPr>
          <w:p>
            <w:pPr>
              <w:ind w:left="80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6"/>
                <w:szCs w:val="16"/>
                <w:color w:val="auto"/>
              </w:rPr>
            </w:pPr>
          </w:p>
        </w:tc>
      </w:tr>
      <w:tr>
        <w:trPr>
          <w:trHeight w:val="189"/>
        </w:trPr>
        <w:tc>
          <w:tcPr>
            <w:tcW w:w="4280" w:type="dxa"/>
            <w:vAlign w:val="bottom"/>
            <w:gridSpan w:val="2"/>
          </w:tcPr>
          <w:p>
            <w:pPr>
              <w:spacing w:after="0"/>
              <w:rPr>
                <w:sz w:val="20"/>
                <w:szCs w:val="20"/>
                <w:color w:val="auto"/>
              </w:rPr>
            </w:pPr>
            <w:r>
              <w:rPr>
                <w:rFonts w:ascii="Arial" w:cs="Arial" w:eastAsia="Arial" w:hAnsi="Arial"/>
                <w:sz w:val="14"/>
                <w:szCs w:val="14"/>
                <w:color w:val="auto"/>
              </w:rPr>
              <w:t>LifeCare Holdings LLC</w:t>
            </w:r>
          </w:p>
        </w:tc>
        <w:tc>
          <w:tcPr>
            <w:tcW w:w="860" w:type="dxa"/>
            <w:vAlign w:val="bottom"/>
          </w:tcPr>
          <w:p>
            <w:pPr>
              <w:ind w:left="80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6"/>
                <w:szCs w:val="16"/>
                <w:color w:val="auto"/>
              </w:rPr>
            </w:pPr>
          </w:p>
        </w:tc>
      </w:tr>
      <w:tr>
        <w:trPr>
          <w:trHeight w:val="189"/>
        </w:trPr>
        <w:tc>
          <w:tcPr>
            <w:tcW w:w="4280" w:type="dxa"/>
            <w:vAlign w:val="bottom"/>
            <w:gridSpan w:val="2"/>
          </w:tcPr>
          <w:p>
            <w:pPr>
              <w:spacing w:after="0"/>
              <w:rPr>
                <w:sz w:val="20"/>
                <w:szCs w:val="20"/>
                <w:color w:val="auto"/>
              </w:rPr>
            </w:pPr>
            <w:r>
              <w:rPr>
                <w:rFonts w:ascii="Arial" w:cs="Arial" w:eastAsia="Arial" w:hAnsi="Arial"/>
                <w:sz w:val="14"/>
                <w:szCs w:val="14"/>
                <w:color w:val="auto"/>
              </w:rPr>
              <w:t>Penton Media, Inc. (3.0% Cash / 2.0% PIK)</w:t>
            </w:r>
          </w:p>
        </w:tc>
        <w:tc>
          <w:tcPr>
            <w:tcW w:w="860" w:type="dxa"/>
            <w:vAlign w:val="bottom"/>
          </w:tcPr>
          <w:p>
            <w:pPr>
              <w:ind w:left="80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6"/>
                <w:szCs w:val="16"/>
                <w:color w:val="auto"/>
              </w:rPr>
            </w:pPr>
          </w:p>
        </w:tc>
      </w:tr>
      <w:tr>
        <w:trPr>
          <w:trHeight w:val="189"/>
        </w:trPr>
        <w:tc>
          <w:tcPr>
            <w:tcW w:w="4280" w:type="dxa"/>
            <w:vAlign w:val="bottom"/>
            <w:gridSpan w:val="2"/>
          </w:tcPr>
          <w:p>
            <w:pPr>
              <w:spacing w:after="0"/>
              <w:rPr>
                <w:sz w:val="20"/>
                <w:szCs w:val="20"/>
                <w:color w:val="auto"/>
              </w:rPr>
            </w:pPr>
            <w:r>
              <w:rPr>
                <w:rFonts w:ascii="Arial" w:cs="Arial" w:eastAsia="Arial" w:hAnsi="Arial"/>
                <w:sz w:val="14"/>
                <w:szCs w:val="14"/>
                <w:color w:val="auto"/>
              </w:rPr>
              <w:t>Travelport LLC</w:t>
            </w:r>
          </w:p>
        </w:tc>
        <w:tc>
          <w:tcPr>
            <w:tcW w:w="860" w:type="dxa"/>
            <w:vAlign w:val="bottom"/>
          </w:tcPr>
          <w:p>
            <w:pPr>
              <w:ind w:left="80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6"/>
                <w:szCs w:val="16"/>
                <w:color w:val="auto"/>
              </w:rPr>
            </w:pPr>
          </w:p>
        </w:tc>
      </w:tr>
      <w:tr>
        <w:trPr>
          <w:trHeight w:val="189"/>
        </w:trPr>
        <w:tc>
          <w:tcPr>
            <w:tcW w:w="4280" w:type="dxa"/>
            <w:vAlign w:val="bottom"/>
            <w:gridSpan w:val="2"/>
          </w:tcPr>
          <w:p>
            <w:pPr>
              <w:spacing w:after="0"/>
              <w:rPr>
                <w:sz w:val="20"/>
                <w:szCs w:val="20"/>
                <w:color w:val="auto"/>
              </w:rPr>
            </w:pPr>
            <w:r>
              <w:rPr>
                <w:rFonts w:ascii="Arial" w:cs="Arial" w:eastAsia="Arial" w:hAnsi="Arial"/>
                <w:sz w:val="14"/>
                <w:szCs w:val="14"/>
                <w:color w:val="auto"/>
              </w:rPr>
              <w:t>YP LLC</w:t>
            </w:r>
          </w:p>
        </w:tc>
        <w:tc>
          <w:tcPr>
            <w:tcW w:w="860" w:type="dxa"/>
            <w:vAlign w:val="bottom"/>
          </w:tcPr>
          <w:p>
            <w:pPr>
              <w:ind w:left="80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6"/>
                <w:szCs w:val="16"/>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40" w:type="dxa"/>
            <w:vAlign w:val="bottom"/>
          </w:tcPr>
          <w:p>
            <w:pPr>
              <w:spacing w:after="0"/>
              <w:rPr>
                <w:sz w:val="20"/>
                <w:szCs w:val="20"/>
                <w:color w:val="auto"/>
              </w:rPr>
            </w:pPr>
            <w:r>
              <w:rPr>
                <w:rFonts w:ascii="Arial" w:cs="Arial" w:eastAsia="Arial" w:hAnsi="Arial"/>
                <w:sz w:val="14"/>
                <w:szCs w:val="14"/>
                <w:b w:val="1"/>
                <w:bCs w:val="1"/>
                <w:color w:val="auto"/>
              </w:rPr>
              <w:t>Industry</w:t>
            </w:r>
          </w:p>
        </w:tc>
        <w:tc>
          <w:tcPr>
            <w:tcW w:w="62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2"/>
              </w:rPr>
              <w:t>June 30, 2013</w:t>
            </w:r>
          </w:p>
        </w:tc>
      </w:tr>
      <w:tr>
        <w:trPr>
          <w:trHeight w:val="20"/>
        </w:trPr>
        <w:tc>
          <w:tcPr>
            <w:tcW w:w="3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3640" w:type="dxa"/>
            <w:vAlign w:val="bottom"/>
          </w:tcPr>
          <w:p>
            <w:pPr>
              <w:spacing w:after="0"/>
              <w:rPr>
                <w:sz w:val="20"/>
                <w:szCs w:val="20"/>
                <w:color w:val="auto"/>
              </w:rPr>
            </w:pPr>
            <w:r>
              <w:rPr>
                <w:rFonts w:ascii="Arial" w:cs="Arial" w:eastAsia="Arial" w:hAnsi="Arial"/>
                <w:sz w:val="14"/>
                <w:szCs w:val="14"/>
                <w:color w:val="auto"/>
              </w:rPr>
              <w:t>Hotel, Gaming and Leisure</w:t>
            </w:r>
          </w:p>
        </w:tc>
        <w:tc>
          <w:tcPr>
            <w:tcW w:w="6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12%</w:t>
            </w:r>
          </w:p>
        </w:tc>
      </w:tr>
      <w:tr>
        <w:trPr>
          <w:trHeight w:val="216"/>
        </w:trPr>
        <w:tc>
          <w:tcPr>
            <w:tcW w:w="4260" w:type="dxa"/>
            <w:vAlign w:val="bottom"/>
            <w:gridSpan w:val="2"/>
          </w:tcPr>
          <w:p>
            <w:pPr>
              <w:spacing w:after="0"/>
              <w:rPr>
                <w:sz w:val="20"/>
                <w:szCs w:val="20"/>
                <w:color w:val="auto"/>
              </w:rPr>
            </w:pPr>
            <w:r>
              <w:rPr>
                <w:rFonts w:ascii="Arial" w:cs="Arial" w:eastAsia="Arial" w:hAnsi="Arial"/>
                <w:sz w:val="14"/>
                <w:szCs w:val="14"/>
                <w:color w:val="auto"/>
              </w:rPr>
              <w:t>Healthcare and Pharmaceuticals</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10</w:t>
            </w:r>
          </w:p>
        </w:tc>
      </w:tr>
      <w:tr>
        <w:trPr>
          <w:trHeight w:val="216"/>
        </w:trPr>
        <w:tc>
          <w:tcPr>
            <w:tcW w:w="4260" w:type="dxa"/>
            <w:vAlign w:val="bottom"/>
            <w:gridSpan w:val="2"/>
          </w:tcPr>
          <w:p>
            <w:pPr>
              <w:spacing w:after="0"/>
              <w:rPr>
                <w:sz w:val="20"/>
                <w:szCs w:val="20"/>
                <w:color w:val="auto"/>
              </w:rPr>
            </w:pPr>
            <w:r>
              <w:rPr>
                <w:rFonts w:ascii="Arial" w:cs="Arial" w:eastAsia="Arial" w:hAnsi="Arial"/>
                <w:sz w:val="14"/>
                <w:szCs w:val="14"/>
                <w:color w:val="auto"/>
              </w:rPr>
              <w:t>Media: Advertising, Printing and Publishing</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9</w:t>
            </w:r>
          </w:p>
        </w:tc>
      </w:tr>
      <w:tr>
        <w:trPr>
          <w:trHeight w:val="216"/>
        </w:trPr>
        <w:tc>
          <w:tcPr>
            <w:tcW w:w="4260" w:type="dxa"/>
            <w:vAlign w:val="bottom"/>
            <w:gridSpan w:val="2"/>
          </w:tcPr>
          <w:p>
            <w:pPr>
              <w:spacing w:after="0"/>
              <w:rPr>
                <w:sz w:val="20"/>
                <w:szCs w:val="20"/>
                <w:color w:val="auto"/>
              </w:rPr>
            </w:pPr>
            <w:r>
              <w:rPr>
                <w:rFonts w:ascii="Arial" w:cs="Arial" w:eastAsia="Arial" w:hAnsi="Arial"/>
                <w:sz w:val="14"/>
                <w:szCs w:val="14"/>
                <w:color w:val="auto"/>
              </w:rPr>
              <w:t>Consumer Services</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8</w:t>
            </w:r>
          </w:p>
        </w:tc>
      </w:tr>
      <w:tr>
        <w:trPr>
          <w:trHeight w:val="243"/>
        </w:trPr>
        <w:tc>
          <w:tcPr>
            <w:tcW w:w="426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7</w:t>
            </w:r>
          </w:p>
        </w:tc>
      </w:tr>
      <w:tr>
        <w:trPr>
          <w:trHeight w:val="243"/>
        </w:trPr>
        <w:tc>
          <w:tcPr>
            <w:tcW w:w="4260" w:type="dxa"/>
            <w:vAlign w:val="bottom"/>
            <w:gridSpan w:val="2"/>
          </w:tcPr>
          <w:p>
            <w:pPr>
              <w:spacing w:after="0"/>
              <w:rPr>
                <w:sz w:val="20"/>
                <w:szCs w:val="20"/>
                <w:color w:val="auto"/>
              </w:rPr>
            </w:pPr>
            <w:r>
              <w:rPr>
                <w:rFonts w:ascii="Arial" w:cs="Arial" w:eastAsia="Arial" w:hAnsi="Arial"/>
                <w:sz w:val="14"/>
                <w:szCs w:val="14"/>
                <w:color w:val="auto"/>
              </w:rPr>
              <w:t>Consumer Goods: Non-Durable</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7</w:t>
            </w:r>
          </w:p>
        </w:tc>
      </w:tr>
      <w:tr>
        <w:trPr>
          <w:trHeight w:val="243"/>
        </w:trPr>
        <w:tc>
          <w:tcPr>
            <w:tcW w:w="4260" w:type="dxa"/>
            <w:vAlign w:val="bottom"/>
            <w:gridSpan w:val="2"/>
          </w:tcPr>
          <w:p>
            <w:pPr>
              <w:spacing w:after="0"/>
              <w:rPr>
                <w:sz w:val="20"/>
                <w:szCs w:val="20"/>
                <w:color w:val="auto"/>
              </w:rPr>
            </w:pPr>
            <w:r>
              <w:rPr>
                <w:rFonts w:ascii="Arial" w:cs="Arial" w:eastAsia="Arial" w:hAnsi="Arial"/>
                <w:sz w:val="14"/>
                <w:szCs w:val="14"/>
                <w:color w:val="auto"/>
              </w:rPr>
              <w:t>High Tech Industries</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7</w:t>
            </w:r>
          </w:p>
        </w:tc>
      </w:tr>
      <w:tr>
        <w:trPr>
          <w:trHeight w:val="243"/>
        </w:trPr>
        <w:tc>
          <w:tcPr>
            <w:tcW w:w="4260" w:type="dxa"/>
            <w:vAlign w:val="bottom"/>
            <w:gridSpan w:val="2"/>
          </w:tcPr>
          <w:p>
            <w:pPr>
              <w:spacing w:after="0"/>
              <w:rPr>
                <w:sz w:val="20"/>
                <w:szCs w:val="20"/>
                <w:color w:val="auto"/>
              </w:rPr>
            </w:pPr>
            <w:r>
              <w:rPr>
                <w:rFonts w:ascii="Arial" w:cs="Arial" w:eastAsia="Arial" w:hAnsi="Arial"/>
                <w:sz w:val="14"/>
                <w:szCs w:val="14"/>
                <w:color w:val="auto"/>
              </w:rPr>
              <w:t>Retail</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6</w:t>
            </w:r>
          </w:p>
        </w:tc>
      </w:tr>
      <w:tr>
        <w:trPr>
          <w:trHeight w:val="243"/>
        </w:trPr>
        <w:tc>
          <w:tcPr>
            <w:tcW w:w="4260" w:type="dxa"/>
            <w:vAlign w:val="bottom"/>
            <w:gridSpan w:val="2"/>
          </w:tcPr>
          <w:p>
            <w:pPr>
              <w:spacing w:after="0"/>
              <w:rPr>
                <w:sz w:val="20"/>
                <w:szCs w:val="20"/>
                <w:color w:val="auto"/>
              </w:rPr>
            </w:pPr>
            <w:r>
              <w:rPr>
                <w:rFonts w:ascii="Arial" w:cs="Arial" w:eastAsia="Arial" w:hAnsi="Arial"/>
                <w:sz w:val="14"/>
                <w:szCs w:val="14"/>
                <w:color w:val="auto"/>
              </w:rPr>
              <w:t>Energy: Oil and Gas</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r>
      <w:tr>
        <w:trPr>
          <w:trHeight w:val="243"/>
        </w:trPr>
        <w:tc>
          <w:tcPr>
            <w:tcW w:w="4260" w:type="dxa"/>
            <w:vAlign w:val="bottom"/>
            <w:gridSpan w:val="2"/>
          </w:tcPr>
          <w:p>
            <w:pPr>
              <w:spacing w:after="0"/>
              <w:rPr>
                <w:sz w:val="20"/>
                <w:szCs w:val="20"/>
                <w:color w:val="auto"/>
              </w:rPr>
            </w:pPr>
            <w:r>
              <w:rPr>
                <w:rFonts w:ascii="Arial" w:cs="Arial" w:eastAsia="Arial" w:hAnsi="Arial"/>
                <w:sz w:val="14"/>
                <w:szCs w:val="14"/>
                <w:color w:val="auto"/>
              </w:rPr>
              <w:t>Beverage, Food and Tobacco</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4</w:t>
            </w:r>
          </w:p>
        </w:tc>
      </w:tr>
    </w:tbl>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280" w:type="dxa"/>
        <w:tblCellMar>
          <w:top w:w="0" w:type="dxa"/>
          <w:left w:w="0" w:type="dxa"/>
          <w:bottom w:w="0" w:type="dxa"/>
          <w:right w:w="0" w:type="dxa"/>
        </w:tblCellMar>
      </w:tblPr>
      <w:tr>
        <w:trPr>
          <w:trHeight w:val="175"/>
        </w:trPr>
        <w:tc>
          <w:tcPr>
            <w:tcW w:w="3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660" w:type="dxa"/>
            <w:vAlign w:val="bottom"/>
          </w:tcPr>
          <w:p>
            <w:pPr>
              <w:spacing w:after="0"/>
              <w:rPr>
                <w:sz w:val="15"/>
                <w:szCs w:val="15"/>
                <w:color w:val="auto"/>
              </w:rPr>
            </w:pPr>
          </w:p>
        </w:tc>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5"/>
              </w:rPr>
              <w:t>September 30, 2012</w:t>
            </w:r>
          </w:p>
        </w:tc>
        <w:tc>
          <w:tcPr>
            <w:tcW w:w="120" w:type="dxa"/>
            <w:vAlign w:val="bottom"/>
          </w:tcPr>
          <w:p>
            <w:pPr>
              <w:spacing w:after="0"/>
              <w:rPr>
                <w:sz w:val="15"/>
                <w:szCs w:val="15"/>
                <w:color w:val="auto"/>
              </w:rPr>
            </w:pPr>
          </w:p>
        </w:tc>
      </w:tr>
      <w:tr>
        <w:trPr>
          <w:trHeight w:val="166"/>
        </w:trPr>
        <w:tc>
          <w:tcPr>
            <w:tcW w:w="3520" w:type="dxa"/>
            <w:vAlign w:val="bottom"/>
          </w:tcPr>
          <w:p>
            <w:pPr>
              <w:spacing w:after="0"/>
              <w:rPr>
                <w:sz w:val="20"/>
                <w:szCs w:val="20"/>
                <w:color w:val="auto"/>
              </w:rPr>
            </w:pPr>
            <w:r>
              <w:rPr>
                <w:rFonts w:ascii="Arial" w:cs="Arial" w:eastAsia="Arial" w:hAnsi="Arial"/>
                <w:sz w:val="14"/>
                <w:szCs w:val="14"/>
                <w:color w:val="auto"/>
              </w:rPr>
              <w:t>Healogics Inc. (f/k/a National Healing Corp.)</w:t>
            </w:r>
          </w:p>
        </w:tc>
        <w:tc>
          <w:tcPr>
            <w:tcW w:w="660" w:type="dxa"/>
            <w:vAlign w:val="bottom"/>
          </w:tcPr>
          <w:p>
            <w:pPr>
              <w:spacing w:after="0"/>
              <w:rPr>
                <w:sz w:val="14"/>
                <w:szCs w:val="14"/>
                <w:color w:val="auto"/>
              </w:rPr>
            </w:pPr>
          </w:p>
        </w:tc>
        <w:tc>
          <w:tcPr>
            <w:tcW w:w="1320" w:type="dxa"/>
            <w:vAlign w:val="bottom"/>
            <w:gridSpan w:val="2"/>
          </w:tcPr>
          <w:p>
            <w:pPr>
              <w:ind w:left="1140"/>
              <w:spacing w:after="0"/>
              <w:rPr>
                <w:sz w:val="20"/>
                <w:szCs w:val="20"/>
                <w:color w:val="auto"/>
              </w:rPr>
            </w:pPr>
            <w:r>
              <w:rPr>
                <w:rFonts w:ascii="Arial" w:cs="Arial" w:eastAsia="Arial" w:hAnsi="Arial"/>
                <w:sz w:val="14"/>
                <w:szCs w:val="14"/>
                <w:color w:val="auto"/>
                <w:w w:val="78"/>
              </w:rPr>
              <w:t>3%</w:t>
            </w:r>
          </w:p>
        </w:tc>
      </w:tr>
      <w:tr>
        <w:trPr>
          <w:trHeight w:val="178"/>
        </w:trPr>
        <w:tc>
          <w:tcPr>
            <w:tcW w:w="4180" w:type="dxa"/>
            <w:vAlign w:val="bottom"/>
            <w:gridSpan w:val="2"/>
          </w:tcPr>
          <w:p>
            <w:pPr>
              <w:spacing w:after="0"/>
              <w:rPr>
                <w:sz w:val="20"/>
                <w:szCs w:val="20"/>
                <w:color w:val="auto"/>
              </w:rPr>
            </w:pPr>
            <w:r>
              <w:rPr>
                <w:rFonts w:ascii="Arial" w:cs="Arial" w:eastAsia="Arial" w:hAnsi="Arial"/>
                <w:sz w:val="14"/>
                <w:szCs w:val="14"/>
                <w:color w:val="auto"/>
              </w:rPr>
              <w:t>Instant Web, Inc.</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5"/>
                <w:szCs w:val="15"/>
                <w:color w:val="auto"/>
              </w:rPr>
            </w:pPr>
          </w:p>
        </w:tc>
      </w:tr>
      <w:tr>
        <w:trPr>
          <w:trHeight w:val="189"/>
        </w:trPr>
        <w:tc>
          <w:tcPr>
            <w:tcW w:w="4180" w:type="dxa"/>
            <w:vAlign w:val="bottom"/>
            <w:gridSpan w:val="2"/>
          </w:tcPr>
          <w:p>
            <w:pPr>
              <w:spacing w:after="0"/>
              <w:rPr>
                <w:sz w:val="20"/>
                <w:szCs w:val="20"/>
                <w:color w:val="auto"/>
              </w:rPr>
            </w:pPr>
            <w:r>
              <w:rPr>
                <w:rFonts w:ascii="Arial" w:cs="Arial" w:eastAsia="Arial" w:hAnsi="Arial"/>
                <w:sz w:val="14"/>
                <w:szCs w:val="14"/>
                <w:color w:val="auto"/>
              </w:rPr>
              <w:t>K2 Pure Solutions NoCal, L.P.</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r>
      <w:tr>
        <w:trPr>
          <w:trHeight w:val="189"/>
        </w:trPr>
        <w:tc>
          <w:tcPr>
            <w:tcW w:w="4180" w:type="dxa"/>
            <w:vAlign w:val="bottom"/>
            <w:gridSpan w:val="2"/>
          </w:tcPr>
          <w:p>
            <w:pPr>
              <w:spacing w:after="0"/>
              <w:rPr>
                <w:sz w:val="20"/>
                <w:szCs w:val="20"/>
                <w:color w:val="auto"/>
              </w:rPr>
            </w:pPr>
            <w:r>
              <w:rPr>
                <w:rFonts w:ascii="Arial" w:cs="Arial" w:eastAsia="Arial" w:hAnsi="Arial"/>
                <w:sz w:val="14"/>
                <w:szCs w:val="14"/>
                <w:color w:val="auto"/>
              </w:rPr>
              <w:t>KIK Custom Products Inc.</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r>
      <w:tr>
        <w:trPr>
          <w:trHeight w:val="189"/>
        </w:trPr>
        <w:tc>
          <w:tcPr>
            <w:tcW w:w="4180" w:type="dxa"/>
            <w:vAlign w:val="bottom"/>
            <w:gridSpan w:val="2"/>
          </w:tcPr>
          <w:p>
            <w:pPr>
              <w:spacing w:after="0"/>
              <w:rPr>
                <w:sz w:val="20"/>
                <w:szCs w:val="20"/>
                <w:color w:val="auto"/>
              </w:rPr>
            </w:pPr>
            <w:r>
              <w:rPr>
                <w:rFonts w:ascii="Arial" w:cs="Arial" w:eastAsia="Arial" w:hAnsi="Arial"/>
                <w:sz w:val="14"/>
                <w:szCs w:val="14"/>
                <w:color w:val="auto"/>
              </w:rPr>
              <w:t>Mood Media Corporation</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r>
      <w:tr>
        <w:trPr>
          <w:trHeight w:val="189"/>
        </w:trPr>
        <w:tc>
          <w:tcPr>
            <w:tcW w:w="4180" w:type="dxa"/>
            <w:vAlign w:val="bottom"/>
            <w:gridSpan w:val="2"/>
          </w:tcPr>
          <w:p>
            <w:pPr>
              <w:spacing w:after="0"/>
              <w:rPr>
                <w:sz w:val="20"/>
                <w:szCs w:val="20"/>
                <w:color w:val="auto"/>
              </w:rPr>
            </w:pPr>
            <w:r>
              <w:rPr>
                <w:rFonts w:ascii="Arial" w:cs="Arial" w:eastAsia="Arial" w:hAnsi="Arial"/>
                <w:sz w:val="14"/>
                <w:szCs w:val="14"/>
                <w:color w:val="auto"/>
              </w:rPr>
              <w:t>Penton Media, Inc.</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r>
      <w:tr>
        <w:trPr>
          <w:trHeight w:val="189"/>
        </w:trPr>
        <w:tc>
          <w:tcPr>
            <w:tcW w:w="4180" w:type="dxa"/>
            <w:vAlign w:val="bottom"/>
            <w:gridSpan w:val="2"/>
          </w:tcPr>
          <w:p>
            <w:pPr>
              <w:spacing w:after="0"/>
              <w:rPr>
                <w:sz w:val="20"/>
                <w:szCs w:val="20"/>
                <w:color w:val="auto"/>
              </w:rPr>
            </w:pPr>
            <w:r>
              <w:rPr>
                <w:rFonts w:ascii="Arial" w:cs="Arial" w:eastAsia="Arial" w:hAnsi="Arial"/>
                <w:sz w:val="14"/>
                <w:szCs w:val="14"/>
                <w:color w:val="auto"/>
              </w:rPr>
              <w:t>Trusthouse Services Group, Inc.</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r>
      <w:tr>
        <w:trPr>
          <w:trHeight w:val="189"/>
        </w:trPr>
        <w:tc>
          <w:tcPr>
            <w:tcW w:w="4180" w:type="dxa"/>
            <w:vAlign w:val="bottom"/>
            <w:gridSpan w:val="2"/>
          </w:tcPr>
          <w:p>
            <w:pPr>
              <w:spacing w:after="0"/>
              <w:rPr>
                <w:sz w:val="20"/>
                <w:szCs w:val="20"/>
                <w:color w:val="auto"/>
              </w:rPr>
            </w:pPr>
            <w:r>
              <w:rPr>
                <w:rFonts w:ascii="Arial" w:cs="Arial" w:eastAsia="Arial" w:hAnsi="Arial"/>
                <w:sz w:val="14"/>
                <w:szCs w:val="14"/>
                <w:color w:val="auto"/>
              </w:rPr>
              <w:t>Yonkers Racing Corporation</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r>
      <w:tr>
        <w:trPr>
          <w:trHeight w:val="189"/>
        </w:trPr>
        <w:tc>
          <w:tcPr>
            <w:tcW w:w="4180" w:type="dxa"/>
            <w:vAlign w:val="bottom"/>
            <w:gridSpan w:val="2"/>
          </w:tcPr>
          <w:p>
            <w:pPr>
              <w:spacing w:after="0"/>
              <w:rPr>
                <w:sz w:val="20"/>
                <w:szCs w:val="20"/>
                <w:color w:val="auto"/>
              </w:rPr>
            </w:pPr>
            <w:r>
              <w:rPr>
                <w:rFonts w:ascii="Arial" w:cs="Arial" w:eastAsia="Arial" w:hAnsi="Arial"/>
                <w:sz w:val="14"/>
                <w:szCs w:val="14"/>
                <w:color w:val="auto"/>
              </w:rPr>
              <w:t>DS Waters of America, Inc.</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6"/>
                <w:szCs w:val="16"/>
                <w:color w:val="auto"/>
              </w:rPr>
            </w:pPr>
          </w:p>
        </w:tc>
      </w:tr>
      <w:tr>
        <w:trPr>
          <w:trHeight w:val="189"/>
        </w:trPr>
        <w:tc>
          <w:tcPr>
            <w:tcW w:w="4180" w:type="dxa"/>
            <w:vAlign w:val="bottom"/>
            <w:gridSpan w:val="2"/>
          </w:tcPr>
          <w:p>
            <w:pPr>
              <w:spacing w:after="0"/>
              <w:rPr>
                <w:sz w:val="20"/>
                <w:szCs w:val="20"/>
                <w:color w:val="auto"/>
              </w:rPr>
            </w:pPr>
            <w:r>
              <w:rPr>
                <w:rFonts w:ascii="Arial" w:cs="Arial" w:eastAsia="Arial" w:hAnsi="Arial"/>
                <w:sz w:val="14"/>
                <w:szCs w:val="14"/>
                <w:color w:val="auto"/>
              </w:rPr>
              <w:t>Viamedia Services Corp.</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-1191260</wp:posOffset>
            </wp:positionV>
            <wp:extent cx="7246620"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-942340</wp:posOffset>
            </wp:positionV>
            <wp:extent cx="7246620" cy="1200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-702310</wp:posOffset>
            </wp:positionV>
            <wp:extent cx="7246620" cy="1200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-462280</wp:posOffset>
            </wp:positionV>
            <wp:extent cx="7246620" cy="1200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-222250</wp:posOffset>
            </wp:positionV>
            <wp:extent cx="7246620" cy="1200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197" w:lineRule="exact"/>
        <w:rPr>
          <w:sz w:val="20"/>
          <w:szCs w:val="20"/>
          <w:color w:val="auto"/>
        </w:rPr>
      </w:pPr>
    </w:p>
    <w:tbl>
      <w:tblPr>
        <w:tblLayout w:type="fixed"/>
        <w:tblInd w:w="260" w:type="dxa"/>
        <w:tblCellMar>
          <w:top w:w="0" w:type="dxa"/>
          <w:left w:w="0" w:type="dxa"/>
          <w:bottom w:w="0" w:type="dxa"/>
          <w:right w:w="0" w:type="dxa"/>
        </w:tblCellMar>
      </w:tblPr>
      <w:tr>
        <w:trPr>
          <w:trHeight w:val="175"/>
        </w:trPr>
        <w:tc>
          <w:tcPr>
            <w:tcW w:w="3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64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September 30, 2012</w:t>
            </w:r>
          </w:p>
        </w:tc>
        <w:tc>
          <w:tcPr>
            <w:tcW w:w="120" w:type="dxa"/>
            <w:vAlign w:val="bottom"/>
          </w:tcPr>
          <w:p>
            <w:pPr>
              <w:spacing w:after="0"/>
              <w:rPr>
                <w:sz w:val="15"/>
                <w:szCs w:val="15"/>
                <w:color w:val="auto"/>
              </w:rPr>
            </w:pPr>
          </w:p>
        </w:tc>
      </w:tr>
      <w:tr>
        <w:trPr>
          <w:trHeight w:val="169"/>
        </w:trPr>
        <w:tc>
          <w:tcPr>
            <w:tcW w:w="4200" w:type="dxa"/>
            <w:vAlign w:val="bottom"/>
            <w:gridSpan w:val="2"/>
          </w:tcPr>
          <w:p>
            <w:pPr>
              <w:spacing w:after="0"/>
              <w:rPr>
                <w:sz w:val="20"/>
                <w:szCs w:val="20"/>
                <w:color w:val="auto"/>
              </w:rPr>
            </w:pPr>
            <w:r>
              <w:rPr>
                <w:rFonts w:ascii="Arial" w:cs="Arial" w:eastAsia="Arial" w:hAnsi="Arial"/>
                <w:sz w:val="14"/>
                <w:szCs w:val="14"/>
                <w:color w:val="auto"/>
              </w:rPr>
              <w:t>High Tech Industries</w:t>
            </w:r>
          </w:p>
        </w:tc>
        <w:tc>
          <w:tcPr>
            <w:tcW w:w="120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9"/>
              </w:rPr>
              <w:t>%</w:t>
            </w:r>
          </w:p>
        </w:tc>
      </w:tr>
      <w:tr>
        <w:trPr>
          <w:trHeight w:val="216"/>
        </w:trPr>
        <w:tc>
          <w:tcPr>
            <w:tcW w:w="420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120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4"/>
                <w:szCs w:val="14"/>
                <w:color w:val="auto"/>
              </w:rPr>
              <w:t>Healthcare and Pharmaceuticals</w:t>
            </w:r>
          </w:p>
        </w:tc>
        <w:tc>
          <w:tcPr>
            <w:tcW w:w="12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4"/>
                <w:szCs w:val="14"/>
                <w:color w:val="auto"/>
              </w:rPr>
              <w:t>Hotel, Gaming and Leisure</w:t>
            </w:r>
          </w:p>
        </w:tc>
        <w:tc>
          <w:tcPr>
            <w:tcW w:w="12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4"/>
                <w:szCs w:val="14"/>
                <w:color w:val="auto"/>
              </w:rPr>
              <w:t>Beverage, Food and Tobacco</w:t>
            </w:r>
          </w:p>
        </w:tc>
        <w:tc>
          <w:tcPr>
            <w:tcW w:w="12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9"/>
                <w:szCs w:val="19"/>
                <w:color w:val="auto"/>
              </w:rPr>
            </w:pPr>
          </w:p>
        </w:tc>
      </w:tr>
      <w:tr>
        <w:trPr>
          <w:trHeight w:val="243"/>
        </w:trPr>
        <w:tc>
          <w:tcPr>
            <w:tcW w:w="4200" w:type="dxa"/>
            <w:vAlign w:val="bottom"/>
            <w:gridSpan w:val="2"/>
          </w:tcPr>
          <w:p>
            <w:pPr>
              <w:spacing w:after="0"/>
              <w:rPr>
                <w:sz w:val="20"/>
                <w:szCs w:val="20"/>
                <w:color w:val="auto"/>
              </w:rPr>
            </w:pPr>
            <w:r>
              <w:rPr>
                <w:rFonts w:ascii="Arial" w:cs="Arial" w:eastAsia="Arial" w:hAnsi="Arial"/>
                <w:sz w:val="14"/>
                <w:szCs w:val="14"/>
                <w:color w:val="auto"/>
              </w:rPr>
              <w:t>Chemicals, Plastics and Rubber</w:t>
            </w:r>
          </w:p>
        </w:tc>
        <w:tc>
          <w:tcPr>
            <w:tcW w:w="12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r>
      <w:tr>
        <w:trPr>
          <w:trHeight w:val="243"/>
        </w:trPr>
        <w:tc>
          <w:tcPr>
            <w:tcW w:w="4200" w:type="dxa"/>
            <w:vAlign w:val="bottom"/>
            <w:gridSpan w:val="2"/>
          </w:tcPr>
          <w:p>
            <w:pPr>
              <w:spacing w:after="0"/>
              <w:rPr>
                <w:sz w:val="20"/>
                <w:szCs w:val="20"/>
                <w:color w:val="auto"/>
              </w:rPr>
            </w:pPr>
            <w:r>
              <w:rPr>
                <w:rFonts w:ascii="Arial" w:cs="Arial" w:eastAsia="Arial" w:hAnsi="Arial"/>
                <w:sz w:val="14"/>
                <w:szCs w:val="14"/>
                <w:color w:val="auto"/>
              </w:rPr>
              <w:t>Consumer Goods: Non-Durable</w:t>
            </w:r>
          </w:p>
        </w:tc>
        <w:tc>
          <w:tcPr>
            <w:tcW w:w="12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r>
      <w:tr>
        <w:trPr>
          <w:trHeight w:val="243"/>
        </w:trPr>
        <w:tc>
          <w:tcPr>
            <w:tcW w:w="4200" w:type="dxa"/>
            <w:vAlign w:val="bottom"/>
            <w:gridSpan w:val="2"/>
          </w:tcPr>
          <w:p>
            <w:pPr>
              <w:spacing w:after="0"/>
              <w:rPr>
                <w:sz w:val="20"/>
                <w:szCs w:val="20"/>
                <w:color w:val="auto"/>
              </w:rPr>
            </w:pPr>
            <w:r>
              <w:rPr>
                <w:rFonts w:ascii="Arial" w:cs="Arial" w:eastAsia="Arial" w:hAnsi="Arial"/>
                <w:sz w:val="14"/>
                <w:szCs w:val="14"/>
                <w:color w:val="auto"/>
              </w:rPr>
              <w:t>Media: Diversified and Production</w:t>
            </w:r>
          </w:p>
        </w:tc>
        <w:tc>
          <w:tcPr>
            <w:tcW w:w="12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r>
      <w:tr>
        <w:trPr>
          <w:trHeight w:val="257"/>
        </w:trPr>
        <w:tc>
          <w:tcPr>
            <w:tcW w:w="4200" w:type="dxa"/>
            <w:vAlign w:val="bottom"/>
            <w:gridSpan w:val="2"/>
          </w:tcPr>
          <w:p>
            <w:pPr>
              <w:spacing w:after="0"/>
              <w:rPr>
                <w:sz w:val="20"/>
                <w:szCs w:val="20"/>
                <w:color w:val="auto"/>
              </w:rPr>
            </w:pPr>
            <w:r>
              <w:rPr>
                <w:rFonts w:ascii="Arial" w:cs="Arial" w:eastAsia="Arial" w:hAnsi="Arial"/>
                <w:sz w:val="14"/>
                <w:szCs w:val="14"/>
                <w:color w:val="auto"/>
              </w:rPr>
              <w:t>Media: Advertising, Printing and Publishing</w:t>
            </w: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r>
      <w:tr>
        <w:trPr>
          <w:trHeight w:val="243"/>
        </w:trPr>
        <w:tc>
          <w:tcPr>
            <w:tcW w:w="4200" w:type="dxa"/>
            <w:vAlign w:val="bottom"/>
            <w:gridSpan w:val="2"/>
          </w:tcPr>
          <w:p>
            <w:pPr>
              <w:spacing w:after="0"/>
              <w:rPr>
                <w:sz w:val="20"/>
                <w:szCs w:val="20"/>
                <w:color w:val="auto"/>
              </w:rPr>
            </w:pPr>
            <w:r>
              <w:rPr>
                <w:rFonts w:ascii="Arial" w:cs="Arial" w:eastAsia="Arial" w:hAnsi="Arial"/>
                <w:sz w:val="14"/>
                <w:szCs w:val="14"/>
                <w:color w:val="auto"/>
              </w:rPr>
              <w:t>Telecommunications</w:t>
            </w: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-1456690</wp:posOffset>
            </wp:positionV>
            <wp:extent cx="724662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-1174115</wp:posOffset>
            </wp:positionV>
            <wp:extent cx="72466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-899795</wp:posOffset>
            </wp:positionV>
            <wp:extent cx="72466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-590550</wp:posOffset>
            </wp:positionV>
            <wp:extent cx="72466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-281940</wp:posOffset>
            </wp:positionV>
            <wp:extent cx="72466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51</w:t>
      </w:r>
    </w:p>
    <w:p>
      <w:pPr>
        <w:sectPr>
          <w:pgSz w:w="11900" w:h="16838" w:orient="portrait"/>
          <w:cols w:equalWidth="0" w:num="2">
            <w:col w:w="5260" w:space="380"/>
            <w:col w:w="578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40" w:firstLine="456"/>
        <w:spacing w:after="0" w:line="265" w:lineRule="auto"/>
        <w:rPr>
          <w:sz w:val="20"/>
          <w:szCs w:val="20"/>
          <w:color w:val="auto"/>
        </w:rPr>
      </w:pPr>
      <w:r>
        <w:rPr>
          <w:rFonts w:ascii="Arial" w:cs="Arial" w:eastAsia="Arial" w:hAnsi="Arial"/>
          <w:sz w:val="12"/>
          <w:szCs w:val="12"/>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Investment Corporation, a publicly traded BDC, and other managed funds. Accordingly they may have obligations to investors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28" w:lineRule="exact"/>
        <w:rPr>
          <w:sz w:val="20"/>
          <w:szCs w:val="20"/>
          <w:color w:val="auto"/>
        </w:rPr>
      </w:pPr>
    </w:p>
    <w:p>
      <w:pPr>
        <w:jc w:val="both"/>
        <w:ind w:firstLine="456"/>
        <w:spacing w:after="0" w:line="230"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affiliates of ours, subject to compliance with applicable regulations and our trade allocation procedures. Some types of negotiated co-investments may be made only if we receive an order from the SEC permitting us to do so. We have sought, and there can be no assurance that we will obtain, such order.</w:t>
      </w:r>
    </w:p>
    <w:p>
      <w:pPr>
        <w:spacing w:after="0" w:line="139" w:lineRule="exact"/>
        <w:rPr>
          <w:sz w:val="20"/>
          <w:szCs w:val="20"/>
          <w:color w:val="auto"/>
        </w:rPr>
      </w:pPr>
    </w:p>
    <w:p>
      <w:pPr>
        <w:ind w:right="340" w:firstLine="456"/>
        <w:spacing w:after="0" w:line="239" w:lineRule="auto"/>
        <w:rPr>
          <w:sz w:val="20"/>
          <w:szCs w:val="20"/>
          <w:color w:val="auto"/>
        </w:rPr>
      </w:pPr>
      <w:r>
        <w:rPr>
          <w:rFonts w:ascii="Arial" w:cs="Arial" w:eastAsia="Arial" w:hAnsi="Arial"/>
          <w:sz w:val="14"/>
          <w:szCs w:val="14"/>
          <w:color w:val="auto"/>
        </w:rPr>
        <w:t>As of June 30, 2013, our portfolio consisted of 78 companies and was invested 91% in senior secured loans, 5% in second lien secured debt and 4% in subordinated debt and preferred and common equity investments.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of June 30, 2013, there was no portfolio company in which we have made an investment that represents greater than 5% of our total assets.</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PORTFOLIO COMPANIES</w:t>
      </w:r>
    </w:p>
    <w:p>
      <w:pPr>
        <w:spacing w:after="0" w:line="71"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The following is a listing of each portfolio company or its affiliate, together referred to as portfolio companies, in which we had an investment at June 30, 2013.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June 30, 2013 Consolidated Financial Statements included elsewhere in this prospectus.</w:t>
      </w:r>
    </w:p>
    <w:p>
      <w:pPr>
        <w:spacing w:after="0" w:line="58" w:lineRule="exact"/>
        <w:rPr>
          <w:sz w:val="20"/>
          <w:szCs w:val="20"/>
          <w:color w:val="auto"/>
        </w:rPr>
      </w:pPr>
    </w:p>
    <w:p>
      <w:pPr>
        <w:ind w:right="120" w:firstLine="456"/>
        <w:spacing w:after="0" w:line="270" w:lineRule="auto"/>
        <w:rPr>
          <w:sz w:val="20"/>
          <w:szCs w:val="20"/>
          <w:color w:val="auto"/>
        </w:rPr>
      </w:pPr>
      <w:r>
        <w:rPr>
          <w:rFonts w:ascii="Arial" w:cs="Arial" w:eastAsia="Arial" w:hAnsi="Arial"/>
          <w:sz w:val="12"/>
          <w:szCs w:val="12"/>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Certain assets are pledged as collateral under our Credit Facility as disclosed in our Consolidated Schedule of Investments. Unless otherwise noted, we held no voting board membership on any of our portfolio companies.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96"/>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216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 xml:space="preserve">Ownership </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tcBorders>
              <w:top w:val="single" w:sz="8" w:color="auto"/>
              <w:bottom w:val="single" w:sz="8" w:color="CCEEFF"/>
            </w:tcBorders>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Companies less than 5% owned</w:t>
            </w:r>
          </w:p>
        </w:tc>
        <w:tc>
          <w:tcPr>
            <w:tcW w:w="2160" w:type="dxa"/>
            <w:vAlign w:val="bottom"/>
            <w:tcBorders>
              <w:top w:val="single" w:sz="8" w:color="CCEEFF"/>
              <w:bottom w:val="single" w:sz="8" w:color="CCEEFF"/>
            </w:tcBorders>
            <w:shd w:val="clear" w:color="auto" w:fill="CCEEFF"/>
          </w:tcPr>
          <w:p>
            <w:pPr>
              <w:spacing w:after="0"/>
              <w:rPr>
                <w:sz w:val="14"/>
                <w:szCs w:val="14"/>
                <w:color w:val="auto"/>
              </w:rPr>
            </w:pPr>
          </w:p>
        </w:tc>
        <w:tc>
          <w:tcPr>
            <w:tcW w:w="24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70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AKA Diversified Holdings,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4"/>
              </w:rPr>
              <w:t>Retail</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3109 West 41st Street, # 113</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Sioux Falls, SD 57105</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Affinion Group Holdings,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Consumer Goods: Non-Durable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100 Connecticut Avenue</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Norwalk, CT 06850</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ALG USA Holdings, LLC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7 Campus Boulevard</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Newtown Square, PA 19073</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Alvogen Pharma US,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 Bloomfield Avenue, Building B,</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Pine Brook, NJ 07058</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AMF Bowling Centers,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4"/>
              </w:rPr>
              <w:t>Retail</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7313 Bell Creek Rd.</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Mechanicsville, VA 23111</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American Gilsonite Company</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Metals and Mining</w:t>
            </w:r>
          </w:p>
        </w:tc>
        <w:tc>
          <w:tcPr>
            <w:tcW w:w="25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1717 St. James Place</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ARC Automotive Group,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4"/>
              </w:rPr>
              <w:t>Automotive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855 Main Street, 10th Floor</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Bridgeport, CT 06604</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Aspen Dental Management,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281 Sanders Creek Parkway</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East Syracuse, NY 13057</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ATI Holdings,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790 Remington Boulevard</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Bolingbrook, IL 60440</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Attachmate Corporation</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1500 Dexter Avenue N.</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Seattle, WA 98109</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Autoparts Holdings Limited</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4"/>
              </w:rPr>
              <w:t>Automotive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39 Old Ridgebury Road</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Danbury, CT 06810</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BBB Industries, LLC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4"/>
              </w:rPr>
              <w:t>Automotive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5640 Commerce Blvd. East</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Mobile, AL 36619</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BBTS Borrower LP</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Energy: Oil and Gas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18615 Tuscany Stone, Suite 300</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San Antonio, TX 78258</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580" w:type="dxa"/>
            <w:vAlign w:val="bottom"/>
            <w:gridSpan w:val="2"/>
          </w:tcPr>
          <w:p>
            <w:pPr>
              <w:jc w:val="right"/>
              <w:ind w:right="1272"/>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96"/>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216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 xml:space="preserve">Ownership </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20" w:type="dxa"/>
            <w:vAlign w:val="bottom"/>
            <w:tcBorders>
              <w:top w:val="single" w:sz="8" w:color="auto"/>
            </w:tcBorders>
            <w:shd w:val="clear" w:color="auto" w:fill="CCEEFF"/>
          </w:tcPr>
          <w:p>
            <w:pPr>
              <w:spacing w:after="0" w:line="111" w:lineRule="exact"/>
              <w:rPr>
                <w:sz w:val="20"/>
                <w:szCs w:val="20"/>
                <w:color w:val="auto"/>
              </w:rPr>
            </w:pPr>
            <w:r>
              <w:rPr>
                <w:rFonts w:ascii="Arial" w:cs="Arial" w:eastAsia="Arial" w:hAnsi="Arial"/>
                <w:sz w:val="12"/>
                <w:szCs w:val="12"/>
                <w:color w:val="auto"/>
              </w:rPr>
              <w:t>Brand Energy and Infrastructure Services, Inc</w:t>
            </w:r>
          </w:p>
        </w:tc>
        <w:tc>
          <w:tcPr>
            <w:tcW w:w="2160" w:type="dxa"/>
            <w:vAlign w:val="bottom"/>
            <w:tcBorders>
              <w:top w:val="single" w:sz="8" w:color="CCEEFF"/>
            </w:tcBorders>
            <w:shd w:val="clear" w:color="auto" w:fill="CCEEFF"/>
          </w:tcPr>
          <w:p>
            <w:pPr>
              <w:spacing w:after="0"/>
              <w:rPr>
                <w:sz w:val="9"/>
                <w:szCs w:val="9"/>
                <w:color w:val="auto"/>
              </w:rPr>
            </w:pPr>
          </w:p>
        </w:tc>
        <w:tc>
          <w:tcPr>
            <w:tcW w:w="2420" w:type="dxa"/>
            <w:vAlign w:val="bottom"/>
            <w:tcBorders>
              <w:top w:val="single" w:sz="8" w:color="auto"/>
            </w:tcBorders>
            <w:shd w:val="clear" w:color="auto" w:fill="CCEEFF"/>
          </w:tcPr>
          <w:p>
            <w:pPr>
              <w:jc w:val="center"/>
              <w:spacing w:after="0" w:line="111" w:lineRule="exact"/>
              <w:rPr>
                <w:sz w:val="20"/>
                <w:szCs w:val="20"/>
                <w:color w:val="auto"/>
              </w:rPr>
            </w:pPr>
            <w:r>
              <w:rPr>
                <w:rFonts w:ascii="Arial" w:cs="Arial" w:eastAsia="Arial" w:hAnsi="Arial"/>
                <w:sz w:val="12"/>
                <w:szCs w:val="12"/>
                <w:color w:val="auto"/>
              </w:rPr>
              <w:t>Energy: Oil and Gas</w:t>
            </w:r>
          </w:p>
        </w:tc>
        <w:tc>
          <w:tcPr>
            <w:tcW w:w="100" w:type="dxa"/>
            <w:vAlign w:val="bottom"/>
            <w:tcBorders>
              <w:top w:val="single" w:sz="8" w:color="CCEEFF"/>
            </w:tcBorders>
            <w:shd w:val="clear" w:color="auto" w:fill="CCEEFF"/>
          </w:tcPr>
          <w:p>
            <w:pPr>
              <w:spacing w:after="0"/>
              <w:rPr>
                <w:sz w:val="9"/>
                <w:szCs w:val="9"/>
                <w:color w:val="auto"/>
              </w:rPr>
            </w:pPr>
          </w:p>
        </w:tc>
        <w:tc>
          <w:tcPr>
            <w:tcW w:w="2400" w:type="dxa"/>
            <w:vAlign w:val="bottom"/>
            <w:tcBorders>
              <w:top w:val="single" w:sz="8" w:color="auto"/>
            </w:tcBorders>
            <w:shd w:val="clear" w:color="auto" w:fill="CCEEFF"/>
          </w:tcPr>
          <w:p>
            <w:pPr>
              <w:jc w:val="center"/>
              <w:spacing w:after="0" w:line="111" w:lineRule="exact"/>
              <w:rPr>
                <w:sz w:val="20"/>
                <w:szCs w:val="20"/>
                <w:color w:val="auto"/>
              </w:rPr>
            </w:pPr>
            <w:r>
              <w:rPr>
                <w:rFonts w:ascii="Arial" w:cs="Arial" w:eastAsia="Arial" w:hAnsi="Arial"/>
                <w:sz w:val="12"/>
                <w:szCs w:val="12"/>
                <w:color w:val="auto"/>
              </w:rPr>
              <w:t>Second Lien Secured Debt</w:t>
            </w:r>
          </w:p>
        </w:tc>
        <w:tc>
          <w:tcPr>
            <w:tcW w:w="100" w:type="dxa"/>
            <w:vAlign w:val="bottom"/>
            <w:tcBorders>
              <w:top w:val="single" w:sz="8" w:color="CCEEFF"/>
            </w:tcBorders>
            <w:shd w:val="clear" w:color="auto" w:fill="CCEEFF"/>
          </w:tcPr>
          <w:p>
            <w:pPr>
              <w:spacing w:after="0"/>
              <w:rPr>
                <w:sz w:val="9"/>
                <w:szCs w:val="9"/>
                <w:color w:val="auto"/>
              </w:rPr>
            </w:pPr>
          </w:p>
        </w:tc>
        <w:tc>
          <w:tcPr>
            <w:tcW w:w="1700" w:type="dxa"/>
            <w:vAlign w:val="bottom"/>
            <w:tcBorders>
              <w:top w:val="single" w:sz="8" w:color="auto"/>
            </w:tcBorders>
            <w:shd w:val="clear" w:color="auto" w:fill="CCEEFF"/>
          </w:tcPr>
          <w:p>
            <w:pPr>
              <w:jc w:val="center"/>
              <w:spacing w:after="0" w:line="11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600 Travis Street, Suite 600</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Houston, TX 77002</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Cannery Casino Resorts, LLC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2121 E Craig Road North</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Las Vegas, NV 89030</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CBAC Borrower, LLC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 Caesars Palace Drive</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Las Vegas, NV 89109-8969</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Charlotte Russe,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4"/>
              </w:rPr>
              <w:t>Retail</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575 Florida Street</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San Francisco, CA 94010</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Credit Infonet,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4540 Honeywell Court</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Dayton, OH 45424</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DCS Business Services,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333 North Canyon Parkway, Suite 100</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Livermore, CA 94551</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Document Technologies,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Two Ravinia Dr., Suite 850</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Atlanta, GA 30346</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DS Waters Of America,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5660 New Northside Drive, Suite 500</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Atlanta, GA 30328</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EAG,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810 Kifer Road</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Sunnyvale, CA 94086</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Edmenturn,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Media: Broadcasting and Subscription</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w w:val="87"/>
              </w:rPr>
              <w:t>5600 West 83rd Street, Suite 300, 8200 Tower</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Bloomington, MN 55437</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EIG Investors Corp.</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 Corporate Drive</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Burlington, MA 01803</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Emerald Performance Materials, LLC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Chemicals, Plastics and Rubber</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2020 Front Street, Suite 100</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Cuyahoga Falls, OH 44221</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eResearchtechnology,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1818 Market Street</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Philandelphia, PA 19103</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Fishnet Security,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6130 Sprint Parkway, Suite 400</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Overland Park, KS 66211</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580" w:type="dxa"/>
            <w:vAlign w:val="bottom"/>
            <w:gridSpan w:val="2"/>
          </w:tcPr>
          <w:p>
            <w:pPr>
              <w:jc w:val="right"/>
              <w:ind w:right="1273"/>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Gastar Exploration USA, Inc.</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7"/>
              </w:rPr>
              <w:t>Energy: Oil and Gas</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6"/>
              </w:rPr>
              <w:t>Second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1331 Lamar Street, Suite 650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Houston, TX 77010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GFA Brands,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115 West Century Road, Suite 260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Paramus, NJ 07652</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Granite Broadcasting Corporation</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Media: Broadcasting and Subscription</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767 Third Avenue - 34th Floor</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New York, NY 10017</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Graton Economic Development Authority</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Federated Indians of Graton Rancheria</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6400 Redwood Drive, Suite 300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Rohnert Park, CA 94928</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GSE Environmental,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Environmental Industries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19103 Gundle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Houston, TX 77073</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Help/Systems Holdings,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6455 City West Parkway</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Eden Prairie, MN 55344</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HMK Intermediate Holding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4"/>
              </w:rPr>
              <w:t>Retail</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1000 South Oyster Bay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Hicksville, NY 11801</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Howard Berger Co.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Wholesale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324A Half Acre Road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Cranbury, NJ 08512</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IDQ Holdings,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4"/>
              </w:rPr>
              <w:t>Automotive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2901 West Kingsley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Garland, TX 75041</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iEnergizer Limited and Aptara,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Mont Crevelt House, Bulwer Avenue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St Sampson, Guernsey GY2 4LH</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Ikaria Acquisition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Perryville III Corporate Park</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53 Frontage Road, 3rd FL.</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PO BOX 9001</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Hampton, NJ 08827</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InfuSystem Holdings,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31700 Reseach Park Drive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Madison Heights, MI 48071</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Instant Web,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7951 Powers Boulevard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Chanhassen, MN 55317</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jc w:val="right"/>
              <w:ind w:right="1272"/>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Jackson Hewitt Tax Service Inc.</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6"/>
              </w:rPr>
              <w:t>Consumer Services</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First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 Sylvan Way</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Parsippany, NJ 07054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K2 Pure Solutions NoCal, L.P.</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Chemicals, Plastics and Rubber</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Soho Centre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260 Queen St.</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W. Toronto, Canada</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Language Line,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 Lower Ragsdale Drive, Building 2</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Monterey CA, 93940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LifeCare Holdings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5340 Legacy Drive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Suite 150 - Building 4</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Plano, TX 75024</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Lineage Logistics,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21700 Barton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Colton, CA 92324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Meritas Schools Holdings,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630 Dundee Road, Suite 400,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Northbrook, IL 60062</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Milk Specialties Company</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Consumer Goods: Non-Durable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7500 Flying Cloud Drive, Suite 500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Eden Prairie, MN 55344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Mood Media Corporation</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Media: Diversified and Production</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20 York Mills Road, 6th Floor</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Toronto, ON M2P 2C2</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Canada</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MX USA,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930 Ridgebrook Rd, 3rd FL</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Sparks, MD 21152</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NAB Holdings,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Banking, Finance, Insurance and Real</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250 Stephenson Highway</w:t>
            </w:r>
          </w:p>
        </w:tc>
        <w:tc>
          <w:tcPr>
            <w:tcW w:w="25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Estate</w:t>
            </w: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Troy, MI 48083</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Northfield Park Associates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10705 Northfield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Northfield, OH 44067</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Orbitz Worldwide,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Transportation: Consumer</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500 W. Madison Street, Suite 1000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Chicago, IL 60661</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jc w:val="right"/>
              <w:ind w:right="1272"/>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Packaging Coordinators, Inc.</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5"/>
              </w:rPr>
              <w:t>Containers, Packaging and Glass</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First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3001 Red Lion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Philadelphia, PA 19114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Pelican Products,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Containers, Packaging and Glass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23215 Early Avenue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Torrance, CA 90505</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Penton Media,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Media: Diversified and Production</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249 W. 17 th Street, 4 th Floor</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New York, NY 10011</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Polyconcept Finance B.V.</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Consumer Goods: Non-Durable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400 Hunt Valley Road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New Kensington, PA 15068</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Premier Dental Services,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530 S Main Street, 6th FL</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Orange, CA 92868</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RiverBoat Corporation of Mississippi</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1510 West Loop South</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Houston, TX 77027</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Sabre Industries,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Construction and Building</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8653 East Highway 67</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Alvarado, TX 76009</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Seven Seas Cruises</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8300 NW 33 rd Street, Suite 308</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Miami, FL 33122</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Securus Technologies Holdings,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Telecommunications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14651 Dallas Parkway – Suite 600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Dallas, TX 75254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Sotera Defense Solutions,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3"/>
              </w:rPr>
              <w:t>Aerospace and Defense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1501 Farm Credit Drive, Suite 2300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McLean, VA 22102</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St. George s University Scholastic Services,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3500 Sunrise Highway, Bldg. 300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Great River, NY 11739</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Steward Health Care System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500 Boylston Street</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Boston, MA 02116</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Sutherland Global Services,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1160 Pittsford Victor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Pittsford, NY 14534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The National Underwriter Company</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475 Park Avenue South</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New York, NY 10016</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jc w:val="right"/>
              <w:ind w:right="1272"/>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Therakos, Inc.</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5"/>
              </w:rPr>
              <w:t>Healthcare and Pharmaceuticals</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First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1001 US Route 202</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Raritan, NJ 08869</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Travelport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Transportation: Consumer</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300 Galleria Pkwy</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Atlanta, GA 30339</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TriNet HR Corporation</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1100 San Leandro Boulevard, Suite 400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San Leandro, CA 94577</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UniTek Global Services,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Telecommunications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1777 Sentry Parkway West</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Gwynedd Hall Suite 202</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Blue Bell, PA 19422</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Univita Health,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8601 North Scottsdale Road, Suite 335</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Scottsdale, AZ 85253</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Varel International Energy Mezzanine</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Energy: Oil and Gas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Funding Corp.</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1625W. Crossby Road, Suite 124</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Carrollton Dallas County, TX 75006</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Vestcom International,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7302 Kanis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0"/>
              </w:rPr>
              <w:t>Common Equity</w:t>
            </w: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Little Rock, AR 72204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Viamedia Services Corp.</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220 Lexington Green Circle, Suite 300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Lexington, KY 40503</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Virtual Radiologic Corporation</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11995 Singletree Lane, Suite 500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Eden Prairie, MN 55344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Water Pik,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Consumer Goods: Durable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1730 East Prospect Road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Fort Collins, CO 80553</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Wilton Brands,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Consumer Goods: Non-Durable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2240 W. 75th Street</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Woodridge, IL 60517</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YP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2247 Northlake Parkway</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Tucker, GA 30084</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5176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5" w:lineRule="exact"/>
        <w:rPr>
          <w:sz w:val="20"/>
          <w:szCs w:val="20"/>
          <w:color w:val="auto"/>
        </w:rPr>
      </w:pPr>
    </w:p>
    <w:p>
      <w:pPr>
        <w:ind w:left="5640" w:right="4140" w:hanging="5632"/>
        <w:spacing w:after="0" w:line="459" w:lineRule="auto"/>
        <w:tabs>
          <w:tab w:leader="none" w:pos="218" w:val="left"/>
        </w:tabs>
        <w:numPr>
          <w:ilvl w:val="0"/>
          <w:numId w:val="31"/>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have voting rights. 58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equivalents) in such industries as of June 30, 2013 and September 30, 2012.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Industry Classification</w:t>
            </w:r>
          </w:p>
        </w:tc>
        <w:tc>
          <w:tcPr>
            <w:tcW w:w="26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2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w w:val="83"/>
              </w:rPr>
              <w:t>June 30, 2013</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September 30, 2012</w:t>
            </w:r>
          </w:p>
        </w:tc>
        <w:tc>
          <w:tcPr>
            <w:tcW w:w="0" w:type="dxa"/>
            <w:vAlign w:val="bottom"/>
          </w:tcPr>
          <w:p>
            <w:pPr>
              <w:spacing w:after="0"/>
              <w:rPr>
                <w:sz w:val="1"/>
                <w:szCs w:val="1"/>
                <w:color w:val="auto"/>
              </w:rPr>
            </w:pPr>
          </w:p>
        </w:tc>
      </w:tr>
      <w:tr>
        <w:trPr>
          <w:trHeight w:val="20"/>
        </w:trPr>
        <w:tc>
          <w:tcPr>
            <w:tcW w:w="4020" w:type="dxa"/>
            <w:vAlign w:val="bottom"/>
            <w:gridSpan w:val="2"/>
            <w:vMerge w:val="restart"/>
            <w:shd w:val="clear" w:color="auto" w:fill="CCEEFF"/>
          </w:tcPr>
          <w:p>
            <w:pPr>
              <w:spacing w:after="0" w:line="155" w:lineRule="exact"/>
              <w:rPr>
                <w:sz w:val="20"/>
                <w:szCs w:val="20"/>
                <w:color w:val="auto"/>
              </w:rPr>
            </w:pPr>
            <w:r>
              <w:rPr>
                <w:rFonts w:ascii="Arial" w:cs="Arial" w:eastAsia="Arial" w:hAnsi="Arial"/>
                <w:sz w:val="14"/>
                <w:szCs w:val="14"/>
                <w:color w:val="auto"/>
              </w:rPr>
              <w:t>Hotel, Gaming and Leisure</w:t>
            </w:r>
          </w:p>
        </w:tc>
        <w:tc>
          <w:tcPr>
            <w:tcW w:w="4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020" w:type="dxa"/>
            <w:vAlign w:val="bottom"/>
            <w:gridSpan w:val="2"/>
            <w:vMerge w:val="continue"/>
            <w:shd w:val="clear" w:color="auto" w:fill="CCEEFF"/>
          </w:tcPr>
          <w:p>
            <w:pPr>
              <w:spacing w:after="0"/>
              <w:rPr>
                <w:sz w:val="11"/>
                <w:szCs w:val="11"/>
                <w:color w:val="auto"/>
              </w:rPr>
            </w:pPr>
          </w:p>
        </w:tc>
        <w:tc>
          <w:tcPr>
            <w:tcW w:w="4220" w:type="dxa"/>
            <w:vAlign w:val="bottom"/>
            <w:vMerge w:val="continue"/>
            <w:shd w:val="clear" w:color="auto" w:fill="CCEEFF"/>
          </w:tcPr>
          <w:p>
            <w:pPr>
              <w:spacing w:after="0"/>
              <w:rPr>
                <w:sz w:val="11"/>
                <w:szCs w:val="11"/>
                <w:color w:val="auto"/>
              </w:rPr>
            </w:pPr>
          </w:p>
        </w:tc>
        <w:tc>
          <w:tcPr>
            <w:tcW w:w="1920" w:type="dxa"/>
            <w:vAlign w:val="bottom"/>
            <w:gridSpan w:val="2"/>
            <w:shd w:val="clear" w:color="auto" w:fill="CCEEFF"/>
          </w:tcPr>
          <w:p>
            <w:pPr>
              <w:jc w:val="right"/>
              <w:ind w:right="1020"/>
              <w:spacing w:after="0" w:line="136" w:lineRule="exact"/>
              <w:rPr>
                <w:sz w:val="20"/>
                <w:szCs w:val="20"/>
                <w:color w:val="auto"/>
              </w:rPr>
            </w:pPr>
            <w:r>
              <w:rPr>
                <w:rFonts w:ascii="Arial" w:cs="Arial" w:eastAsia="Arial" w:hAnsi="Arial"/>
                <w:sz w:val="14"/>
                <w:szCs w:val="14"/>
                <w:color w:val="auto"/>
              </w:rPr>
              <w:t>12%</w:t>
            </w:r>
          </w:p>
        </w:tc>
        <w:tc>
          <w:tcPr>
            <w:tcW w:w="12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Healthcare and Pharmaceuticals</w:t>
            </w:r>
          </w:p>
        </w:tc>
        <w:tc>
          <w:tcPr>
            <w:tcW w:w="6140" w:type="dxa"/>
            <w:vAlign w:val="bottom"/>
            <w:gridSpan w:val="3"/>
          </w:tcPr>
          <w:p>
            <w:pPr>
              <w:jc w:val="right"/>
              <w:ind w:right="1140"/>
              <w:spacing w:after="0" w:line="149" w:lineRule="exact"/>
              <w:rPr>
                <w:sz w:val="20"/>
                <w:szCs w:val="20"/>
                <w:color w:val="auto"/>
              </w:rPr>
            </w:pPr>
            <w:r>
              <w:rPr>
                <w:rFonts w:ascii="Arial" w:cs="Arial" w:eastAsia="Arial" w:hAnsi="Arial"/>
                <w:sz w:val="14"/>
                <w:szCs w:val="14"/>
                <w:color w:val="auto"/>
              </w:rPr>
              <w:t>10</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Media: Advertising, Printing and Publishing</w:t>
            </w:r>
          </w:p>
        </w:tc>
        <w:tc>
          <w:tcPr>
            <w:tcW w:w="6140" w:type="dxa"/>
            <w:vAlign w:val="bottom"/>
            <w:gridSpan w:val="3"/>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9</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Consumer Services</w:t>
            </w:r>
          </w:p>
        </w:tc>
        <w:tc>
          <w:tcPr>
            <w:tcW w:w="6140" w:type="dxa"/>
            <w:vAlign w:val="bottom"/>
            <w:gridSpan w:val="3"/>
          </w:tcPr>
          <w:p>
            <w:pPr>
              <w:jc w:val="right"/>
              <w:ind w:right="1140"/>
              <w:spacing w:after="0" w:line="149" w:lineRule="exact"/>
              <w:rPr>
                <w:sz w:val="20"/>
                <w:szCs w:val="20"/>
                <w:color w:val="auto"/>
              </w:rPr>
            </w:pPr>
            <w:r>
              <w:rPr>
                <w:rFonts w:ascii="Arial" w:cs="Arial" w:eastAsia="Arial" w:hAnsi="Arial"/>
                <w:sz w:val="14"/>
                <w:szCs w:val="14"/>
                <w:color w:val="auto"/>
              </w:rPr>
              <w:t>8</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6140" w:type="dxa"/>
            <w:vAlign w:val="bottom"/>
            <w:gridSpan w:val="3"/>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7</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Consumer Goods: Non-Durable</w:t>
            </w:r>
          </w:p>
        </w:tc>
        <w:tc>
          <w:tcPr>
            <w:tcW w:w="6140" w:type="dxa"/>
            <w:vAlign w:val="bottom"/>
            <w:gridSpan w:val="3"/>
          </w:tcPr>
          <w:p>
            <w:pPr>
              <w:jc w:val="right"/>
              <w:ind w:right="1140"/>
              <w:spacing w:after="0" w:line="149" w:lineRule="exact"/>
              <w:rPr>
                <w:sz w:val="20"/>
                <w:szCs w:val="20"/>
                <w:color w:val="auto"/>
              </w:rPr>
            </w:pPr>
            <w:r>
              <w:rPr>
                <w:rFonts w:ascii="Arial" w:cs="Arial" w:eastAsia="Arial" w:hAnsi="Arial"/>
                <w:sz w:val="14"/>
                <w:szCs w:val="14"/>
                <w:color w:val="auto"/>
              </w:rPr>
              <w:t>7</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High Tech Industries</w:t>
            </w:r>
          </w:p>
        </w:tc>
        <w:tc>
          <w:tcPr>
            <w:tcW w:w="6140" w:type="dxa"/>
            <w:vAlign w:val="bottom"/>
            <w:gridSpan w:val="3"/>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7</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Retail</w:t>
            </w:r>
          </w:p>
        </w:tc>
        <w:tc>
          <w:tcPr>
            <w:tcW w:w="6140" w:type="dxa"/>
            <w:vAlign w:val="bottom"/>
            <w:gridSpan w:val="3"/>
          </w:tcPr>
          <w:p>
            <w:pPr>
              <w:jc w:val="right"/>
              <w:ind w:right="1140"/>
              <w:spacing w:after="0" w:line="149" w:lineRule="exact"/>
              <w:rPr>
                <w:sz w:val="20"/>
                <w:szCs w:val="20"/>
                <w:color w:val="auto"/>
              </w:rPr>
            </w:pPr>
            <w:r>
              <w:rPr>
                <w:rFonts w:ascii="Arial" w:cs="Arial" w:eastAsia="Arial" w:hAnsi="Arial"/>
                <w:sz w:val="14"/>
                <w:szCs w:val="14"/>
                <w:color w:val="auto"/>
              </w:rPr>
              <w:t>6</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Energy: Oil and Gas</w:t>
            </w:r>
          </w:p>
        </w:tc>
        <w:tc>
          <w:tcPr>
            <w:tcW w:w="6140" w:type="dxa"/>
            <w:vAlign w:val="bottom"/>
            <w:gridSpan w:val="3"/>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5</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Beverage, Food and Tobacco</w:t>
            </w:r>
          </w:p>
        </w:tc>
        <w:tc>
          <w:tcPr>
            <w:tcW w:w="6140" w:type="dxa"/>
            <w:vAlign w:val="bottom"/>
            <w:gridSpan w:val="3"/>
          </w:tcPr>
          <w:p>
            <w:pPr>
              <w:jc w:val="right"/>
              <w:ind w:right="1140"/>
              <w:spacing w:after="0" w:line="149" w:lineRule="exact"/>
              <w:rPr>
                <w:sz w:val="20"/>
                <w:szCs w:val="20"/>
                <w:color w:val="auto"/>
              </w:rPr>
            </w:pPr>
            <w:r>
              <w:rPr>
                <w:rFonts w:ascii="Arial" w:cs="Arial" w:eastAsia="Arial" w:hAnsi="Arial"/>
                <w:sz w:val="14"/>
                <w:szCs w:val="14"/>
                <w:color w:val="auto"/>
              </w:rPr>
              <w:t>4</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Transportation: Consumer</w:t>
            </w:r>
          </w:p>
        </w:tc>
        <w:tc>
          <w:tcPr>
            <w:tcW w:w="6140" w:type="dxa"/>
            <w:vAlign w:val="bottom"/>
            <w:gridSpan w:val="3"/>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4</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Automotive</w:t>
            </w:r>
          </w:p>
        </w:tc>
        <w:tc>
          <w:tcPr>
            <w:tcW w:w="6140" w:type="dxa"/>
            <w:vAlign w:val="bottom"/>
            <w:gridSpan w:val="3"/>
          </w:tcPr>
          <w:p>
            <w:pPr>
              <w:jc w:val="right"/>
              <w:ind w:right="1140"/>
              <w:spacing w:after="0" w:line="149" w:lineRule="exact"/>
              <w:rPr>
                <w:sz w:val="20"/>
                <w:szCs w:val="20"/>
                <w:color w:val="auto"/>
              </w:rPr>
            </w:pPr>
            <w:r>
              <w:rPr>
                <w:rFonts w:ascii="Arial" w:cs="Arial" w:eastAsia="Arial" w:hAnsi="Arial"/>
                <w:sz w:val="14"/>
                <w:szCs w:val="14"/>
                <w:color w:val="auto"/>
              </w:rPr>
              <w:t>3</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6140" w:type="dxa"/>
            <w:vAlign w:val="bottom"/>
            <w:gridSpan w:val="3"/>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3</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Media: Diversified and Production</w:t>
            </w:r>
          </w:p>
        </w:tc>
        <w:tc>
          <w:tcPr>
            <w:tcW w:w="6140" w:type="dxa"/>
            <w:vAlign w:val="bottom"/>
            <w:gridSpan w:val="3"/>
          </w:tcPr>
          <w:p>
            <w:pPr>
              <w:jc w:val="right"/>
              <w:ind w:right="1140"/>
              <w:spacing w:after="0" w:line="149" w:lineRule="exact"/>
              <w:rPr>
                <w:sz w:val="20"/>
                <w:szCs w:val="20"/>
                <w:color w:val="auto"/>
              </w:rPr>
            </w:pPr>
            <w:r>
              <w:rPr>
                <w:rFonts w:ascii="Arial" w:cs="Arial" w:eastAsia="Arial" w:hAnsi="Arial"/>
                <w:sz w:val="14"/>
                <w:szCs w:val="14"/>
                <w:color w:val="auto"/>
              </w:rPr>
              <w:t>3</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Containers, Packaging and Glass</w:t>
            </w:r>
          </w:p>
        </w:tc>
        <w:tc>
          <w:tcPr>
            <w:tcW w:w="6140" w:type="dxa"/>
            <w:vAlign w:val="bottom"/>
            <w:gridSpan w:val="3"/>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2</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Media: Broadcasting and Subscription</w:t>
            </w:r>
          </w:p>
        </w:tc>
        <w:tc>
          <w:tcPr>
            <w:tcW w:w="6140" w:type="dxa"/>
            <w:vAlign w:val="bottom"/>
            <w:gridSpan w:val="3"/>
          </w:tcPr>
          <w:p>
            <w:pPr>
              <w:jc w:val="right"/>
              <w:ind w:right="1140"/>
              <w:spacing w:after="0" w:line="149" w:lineRule="exact"/>
              <w:rPr>
                <w:sz w:val="20"/>
                <w:szCs w:val="20"/>
                <w:color w:val="auto"/>
              </w:rPr>
            </w:pPr>
            <w:r>
              <w:rPr>
                <w:rFonts w:ascii="Arial" w:cs="Arial" w:eastAsia="Arial" w:hAnsi="Arial"/>
                <w:sz w:val="14"/>
                <w:szCs w:val="14"/>
                <w:color w:val="auto"/>
              </w:rPr>
              <w:t>2</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Telecommunications</w:t>
            </w:r>
          </w:p>
        </w:tc>
        <w:tc>
          <w:tcPr>
            <w:tcW w:w="6140" w:type="dxa"/>
            <w:vAlign w:val="bottom"/>
            <w:gridSpan w:val="3"/>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2</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Aerospace and Defense</w:t>
            </w:r>
          </w:p>
        </w:tc>
        <w:tc>
          <w:tcPr>
            <w:tcW w:w="6140" w:type="dxa"/>
            <w:vAlign w:val="bottom"/>
            <w:gridSpan w:val="3"/>
          </w:tcPr>
          <w:p>
            <w:pPr>
              <w:jc w:val="right"/>
              <w:ind w:right="1140"/>
              <w:spacing w:after="0" w:line="149" w:lineRule="exact"/>
              <w:rPr>
                <w:sz w:val="20"/>
                <w:szCs w:val="20"/>
                <w:color w:val="auto"/>
              </w:rPr>
            </w:pPr>
            <w:r>
              <w:rPr>
                <w:rFonts w:ascii="Arial" w:cs="Arial" w:eastAsia="Arial" w:hAnsi="Arial"/>
                <w:sz w:val="14"/>
                <w:szCs w:val="14"/>
                <w:color w:val="auto"/>
              </w:rPr>
              <w:t>1</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Construction and Building</w:t>
            </w:r>
          </w:p>
        </w:tc>
        <w:tc>
          <w:tcPr>
            <w:tcW w:w="6140" w:type="dxa"/>
            <w:vAlign w:val="bottom"/>
            <w:gridSpan w:val="3"/>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1</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Consumer Goods: Durable</w:t>
            </w:r>
          </w:p>
        </w:tc>
        <w:tc>
          <w:tcPr>
            <w:tcW w:w="6140" w:type="dxa"/>
            <w:vAlign w:val="bottom"/>
            <w:gridSpan w:val="3"/>
          </w:tcPr>
          <w:p>
            <w:pPr>
              <w:jc w:val="right"/>
              <w:ind w:right="1140"/>
              <w:spacing w:after="0" w:line="149" w:lineRule="exact"/>
              <w:rPr>
                <w:sz w:val="20"/>
                <w:szCs w:val="20"/>
                <w:color w:val="auto"/>
              </w:rPr>
            </w:pPr>
            <w:r>
              <w:rPr>
                <w:rFonts w:ascii="Arial" w:cs="Arial" w:eastAsia="Arial" w:hAnsi="Arial"/>
                <w:sz w:val="14"/>
                <w:szCs w:val="14"/>
                <w:color w:val="auto"/>
              </w:rPr>
              <w:t>1</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Environmental Industries</w:t>
            </w:r>
          </w:p>
        </w:tc>
        <w:tc>
          <w:tcPr>
            <w:tcW w:w="6140" w:type="dxa"/>
            <w:vAlign w:val="bottom"/>
            <w:gridSpan w:val="3"/>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1</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Metals and Mining</w:t>
            </w:r>
          </w:p>
        </w:tc>
        <w:tc>
          <w:tcPr>
            <w:tcW w:w="6140" w:type="dxa"/>
            <w:vAlign w:val="bottom"/>
            <w:gridSpan w:val="3"/>
          </w:tcPr>
          <w:p>
            <w:pPr>
              <w:jc w:val="right"/>
              <w:ind w:right="1140"/>
              <w:spacing w:after="0" w:line="149" w:lineRule="exact"/>
              <w:rPr>
                <w:sz w:val="20"/>
                <w:szCs w:val="20"/>
                <w:color w:val="auto"/>
              </w:rPr>
            </w:pPr>
            <w:r>
              <w:rPr>
                <w:rFonts w:ascii="Arial" w:cs="Arial" w:eastAsia="Arial" w:hAnsi="Arial"/>
                <w:sz w:val="14"/>
                <w:szCs w:val="14"/>
                <w:color w:val="auto"/>
              </w:rPr>
              <w:t>1</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 Other</w:t>
            </w:r>
          </w:p>
        </w:tc>
        <w:tc>
          <w:tcPr>
            <w:tcW w:w="422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1</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4"/>
                <w:szCs w:val="14"/>
                <w:color w:val="auto"/>
              </w:rPr>
              <w:t>Total</w:t>
            </w:r>
          </w:p>
        </w:tc>
        <w:tc>
          <w:tcPr>
            <w:tcW w:w="4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20" w:type="dxa"/>
            <w:vAlign w:val="bottom"/>
            <w:gridSpan w:val="2"/>
            <w:vMerge w:val="continue"/>
          </w:tcPr>
          <w:p>
            <w:pPr>
              <w:spacing w:after="0"/>
              <w:rPr>
                <w:sz w:val="13"/>
                <w:szCs w:val="13"/>
                <w:color w:val="auto"/>
              </w:rPr>
            </w:pPr>
          </w:p>
        </w:tc>
        <w:tc>
          <w:tcPr>
            <w:tcW w:w="4220" w:type="dxa"/>
            <w:vAlign w:val="bottom"/>
          </w:tcPr>
          <w:p>
            <w:pPr>
              <w:spacing w:after="0"/>
              <w:rPr>
                <w:sz w:val="13"/>
                <w:szCs w:val="13"/>
                <w:color w:val="auto"/>
              </w:rPr>
            </w:pPr>
          </w:p>
        </w:tc>
        <w:tc>
          <w:tcPr>
            <w:tcW w:w="1920" w:type="dxa"/>
            <w:vAlign w:val="bottom"/>
            <w:gridSpan w:val="2"/>
          </w:tcPr>
          <w:p>
            <w:pPr>
              <w:jc w:val="right"/>
              <w:ind w:right="1020"/>
              <w:spacing w:after="0" w:line="155" w:lineRule="exact"/>
              <w:rPr>
                <w:sz w:val="20"/>
                <w:szCs w:val="20"/>
                <w:color w:val="auto"/>
              </w:rPr>
            </w:pPr>
            <w:r>
              <w:rPr>
                <w:rFonts w:ascii="Arial" w:cs="Arial" w:eastAsia="Arial" w:hAnsi="Arial"/>
                <w:sz w:val="14"/>
                <w:szCs w:val="14"/>
                <w:color w:val="auto"/>
              </w:rPr>
              <w:t>100%</w:t>
            </w:r>
          </w:p>
        </w:tc>
        <w:tc>
          <w:tcPr>
            <w:tcW w:w="1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20" w:type="dxa"/>
            <w:vAlign w:val="bottom"/>
            <w:vMerge w:val="restart"/>
          </w:tcPr>
          <w:p>
            <w:pPr>
              <w:jc w:val="right"/>
              <w:ind w:right="2392"/>
              <w:spacing w:after="0"/>
              <w:rPr>
                <w:sz w:val="20"/>
                <w:szCs w:val="20"/>
                <w:color w:val="auto"/>
              </w:rPr>
            </w:pPr>
            <w:r>
              <w:rPr>
                <w:rFonts w:ascii="Arial" w:cs="Arial" w:eastAsia="Arial" w:hAnsi="Arial"/>
                <w:sz w:val="14"/>
                <w:szCs w:val="14"/>
                <w:color w:val="auto"/>
              </w:rPr>
              <w:t>59</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w:t>
      </w:r>
    </w:p>
    <w:p>
      <w:pPr>
        <w:spacing w:after="0" w:line="71" w:lineRule="exact"/>
        <w:rPr>
          <w:sz w:val="20"/>
          <w:szCs w:val="20"/>
          <w:color w:val="auto"/>
        </w:rPr>
      </w:pPr>
    </w:p>
    <w:p>
      <w:pPr>
        <w:ind w:right="100" w:firstLine="456"/>
        <w:spacing w:after="0" w:line="318" w:lineRule="auto"/>
        <w:rPr>
          <w:sz w:val="20"/>
          <w:szCs w:val="20"/>
          <w:color w:val="auto"/>
        </w:rPr>
      </w:pPr>
      <w:r>
        <w:rPr>
          <w:rFonts w:ascii="Arial" w:cs="Arial" w:eastAsia="Arial" w:hAnsi="Arial"/>
          <w:sz w:val="12"/>
          <w:szCs w:val="12"/>
          <w:color w:val="auto"/>
        </w:rPr>
        <w:t>Our business and affairs are managed under the direction of our board of directors. The board of directors currently consists of five members, four of whom are not “interested persons” of the Company as defined in Section 2(a)(19) of the 1940 Act. We refer to these individuals as our Independent Directors. Our board of directors elects our officers, who serve at the discretion of the board of directors.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of Directors</w:t>
      </w:r>
    </w:p>
    <w:p>
      <w:pPr>
        <w:spacing w:after="0" w:line="71"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Information regarding the board of directors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Director</w:t>
            </w:r>
          </w:p>
        </w:tc>
        <w:tc>
          <w:tcPr>
            <w:tcW w:w="840" w:type="dxa"/>
            <w:vAlign w:val="bottom"/>
          </w:tcPr>
          <w:p>
            <w:pPr>
              <w:jc w:val="right"/>
              <w:ind w:right="132"/>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75"/>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444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w:t>
            </w: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Since</w:t>
            </w: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Independent Directors</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2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Adam K. Bernstein</w:t>
            </w: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50</w:t>
            </w:r>
          </w:p>
        </w:tc>
        <w:tc>
          <w:tcPr>
            <w:tcW w:w="444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4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Marshall Brozost</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45</w:t>
            </w:r>
          </w:p>
        </w:tc>
        <w:tc>
          <w:tcPr>
            <w:tcW w:w="44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Jeffrey Flug</w:t>
            </w: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50</w:t>
            </w:r>
          </w:p>
        </w:tc>
        <w:tc>
          <w:tcPr>
            <w:tcW w:w="444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4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Samuel L. Katz</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48</w:t>
            </w:r>
          </w:p>
        </w:tc>
        <w:tc>
          <w:tcPr>
            <w:tcW w:w="44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Interested director</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4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Arthur H. Penn</w:t>
            </w: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50</w:t>
            </w:r>
          </w:p>
        </w:tc>
        <w:tc>
          <w:tcPr>
            <w:tcW w:w="44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Chairman of the Board and Chief Executive Officer</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 Who is Not a Director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information pertains to our executive officer who is not a director of PennantPark Floating Rate Capital Ltd.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Name Address</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536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16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Aviv Efrat</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49</w:t>
            </w:r>
          </w:p>
        </w:tc>
        <w:tc>
          <w:tcPr>
            <w:tcW w:w="10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Chief Financial Officer and Treasurer</w:t>
            </w:r>
          </w:p>
        </w:tc>
      </w:tr>
      <w:tr>
        <w:trPr>
          <w:trHeight w:val="44"/>
        </w:trPr>
        <w:tc>
          <w:tcPr>
            <w:tcW w:w="55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260" w:type="dxa"/>
            <w:vAlign w:val="bottom"/>
            <w:shd w:val="clear" w:color="auto" w:fill="CCEEFF"/>
          </w:tcPr>
          <w:p>
            <w:pPr>
              <w:spacing w:after="0"/>
              <w:rPr>
                <w:sz w:val="3"/>
                <w:szCs w:val="3"/>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Officer Who is Not a Director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information pertains to our officer who is not a director of PennantPark Floating Rate Capital Ltd.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Name Address</w:t>
            </w:r>
          </w:p>
        </w:tc>
        <w:tc>
          <w:tcPr>
            <w:tcW w:w="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52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6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Guy F. Talarico</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58</w:t>
            </w:r>
          </w:p>
        </w:tc>
        <w:tc>
          <w:tcPr>
            <w:tcW w:w="12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Chief Compliance Officer</w:t>
            </w:r>
          </w:p>
        </w:tc>
      </w:tr>
      <w:tr>
        <w:trPr>
          <w:trHeight w:val="44"/>
        </w:trPr>
        <w:tc>
          <w:tcPr>
            <w:tcW w:w="5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60" w:type="dxa"/>
            <w:vAlign w:val="bottom"/>
            <w:shd w:val="clear" w:color="auto" w:fill="CCEEFF"/>
          </w:tcPr>
          <w:p>
            <w:pPr>
              <w:spacing w:after="0"/>
              <w:rPr>
                <w:sz w:val="3"/>
                <w:szCs w:val="3"/>
                <w:color w:val="auto"/>
              </w:rPr>
            </w:pPr>
          </w:p>
        </w:tc>
      </w:tr>
    </w:tbl>
    <w:p>
      <w:pPr>
        <w:spacing w:after="0" w:line="15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executive offices are located at 590 Madison Avenue, 15th Floor, New York, New York 10022.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of Directors Composition and Leadership Structure</w:t>
      </w:r>
    </w:p>
    <w:p>
      <w:pPr>
        <w:spacing w:after="0" w:line="69"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positions of our Chief Executive Officer and Chairman of the board of directors results in efficiencies in managing us by eliminating the need to transfer substantial information quickly and repeatedly between the Chief Executive Officer and the Chairman and by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Administrator, is appropriate in light of the services that the Investment Adviser and the Administrator provides us and the potential conflicts of interest that could arise from these relationships.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of Directors’ Risk Oversight Role</w:t>
      </w:r>
    </w:p>
    <w:p>
      <w:pPr>
        <w:spacing w:after="0" w:line="69"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The board of directors performs its risk oversight function primarily through (1) its two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58"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As described below in more detail under “Audit Committee” and “Nominating and Corporate Governance Committee,” the board of directors’ Audit Committee and Nominating and Corporate Governance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independent accountants’ engagement to render audit and/or permissible non-audit services; and evaluating the qualifications, performance and independence of the independent accountants.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Both the Audit Committee and the Nominating and Corporate Governance Committee consist solely of Independent Directors.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firstLine="456"/>
        <w:spacing w:after="0" w:line="265" w:lineRule="auto"/>
        <w:rPr>
          <w:sz w:val="20"/>
          <w:szCs w:val="20"/>
          <w:color w:val="auto"/>
        </w:rPr>
      </w:pPr>
      <w:r>
        <w:rPr>
          <w:rFonts w:ascii="Arial" w:cs="Arial" w:eastAsia="Arial" w:hAnsi="Arial"/>
          <w:sz w:val="12"/>
          <w:szCs w:val="12"/>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certain of our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w:t>
      </w:r>
    </w:p>
    <w:p>
      <w:pPr>
        <w:spacing w:after="0" w:line="1" w:lineRule="exact"/>
        <w:rPr>
          <w:sz w:val="20"/>
          <w:szCs w:val="20"/>
          <w:color w:val="auto"/>
        </w:rPr>
      </w:pPr>
    </w:p>
    <w:p>
      <w:pPr>
        <w:jc w:val="both"/>
        <w:ind w:right="60" w:firstLine="8"/>
        <w:spacing w:after="0" w:line="227" w:lineRule="auto"/>
        <w:tabs>
          <w:tab w:leader="none" w:pos="191"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58"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its business and operations. For example, our ability to incur indebtedness is limited such that we are in compliance with our asset coverage ratio, as set forth in the 1940 Act,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58"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We believe that the extent of the board of directors’ and its committees’ roles in risk oversight complements the board of directors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the independent auditors,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36"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We believe that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administers their respective risk oversight functions, including through formal annual assessments, to ensure that they meet our needs.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Biographical Information</w:t>
      </w:r>
    </w:p>
    <w:p>
      <w:pPr>
        <w:spacing w:after="0" w:line="71" w:lineRule="exact"/>
        <w:rPr>
          <w:sz w:val="20"/>
          <w:szCs w:val="20"/>
          <w:color w:val="auto"/>
        </w:rPr>
      </w:pPr>
    </w:p>
    <w:p>
      <w:pPr>
        <w:jc w:val="both"/>
        <w:ind w:right="300" w:firstLine="456"/>
        <w:spacing w:after="0" w:line="288" w:lineRule="auto"/>
        <w:rPr>
          <w:sz w:val="20"/>
          <w:szCs w:val="20"/>
          <w:color w:val="auto"/>
        </w:rPr>
      </w:pPr>
      <w:r>
        <w:rPr>
          <w:rFonts w:ascii="Arial" w:cs="Arial" w:eastAsia="Arial" w:hAnsi="Arial"/>
          <w:sz w:val="12"/>
          <w:szCs w:val="12"/>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the 1940 Act.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Independent Directors</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Adam K. Bernstein (50), Director. Mr. Bernstein became a Director of PennantPark Floating Rate Capital Ltd. and PennantPark Investment Corporation in October 2010 and February 2007, respectively.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58" w:lineRule="exact"/>
        <w:rPr>
          <w:sz w:val="20"/>
          <w:szCs w:val="20"/>
          <w:color w:val="auto"/>
        </w:rPr>
      </w:pPr>
    </w:p>
    <w:p>
      <w:pPr>
        <w:ind w:right="200" w:firstLine="456"/>
        <w:spacing w:after="0" w:line="230" w:lineRule="auto"/>
        <w:rPr>
          <w:sz w:val="20"/>
          <w:szCs w:val="20"/>
          <w:color w:val="auto"/>
        </w:rPr>
      </w:pPr>
      <w:r>
        <w:rPr>
          <w:rFonts w:ascii="Arial" w:cs="Arial" w:eastAsia="Arial" w:hAnsi="Arial"/>
          <w:sz w:val="14"/>
          <w:szCs w:val="14"/>
          <w:color w:val="auto"/>
        </w:rPr>
        <w:t>Marshall Brozost (45), Director. Mr. Brozost became a Director of PennantPark Floating Rate Capital Ltd. and PennantPark Investment Corporation in October 2010 and February 2007, respectively. Since May 2012, Mr. Brozost has been a Partner at Schulte Roth &amp; Zabel, LLP, where he practices in the real estate and private equity groups. Prior to Schulte Roth &amp; Zabel, Mr. Brozost practiced law at O’Melveny &amp; Myers LLP from 2001 to 2004 and Solomon &amp; Weinberg LLP from 2004 to 2005 and Dewey &amp; LeBoeuf LLP from 2005 to 2012. Mr. Brozost also served as a Vice President of Nomura Asset Capital Corporation from 1997 through 2000.</w:t>
      </w:r>
    </w:p>
    <w:p>
      <w:pPr>
        <w:spacing w:after="0" w:line="58"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Jeffrey Flug (50), Director. Mr. Flug became a Director of PennantPark Floating Rate Capital Ltd. and PennantPark Investment Corporation in October 2010 and February 2007, respectively. Since October 2012, Mr. Flug has been a director of Sears Hometown and outlet store. Since 2009, Mr. Flug has been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5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Samuel L. Katz (48), Director. Mr. Katz became a Director of PennantPark Floating Rate Capital Ltd. and PennantPark Investment Corporation in October 2010 and February 2007, respectively. Since 2007, Mr. Katz has been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Interested Director</w:t>
      </w:r>
    </w:p>
    <w:p>
      <w:pPr>
        <w:spacing w:after="0" w:line="6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2"/>
          <w:szCs w:val="12"/>
          <w:color w:val="auto"/>
        </w:rPr>
        <w:t>Arthur H. Penn (50), Founder, Chief Executive Officer and Chairman of the board of directors. Mr. Penn became the Chief Executive Officer and a Director of PennantPark Floating Rate Capital Ltd. and PennantPark Investment Corporation at their inception in October 2010 and January 2007,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Executive Officer and Officer who are not Directors</w:t>
      </w:r>
    </w:p>
    <w:p>
      <w:pPr>
        <w:spacing w:after="0" w:line="6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Aviv Efrat (49), Chief Financial Officer and Treasurer. Mr. Efrat became the Chief Financial Officer and Treasurer of PennantPark Floating Rate Capital Ltd. and PennantPark Investment Corporation in October 2010 and February 2007,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36" w:lineRule="exact"/>
        <w:rPr>
          <w:sz w:val="20"/>
          <w:szCs w:val="20"/>
          <w:color w:val="auto"/>
        </w:rPr>
      </w:pPr>
    </w:p>
    <w:p>
      <w:pPr>
        <w:ind w:right="160" w:firstLine="456"/>
        <w:spacing w:after="0" w:line="228" w:lineRule="auto"/>
        <w:rPr>
          <w:sz w:val="20"/>
          <w:szCs w:val="20"/>
          <w:color w:val="auto"/>
        </w:rPr>
      </w:pPr>
      <w:r>
        <w:rPr>
          <w:rFonts w:ascii="Arial" w:cs="Arial" w:eastAsia="Arial" w:hAnsi="Arial"/>
          <w:sz w:val="14"/>
          <w:szCs w:val="14"/>
          <w:color w:val="auto"/>
        </w:rPr>
        <w:t>Guy F. Talarico (58), Chief Compliance Officer. Mr. Talarico became the Chief Compliance Officer of PennantPark Floating Rate Capital Ltd. and PennantPark Investment Corporation in March 2011 and May 2008, respectively.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Committees of the Board of Directors</w:t>
      </w:r>
    </w:p>
    <w:p>
      <w:pPr>
        <w:spacing w:after="0" w:line="71"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For the fiscal year ended September 30, 2012, we held four board of directors’ meetings, four Audit Committee meetings and one Nominating and Corporate Governance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annual stockholder meetings.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Committee</w:t>
      </w:r>
    </w:p>
    <w:p>
      <w:pPr>
        <w:spacing w:after="0" w:line="71" w:lineRule="exact"/>
        <w:rPr>
          <w:sz w:val="20"/>
          <w:szCs w:val="20"/>
          <w:color w:val="auto"/>
        </w:rPr>
      </w:pPr>
    </w:p>
    <w:p>
      <w:pPr>
        <w:ind w:right="20" w:firstLine="456"/>
        <w:spacing w:after="0" w:line="265" w:lineRule="auto"/>
        <w:rPr>
          <w:sz w:val="20"/>
          <w:szCs w:val="20"/>
          <w:color w:val="auto"/>
        </w:rPr>
      </w:pPr>
      <w:r>
        <w:rPr>
          <w:rFonts w:ascii="Arial" w:cs="Arial" w:eastAsia="Arial" w:hAnsi="Arial"/>
          <w:sz w:val="12"/>
          <w:szCs w:val="12"/>
          <w:color w:val="auto"/>
        </w:rPr>
        <w:t xml:space="preserve">The members of the Audit Committee are Messrs. Bernstein, Brozost, Flug and Katz, each of whom is independent for purposes of the 1940 Act and the NASDAQ corporate governance rules. Messrs. Flug and Katz serve as Co-Chairman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our auditors the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The board of directors and Audit Committee use the services of nationally recognized independent valuation firms to help them determine the fair value of certain securities. The Company’s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Nominating and Corporate Governance Committee</w:t>
      </w:r>
    </w:p>
    <w:p>
      <w:pPr>
        <w:spacing w:after="0" w:line="71"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and our management. The Nominating and Corporate Governance Committee has adopted a written Nominating and Corporate Governance Committee Charter that is available on our website </w:t>
      </w:r>
      <w:r>
        <w:rPr>
          <w:rFonts w:ascii="Arial" w:cs="Arial" w:eastAsia="Arial" w:hAnsi="Arial"/>
          <w:sz w:val="12"/>
          <w:szCs w:val="12"/>
          <w:i w:val="1"/>
          <w:iCs w:val="1"/>
          <w:u w:val="single" w:color="auto"/>
          <w:color w:val="auto"/>
        </w:rPr>
        <w:t>www.pennantpark.com</w:t>
      </w:r>
      <w:r>
        <w:rPr>
          <w:rFonts w:ascii="Arial" w:cs="Arial" w:eastAsia="Arial" w:hAnsi="Arial"/>
          <w:sz w:val="12"/>
          <w:szCs w:val="12"/>
          <w:i w:val="1"/>
          <w:iCs w:val="1"/>
          <w:color w:val="auto"/>
        </w:rPr>
        <w:t>.</w:t>
      </w:r>
    </w:p>
    <w:p>
      <w:pPr>
        <w:spacing w:after="0" w:line="12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Floating Rate Capital Ltd.,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22"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Charters;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Committee will consider such factors as they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69" w:lineRule="exact"/>
        <w:rPr>
          <w:sz w:val="20"/>
          <w:szCs w:val="20"/>
          <w:color w:val="auto"/>
        </w:rPr>
      </w:pPr>
    </w:p>
    <w:p>
      <w:pPr>
        <w:ind w:right="640" w:firstLine="456"/>
        <w:spacing w:after="0" w:line="239" w:lineRule="auto"/>
        <w:rPr>
          <w:sz w:val="20"/>
          <w:szCs w:val="20"/>
          <w:color w:val="auto"/>
        </w:rPr>
      </w:pPr>
      <w:r>
        <w:rPr>
          <w:rFonts w:ascii="Arial" w:cs="Arial" w:eastAsia="Arial" w:hAnsi="Arial"/>
          <w:sz w:val="14"/>
          <w:szCs w:val="14"/>
          <w:color w:val="auto"/>
        </w:rPr>
        <w:t>We do not have a compensation committee because our executive officers do not receive compensation from us. Our board of directors, as a whole, participates in the consideration of director compensation and decisions are based on a review of data of comparable companies, amongst other factors.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of Directors</w:t>
      </w:r>
    </w:p>
    <w:p>
      <w:pPr>
        <w:spacing w:after="0" w:line="69"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The following table shows information regarding the compensation paid by us to our directors for the fiscal year ended September 30, 2012. No compensation is paid directly by us to any interested director or executive officer of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80" w:type="dxa"/>
            <w:vAlign w:val="bottom"/>
            <w:gridSpan w:val="7"/>
          </w:tcPr>
          <w:p>
            <w:pPr>
              <w:jc w:val="right"/>
              <w:ind w:right="1240"/>
              <w:spacing w:after="0"/>
              <w:rPr>
                <w:sz w:val="20"/>
                <w:szCs w:val="20"/>
                <w:color w:val="auto"/>
              </w:rPr>
            </w:pPr>
            <w:r>
              <w:rPr>
                <w:rFonts w:ascii="Arial" w:cs="Arial" w:eastAsia="Arial" w:hAnsi="Arial"/>
                <w:sz w:val="14"/>
                <w:szCs w:val="14"/>
                <w:b w:val="1"/>
                <w:bCs w:val="1"/>
                <w:color w:val="auto"/>
              </w:rPr>
              <w:t>PennantPark Floating Rate Capital Ltd.</w:t>
            </w:r>
          </w:p>
        </w:tc>
        <w:tc>
          <w:tcPr>
            <w:tcW w:w="100" w:type="dxa"/>
            <w:vAlign w:val="bottom"/>
          </w:tcPr>
          <w:p>
            <w:pPr>
              <w:spacing w:after="0"/>
              <w:rPr>
                <w:sz w:val="14"/>
                <w:szCs w:val="14"/>
                <w:color w:val="auto"/>
              </w:rPr>
            </w:pPr>
          </w:p>
        </w:tc>
        <w:tc>
          <w:tcPr>
            <w:tcW w:w="3700" w:type="dxa"/>
            <w:vAlign w:val="bottom"/>
            <w:gridSpan w:val="7"/>
          </w:tcPr>
          <w:p>
            <w:pPr>
              <w:ind w:left="660"/>
              <w:spacing w:after="0"/>
              <w:rPr>
                <w:sz w:val="20"/>
                <w:szCs w:val="20"/>
                <w:color w:val="auto"/>
              </w:rPr>
            </w:pPr>
            <w:r>
              <w:rPr>
                <w:rFonts w:ascii="Arial" w:cs="Arial" w:eastAsia="Arial" w:hAnsi="Arial"/>
                <w:sz w:val="14"/>
                <w:szCs w:val="14"/>
                <w:b w:val="1"/>
                <w:bCs w:val="1"/>
                <w:color w:val="auto"/>
              </w:rPr>
              <w:t>PennantPark Investment Corporation</w:t>
            </w:r>
          </w:p>
        </w:tc>
      </w:tr>
      <w:tr>
        <w:trPr>
          <w:trHeight w:val="129"/>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2"/>
              </w:rPr>
              <w:t>Pension or</w:t>
            </w: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5"/>
              </w:rPr>
              <w:t>Pension or</w:t>
            </w: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Aggregate</w:t>
            </w: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retirement</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Aggregate</w:t>
            </w: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retirement</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1"/>
              </w:rPr>
              <w:t>benefits</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benefits</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4"/>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640"/>
              <w:spacing w:after="0" w:line="135" w:lineRule="exact"/>
              <w:rPr>
                <w:sz w:val="20"/>
                <w:szCs w:val="20"/>
                <w:color w:val="auto"/>
              </w:rPr>
            </w:pPr>
            <w:r>
              <w:rPr>
                <w:rFonts w:ascii="Arial" w:cs="Arial" w:eastAsia="Arial" w:hAnsi="Arial"/>
                <w:sz w:val="14"/>
                <w:szCs w:val="14"/>
                <w:b w:val="1"/>
                <w:bCs w:val="1"/>
                <w:color w:val="auto"/>
                <w:w w:val="89"/>
              </w:rPr>
              <w:t>from the</w:t>
            </w:r>
          </w:p>
        </w:tc>
        <w:tc>
          <w:tcPr>
            <w:tcW w:w="150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4"/>
              </w:rPr>
              <w:t>accrued as part</w:t>
            </w:r>
          </w:p>
        </w:tc>
        <w:tc>
          <w:tcPr>
            <w:tcW w:w="80" w:type="dxa"/>
            <w:vAlign w:val="bottom"/>
          </w:tcPr>
          <w:p>
            <w:pPr>
              <w:spacing w:after="0"/>
              <w:rPr>
                <w:sz w:val="11"/>
                <w:szCs w:val="11"/>
                <w:color w:val="auto"/>
              </w:rPr>
            </w:pPr>
          </w:p>
        </w:tc>
        <w:tc>
          <w:tcPr>
            <w:tcW w:w="1340" w:type="dxa"/>
            <w:vAlign w:val="bottom"/>
            <w:gridSpan w:val="2"/>
          </w:tcPr>
          <w:p>
            <w:pPr>
              <w:jc w:val="right"/>
              <w:ind w:right="600"/>
              <w:spacing w:after="0" w:line="135" w:lineRule="exact"/>
              <w:rPr>
                <w:sz w:val="20"/>
                <w:szCs w:val="20"/>
                <w:color w:val="auto"/>
              </w:rPr>
            </w:pPr>
            <w:r>
              <w:rPr>
                <w:rFonts w:ascii="Arial" w:cs="Arial" w:eastAsia="Arial" w:hAnsi="Arial"/>
                <w:sz w:val="14"/>
                <w:szCs w:val="14"/>
                <w:b w:val="1"/>
                <w:bCs w:val="1"/>
                <w:color w:val="auto"/>
                <w:w w:val="86"/>
              </w:rPr>
              <w:t>Total paid to</w:t>
            </w:r>
          </w:p>
        </w:tc>
        <w:tc>
          <w:tcPr>
            <w:tcW w:w="100" w:type="dxa"/>
            <w:vAlign w:val="bottom"/>
          </w:tcPr>
          <w:p>
            <w:pPr>
              <w:spacing w:after="0"/>
              <w:rPr>
                <w:sz w:val="11"/>
                <w:szCs w:val="11"/>
                <w:color w:val="auto"/>
              </w:rPr>
            </w:pPr>
          </w:p>
        </w:tc>
        <w:tc>
          <w:tcPr>
            <w:tcW w:w="124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9"/>
              </w:rPr>
              <w:t>from the</w:t>
            </w:r>
          </w:p>
        </w:tc>
        <w:tc>
          <w:tcPr>
            <w:tcW w:w="152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6"/>
              </w:rPr>
              <w:t>accrued as part</w:t>
            </w:r>
          </w:p>
        </w:tc>
        <w:tc>
          <w:tcPr>
            <w:tcW w:w="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Total paid to</w:t>
            </w:r>
          </w:p>
        </w:tc>
      </w:tr>
      <w:tr>
        <w:trPr>
          <w:trHeight w:val="176"/>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5"/>
                <w:szCs w:val="15"/>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Company</w:t>
            </w:r>
          </w:p>
        </w:tc>
        <w:tc>
          <w:tcPr>
            <w:tcW w:w="1500" w:type="dxa"/>
            <w:vAlign w:val="bottom"/>
            <w:gridSpan w:val="2"/>
          </w:tcPr>
          <w:p>
            <w:pPr>
              <w:jc w:val="right"/>
              <w:ind w:right="540"/>
              <w:spacing w:after="0" w:line="176" w:lineRule="exact"/>
              <w:rPr>
                <w:sz w:val="20"/>
                <w:szCs w:val="20"/>
                <w:color w:val="auto"/>
              </w:rPr>
            </w:pPr>
            <w:r>
              <w:rPr>
                <w:rFonts w:ascii="Arial" w:cs="Arial" w:eastAsia="Arial" w:hAnsi="Arial"/>
                <w:sz w:val="13"/>
                <w:szCs w:val="13"/>
                <w:b w:val="1"/>
                <w:bCs w:val="1"/>
                <w:color w:val="auto"/>
                <w:w w:val="86"/>
              </w:rPr>
              <w:t>of our expense</w:t>
            </w:r>
            <w:r>
              <w:rPr>
                <w:rFonts w:ascii="Arial" w:cs="Arial" w:eastAsia="Arial" w:hAnsi="Arial"/>
                <w:sz w:val="20"/>
                <w:szCs w:val="20"/>
                <w:b w:val="1"/>
                <w:bCs w:val="1"/>
                <w:color w:val="auto"/>
                <w:w w:val="86"/>
                <w:vertAlign w:val="superscript"/>
              </w:rPr>
              <w:t>(1)</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100" w:type="dxa"/>
            <w:vAlign w:val="bottom"/>
          </w:tcPr>
          <w:p>
            <w:pPr>
              <w:spacing w:after="0"/>
              <w:rPr>
                <w:sz w:val="15"/>
                <w:szCs w:val="15"/>
                <w:color w:val="auto"/>
              </w:rPr>
            </w:pPr>
          </w:p>
        </w:tc>
        <w:tc>
          <w:tcPr>
            <w:tcW w:w="12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Company</w:t>
            </w:r>
          </w:p>
        </w:tc>
        <w:tc>
          <w:tcPr>
            <w:tcW w:w="1520" w:type="dxa"/>
            <w:vAlign w:val="bottom"/>
            <w:gridSpan w:val="2"/>
          </w:tcPr>
          <w:p>
            <w:pPr>
              <w:jc w:val="right"/>
              <w:ind w:right="560"/>
              <w:spacing w:after="0" w:line="176" w:lineRule="exact"/>
              <w:rPr>
                <w:sz w:val="20"/>
                <w:szCs w:val="20"/>
                <w:color w:val="auto"/>
              </w:rPr>
            </w:pPr>
            <w:r>
              <w:rPr>
                <w:rFonts w:ascii="Arial" w:cs="Arial" w:eastAsia="Arial" w:hAnsi="Arial"/>
                <w:sz w:val="13"/>
                <w:szCs w:val="13"/>
                <w:b w:val="1"/>
                <w:bCs w:val="1"/>
                <w:color w:val="auto"/>
                <w:w w:val="86"/>
              </w:rPr>
              <w:t>of our expense</w:t>
            </w:r>
            <w:r>
              <w:rPr>
                <w:rFonts w:ascii="Arial" w:cs="Arial" w:eastAsia="Arial" w:hAnsi="Arial"/>
                <w:sz w:val="20"/>
                <w:szCs w:val="20"/>
                <w:b w:val="1"/>
                <w:bCs w:val="1"/>
                <w:color w:val="auto"/>
                <w:w w:val="86"/>
                <w:vertAlign w:val="superscript"/>
              </w:rPr>
              <w:t>(1)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3"/>
              </w:rPr>
              <w:t>director/officer</w:t>
            </w:r>
          </w:p>
        </w:tc>
      </w:tr>
      <w:tr>
        <w:trPr>
          <w:trHeight w:val="142"/>
        </w:trPr>
        <w:tc>
          <w:tcPr>
            <w:tcW w:w="2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Independent directors</w:t>
            </w: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33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Adam K. Bernstein</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56,250</w:t>
            </w:r>
          </w:p>
        </w:tc>
        <w:tc>
          <w:tcPr>
            <w:tcW w:w="15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56,250</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102,500</w:t>
            </w:r>
          </w:p>
        </w:tc>
        <w:tc>
          <w:tcPr>
            <w:tcW w:w="15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102,500</w:t>
            </w:r>
          </w:p>
        </w:tc>
        <w:tc>
          <w:tcPr>
            <w:tcW w:w="60" w:type="dxa"/>
            <w:vAlign w:val="bottom"/>
          </w:tcPr>
          <w:p>
            <w:pPr>
              <w:spacing w:after="0"/>
              <w:rPr>
                <w:sz w:val="12"/>
                <w:szCs w:val="12"/>
                <w:color w:val="auto"/>
              </w:rPr>
            </w:pPr>
          </w:p>
        </w:tc>
      </w:tr>
      <w:tr>
        <w:trPr>
          <w:trHeight w:val="149"/>
        </w:trPr>
        <w:tc>
          <w:tcPr>
            <w:tcW w:w="33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Marshall Brozost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56,250</w:t>
            </w:r>
          </w:p>
        </w:tc>
        <w:tc>
          <w:tcPr>
            <w:tcW w:w="15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56,250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102,500</w:t>
            </w:r>
          </w:p>
        </w:tc>
        <w:tc>
          <w:tcPr>
            <w:tcW w:w="15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102,500</w:t>
            </w:r>
          </w:p>
        </w:tc>
        <w:tc>
          <w:tcPr>
            <w:tcW w:w="60" w:type="dxa"/>
            <w:vAlign w:val="bottom"/>
            <w:shd w:val="clear" w:color="auto" w:fill="CCEEFF"/>
          </w:tcPr>
          <w:p>
            <w:pPr>
              <w:spacing w:after="0"/>
              <w:rPr>
                <w:sz w:val="12"/>
                <w:szCs w:val="12"/>
                <w:color w:val="auto"/>
              </w:rPr>
            </w:pPr>
          </w:p>
        </w:tc>
      </w:tr>
      <w:tr>
        <w:trPr>
          <w:trHeight w:val="149"/>
        </w:trPr>
        <w:tc>
          <w:tcPr>
            <w:tcW w:w="33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Jeffrey Flug</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58,750</w:t>
            </w:r>
          </w:p>
        </w:tc>
        <w:tc>
          <w:tcPr>
            <w:tcW w:w="15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58,750</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112,500</w:t>
            </w:r>
          </w:p>
        </w:tc>
        <w:tc>
          <w:tcPr>
            <w:tcW w:w="15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112,500</w:t>
            </w:r>
          </w:p>
        </w:tc>
        <w:tc>
          <w:tcPr>
            <w:tcW w:w="60" w:type="dxa"/>
            <w:vAlign w:val="bottom"/>
          </w:tcPr>
          <w:p>
            <w:pPr>
              <w:spacing w:after="0"/>
              <w:rPr>
                <w:sz w:val="12"/>
                <w:szCs w:val="12"/>
                <w:color w:val="auto"/>
              </w:rPr>
            </w:pPr>
          </w:p>
        </w:tc>
      </w:tr>
      <w:tr>
        <w:trPr>
          <w:trHeight w:val="149"/>
        </w:trPr>
        <w:tc>
          <w:tcPr>
            <w:tcW w:w="33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Samuel L. Katz</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58,750</w:t>
            </w:r>
          </w:p>
        </w:tc>
        <w:tc>
          <w:tcPr>
            <w:tcW w:w="15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58,750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112,500</w:t>
            </w:r>
          </w:p>
        </w:tc>
        <w:tc>
          <w:tcPr>
            <w:tcW w:w="15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112,500</w:t>
            </w:r>
          </w:p>
        </w:tc>
        <w:tc>
          <w:tcPr>
            <w:tcW w:w="60" w:type="dxa"/>
            <w:vAlign w:val="bottom"/>
            <w:shd w:val="clear" w:color="auto" w:fill="CCEEFF"/>
          </w:tcPr>
          <w:p>
            <w:pPr>
              <w:spacing w:after="0"/>
              <w:rPr>
                <w:sz w:val="12"/>
                <w:szCs w:val="12"/>
                <w:color w:val="auto"/>
              </w:rPr>
            </w:pP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Interested director</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3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Arthur H. Penn</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5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5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None</w:t>
            </w: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Executive officer</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3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1"/>
                <w:szCs w:val="11"/>
                <w:color w:val="auto"/>
              </w:rPr>
              <w:t>Aviv Efrat</w:t>
            </w:r>
            <w:r>
              <w:rPr>
                <w:rFonts w:ascii="Arial" w:cs="Arial" w:eastAsia="Arial" w:hAnsi="Arial"/>
                <w:sz w:val="17"/>
                <w:szCs w:val="17"/>
                <w:color w:val="auto"/>
                <w:vertAlign w:val="superscript"/>
              </w:rPr>
              <w:t>(2)</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5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5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7527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17"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do not have a profit sharing or retirement plan, and directors do not receive any pension or retirement benefits from us.</w:t>
      </w:r>
    </w:p>
    <w:p>
      <w:pPr>
        <w:ind w:left="460" w:hanging="452"/>
        <w:spacing w:after="0"/>
        <w:tabs>
          <w:tab w:leader="none" w:pos="4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Mr. Efrat is an employee of the Administrator.</w:t>
      </w:r>
    </w:p>
    <w:p>
      <w:pPr>
        <w:spacing w:after="0" w:line="138" w:lineRule="exact"/>
        <w:rPr>
          <w:sz w:val="20"/>
          <w:szCs w:val="20"/>
          <w:color w:val="auto"/>
        </w:rPr>
      </w:pPr>
    </w:p>
    <w:p>
      <w:pPr>
        <w:ind w:right="120" w:firstLine="342"/>
        <w:spacing w:after="0" w:line="270" w:lineRule="auto"/>
        <w:rPr>
          <w:sz w:val="20"/>
          <w:szCs w:val="20"/>
          <w:color w:val="auto"/>
        </w:rPr>
      </w:pPr>
      <w:r>
        <w:rPr>
          <w:rFonts w:ascii="Arial" w:cs="Arial" w:eastAsia="Arial" w:hAnsi="Arial"/>
          <w:sz w:val="12"/>
          <w:szCs w:val="12"/>
          <w:color w:val="auto"/>
        </w:rPr>
        <w:t>Each Independent Director receives an annual payment of $50,000 for services performed on behalf of us as a director. The Independent Directors also receive $1,250 plus reimbursement of reasonable out-of-pocket expenses incurred in connection with attending each board of directors meeting and receive $500 plus reimbursement of reasonable out-of-pocket expenses incurred in connection with attending each committee meeting (unless combined with a board of directors meeting). In addition, each Co-Chairman of the Audit Committee receives an annual fee of $3,750 and each Co-Chairman of any other committee receives an annual fee of $1,250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paid to directors who are “interested persons” (as defined in the 1940 Act).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Portfolio Managers, or Senior Investment Professionals, Biographical Information.</w:t>
      </w:r>
    </w:p>
    <w:p>
      <w:pPr>
        <w:spacing w:after="0" w:line="69"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Our Investment Adviser has three experienced senior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22" w:lineRule="exact"/>
        <w:rPr>
          <w:sz w:val="20"/>
          <w:szCs w:val="20"/>
          <w:color w:val="auto"/>
        </w:rPr>
      </w:pPr>
    </w:p>
    <w:p>
      <w:pPr>
        <w:jc w:val="both"/>
        <w:ind w:right="120" w:firstLine="456"/>
        <w:spacing w:after="0" w:line="288" w:lineRule="auto"/>
        <w:rPr>
          <w:sz w:val="20"/>
          <w:szCs w:val="20"/>
          <w:color w:val="auto"/>
        </w:rPr>
      </w:pPr>
      <w:r>
        <w:rPr>
          <w:rFonts w:ascii="Arial" w:cs="Arial" w:eastAsia="Arial" w:hAnsi="Arial"/>
          <w:sz w:val="12"/>
          <w:szCs w:val="12"/>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1"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39" w:lineRule="exact"/>
        <w:rPr>
          <w:sz w:val="20"/>
          <w:szCs w:val="20"/>
          <w:color w:val="auto"/>
        </w:rPr>
      </w:pPr>
    </w:p>
    <w:p>
      <w:pPr>
        <w:jc w:val="both"/>
        <w:ind w:right="160" w:firstLine="456"/>
        <w:spacing w:after="0" w:line="233" w:lineRule="auto"/>
        <w:rPr>
          <w:sz w:val="20"/>
          <w:szCs w:val="20"/>
          <w:color w:val="auto"/>
        </w:rPr>
      </w:pPr>
      <w:r>
        <w:rPr>
          <w:rFonts w:ascii="Arial" w:cs="Arial" w:eastAsia="Arial" w:hAnsi="Arial"/>
          <w:sz w:val="14"/>
          <w:szCs w:val="14"/>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ectPr>
          <w:pgSz w:w="11900" w:h="16838" w:orient="portrait"/>
          <w:cols w:equalWidth="0" w:num="1">
            <w:col w:w="11420"/>
          </w:cols>
          <w:pgMar w:left="240" w:top="459" w:right="239" w:bottom="1440" w:gutter="0" w:footer="0" w:header="0"/>
        </w:sectPr>
      </w:pP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to managing our investments, as of June 30, 2013 our portfolio managers also managed investments on behalf of the following entities: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2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Entity</w:t>
            </w:r>
          </w:p>
        </w:tc>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Investment Focus</w:t>
            </w:r>
          </w:p>
        </w:tc>
        <w:tc>
          <w:tcPr>
            <w:tcW w:w="0" w:type="dxa"/>
            <w:vAlign w:val="bottom"/>
          </w:tcPr>
          <w:p>
            <w:pPr>
              <w:spacing w:after="0"/>
              <w:rPr>
                <w:sz w:val="1"/>
                <w:szCs w:val="1"/>
                <w:color w:val="auto"/>
              </w:rPr>
            </w:pPr>
          </w:p>
        </w:tc>
      </w:tr>
      <w:tr>
        <w:trPr>
          <w:trHeight w:val="28"/>
        </w:trPr>
        <w:tc>
          <w:tcPr>
            <w:tcW w:w="31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120" w:type="dxa"/>
            <w:vAlign w:val="bottom"/>
          </w:tcPr>
          <w:p>
            <w:pPr>
              <w:ind w:left="40"/>
              <w:spacing w:after="0" w:line="131" w:lineRule="exact"/>
              <w:rPr>
                <w:sz w:val="20"/>
                <w:szCs w:val="20"/>
                <w:color w:val="auto"/>
              </w:rPr>
            </w:pPr>
            <w:r>
              <w:rPr>
                <w:rFonts w:ascii="Arial" w:cs="Arial" w:eastAsia="Arial" w:hAnsi="Arial"/>
                <w:sz w:val="10"/>
                <w:szCs w:val="10"/>
                <w:color w:val="auto"/>
              </w:rPr>
              <w:t>PennantPark Investment Corporation</w:t>
            </w:r>
            <w:r>
              <w:rPr>
                <w:rFonts w:ascii="Arial" w:cs="Arial" w:eastAsia="Arial" w:hAnsi="Arial"/>
                <w:sz w:val="15"/>
                <w:szCs w:val="15"/>
                <w:color w:val="auto"/>
                <w:vertAlign w:val="superscript"/>
              </w:rPr>
              <w:t>(1)</w:t>
            </w:r>
          </w:p>
        </w:tc>
        <w:tc>
          <w:tcPr>
            <w:tcW w:w="100" w:type="dxa"/>
            <w:vAlign w:val="bottom"/>
            <w:vMerge w:val="continue"/>
          </w:tcPr>
          <w:p>
            <w:pPr>
              <w:spacing w:after="0"/>
              <w:rPr>
                <w:sz w:val="11"/>
                <w:szCs w:val="11"/>
                <w:color w:val="auto"/>
              </w:rPr>
            </w:pPr>
          </w:p>
        </w:tc>
        <w:tc>
          <w:tcPr>
            <w:tcW w:w="1260" w:type="dxa"/>
            <w:vAlign w:val="bottom"/>
          </w:tcPr>
          <w:p>
            <w:pPr>
              <w:ind w:left="40"/>
              <w:spacing w:after="0" w:line="131" w:lineRule="exact"/>
              <w:rPr>
                <w:sz w:val="20"/>
                <w:szCs w:val="20"/>
                <w:color w:val="auto"/>
              </w:rPr>
            </w:pPr>
            <w:r>
              <w:rPr>
                <w:rFonts w:ascii="Arial" w:cs="Arial" w:eastAsia="Arial" w:hAnsi="Arial"/>
                <w:sz w:val="14"/>
                <w:szCs w:val="14"/>
                <w:color w:val="auto"/>
                <w:w w:val="85"/>
              </w:rPr>
              <w:t>Business development</w:t>
            </w:r>
          </w:p>
        </w:tc>
        <w:tc>
          <w:tcPr>
            <w:tcW w:w="100" w:type="dxa"/>
            <w:vAlign w:val="bottom"/>
          </w:tcPr>
          <w:p>
            <w:pPr>
              <w:spacing w:after="0"/>
              <w:rPr>
                <w:sz w:val="11"/>
                <w:szCs w:val="11"/>
                <w:color w:val="auto"/>
              </w:rPr>
            </w:pPr>
          </w:p>
        </w:tc>
        <w:tc>
          <w:tcPr>
            <w:tcW w:w="5820" w:type="dxa"/>
            <w:vAlign w:val="bottom"/>
          </w:tcPr>
          <w:p>
            <w:pPr>
              <w:ind w:left="40"/>
              <w:spacing w:after="0" w:line="131" w:lineRule="exact"/>
              <w:rPr>
                <w:sz w:val="20"/>
                <w:szCs w:val="20"/>
                <w:color w:val="auto"/>
              </w:rPr>
            </w:pPr>
            <w:r>
              <w:rPr>
                <w:rFonts w:ascii="Arial" w:cs="Arial" w:eastAsia="Arial" w:hAnsi="Arial"/>
                <w:sz w:val="14"/>
                <w:szCs w:val="14"/>
                <w:color w:val="auto"/>
                <w:w w:val="93"/>
              </w:rPr>
              <w:t>Primarily in U.S. middle-market companies in the form of senior secured loans, mezzanine debt and</w:t>
            </w:r>
          </w:p>
        </w:tc>
        <w:tc>
          <w:tcPr>
            <w:tcW w:w="0" w:type="dxa"/>
            <w:vAlign w:val="bottom"/>
          </w:tcPr>
          <w:p>
            <w:pPr>
              <w:spacing w:after="0"/>
              <w:rPr>
                <w:sz w:val="1"/>
                <w:szCs w:val="1"/>
                <w:color w:val="auto"/>
              </w:rPr>
            </w:pPr>
          </w:p>
        </w:tc>
      </w:tr>
      <w:tr>
        <w:trPr>
          <w:trHeight w:val="149"/>
        </w:trPr>
        <w:tc>
          <w:tcPr>
            <w:tcW w:w="3220" w:type="dxa"/>
            <w:vAlign w:val="bottom"/>
            <w:gridSpan w:val="2"/>
            <w:vMerge w:val="restart"/>
          </w:tcPr>
          <w:p>
            <w:pPr>
              <w:ind w:left="40"/>
              <w:spacing w:after="0"/>
              <w:rPr>
                <w:sz w:val="20"/>
                <w:szCs w:val="20"/>
                <w:color w:val="auto"/>
              </w:rPr>
            </w:pPr>
            <w:r>
              <w:rPr>
                <w:rFonts w:ascii="Arial" w:cs="Arial" w:eastAsia="Arial" w:hAnsi="Arial"/>
                <w:sz w:val="14"/>
                <w:szCs w:val="14"/>
                <w:color w:val="auto"/>
              </w:rPr>
              <w:t>Other Managed Fund</w:t>
            </w:r>
            <w:r>
              <w:rPr>
                <w:rFonts w:ascii="Arial" w:cs="Arial" w:eastAsia="Arial" w:hAnsi="Arial"/>
                <w:sz w:val="22"/>
                <w:szCs w:val="22"/>
                <w:color w:val="auto"/>
                <w:vertAlign w:val="superscript"/>
              </w:rPr>
              <w:t>(1)</w:t>
            </w: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company</w:t>
            </w: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0" w:type="dxa"/>
            <w:vAlign w:val="bottom"/>
          </w:tcPr>
          <w:p>
            <w:pPr>
              <w:spacing w:after="0"/>
              <w:rPr>
                <w:sz w:val="1"/>
                <w:szCs w:val="1"/>
                <w:color w:val="auto"/>
              </w:rPr>
            </w:pPr>
          </w:p>
        </w:tc>
      </w:tr>
      <w:tr>
        <w:trPr>
          <w:trHeight w:val="161"/>
        </w:trPr>
        <w:tc>
          <w:tcPr>
            <w:tcW w:w="3220" w:type="dxa"/>
            <w:vAlign w:val="bottom"/>
            <w:gridSpan w:val="2"/>
            <w:vMerge w:val="continue"/>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Private Investment</w:t>
            </w:r>
          </w:p>
        </w:tc>
        <w:tc>
          <w:tcPr>
            <w:tcW w:w="5820" w:type="dxa"/>
            <w:vAlign w:val="bottom"/>
          </w:tcPr>
          <w:p>
            <w:pPr>
              <w:ind w:left="40"/>
              <w:spacing w:after="0"/>
              <w:rPr>
                <w:sz w:val="20"/>
                <w:szCs w:val="20"/>
                <w:color w:val="auto"/>
              </w:rPr>
            </w:pPr>
            <w:r>
              <w:rPr>
                <w:rFonts w:ascii="Arial" w:cs="Arial" w:eastAsia="Arial" w:hAnsi="Arial"/>
                <w:sz w:val="14"/>
                <w:szCs w:val="14"/>
                <w:color w:val="auto"/>
              </w:rPr>
              <w:t>Other credit opportunities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1974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ind w:left="3260"/>
        <w:spacing w:after="0"/>
        <w:rPr>
          <w:sz w:val="20"/>
          <w:szCs w:val="20"/>
          <w:color w:val="auto"/>
        </w:rPr>
      </w:pPr>
      <w:r>
        <w:rPr>
          <w:rFonts w:ascii="Arial" w:cs="Arial" w:eastAsia="Arial" w:hAnsi="Arial"/>
          <w:sz w:val="14"/>
          <w:szCs w:val="14"/>
          <w:color w:val="auto"/>
        </w:rPr>
        <w:t>Fund</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(1) The management and incentive fees are based on gross assets and performance, respectively.</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jc w:val="both"/>
        <w:ind w:right="80" w:firstLine="37"/>
        <w:spacing w:after="0" w:line="306" w:lineRule="auto"/>
        <w:rPr>
          <w:sz w:val="20"/>
          <w:szCs w:val="20"/>
          <w:color w:val="auto"/>
        </w:rPr>
      </w:pPr>
      <w:r>
        <w:rPr>
          <w:rFonts w:ascii="Arial" w:cs="Arial" w:eastAsia="Arial" w:hAnsi="Arial"/>
          <w:sz w:val="11"/>
          <w:szCs w:val="11"/>
          <w:b w:val="1"/>
          <w:bCs w:val="1"/>
          <w:color w:val="auto"/>
        </w:rPr>
        <w:t>Gross Assets ($ in millions)</w:t>
      </w:r>
    </w:p>
    <w:p>
      <w:pPr>
        <w:jc w:val="right"/>
        <w:ind w:right="60"/>
        <w:spacing w:after="0"/>
        <w:rPr>
          <w:sz w:val="20"/>
          <w:szCs w:val="20"/>
          <w:color w:val="auto"/>
        </w:rPr>
      </w:pPr>
      <w:r>
        <w:rPr>
          <w:rFonts w:ascii="Arial" w:cs="Arial" w:eastAsia="Arial" w:hAnsi="Arial"/>
          <w:sz w:val="14"/>
          <w:szCs w:val="14"/>
          <w:color w:val="auto"/>
        </w:rPr>
        <w:t>$1,102</w:t>
      </w:r>
    </w:p>
    <w:p>
      <w:pPr>
        <w:spacing w:after="0" w:line="126"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33</w:t>
      </w:r>
    </w:p>
    <w:p>
      <w:pPr>
        <w:sectPr>
          <w:pgSz w:w="11900" w:h="16838" w:orient="portrait"/>
          <w:cols w:equalWidth="0" w:num="2">
            <w:col w:w="10400" w:space="160"/>
            <w:col w:w="860"/>
          </w:cols>
          <w:pgMar w:left="240" w:top="459"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CONTROL PERSONS AND PRINCIPAL STOCKHOLDERS</w:t>
      </w:r>
    </w:p>
    <w:p>
      <w:pPr>
        <w:spacing w:after="0" w:line="152" w:lineRule="exact"/>
        <w:rPr>
          <w:sz w:val="20"/>
          <w:szCs w:val="20"/>
          <w:color w:val="auto"/>
        </w:rPr>
      </w:pPr>
    </w:p>
    <w:p>
      <w:pPr>
        <w:ind w:right="360" w:firstLine="456"/>
        <w:spacing w:after="0" w:line="239" w:lineRule="auto"/>
        <w:rPr>
          <w:sz w:val="20"/>
          <w:szCs w:val="20"/>
          <w:color w:val="auto"/>
        </w:rPr>
      </w:pPr>
      <w:r>
        <w:rPr>
          <w:rFonts w:ascii="Arial" w:cs="Arial" w:eastAsia="Arial" w:hAnsi="Arial"/>
          <w:sz w:val="14"/>
          <w:szCs w:val="14"/>
          <w:color w:val="auto"/>
        </w:rPr>
        <w:t>The following table sets forth, as of September 13, 2013,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right"/>
              <w:ind w:right="472"/>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20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22"/>
                <w:szCs w:val="22"/>
                <w:b w:val="1"/>
                <w:bCs w:val="1"/>
                <w:color w:val="auto"/>
                <w:vertAlign w:val="superscript"/>
              </w:rPr>
              <w:t>(2)</w:t>
            </w:r>
          </w:p>
        </w:tc>
        <w:tc>
          <w:tcPr>
            <w:tcW w:w="1940" w:type="dxa"/>
            <w:vAlign w:val="bottom"/>
            <w:gridSpan w:val="2"/>
          </w:tcPr>
          <w:p>
            <w:pPr>
              <w:ind w:left="700"/>
              <w:spacing w:after="0" w:line="149" w:lineRule="exact"/>
              <w:rPr>
                <w:sz w:val="20"/>
                <w:szCs w:val="20"/>
                <w:color w:val="auto"/>
              </w:rPr>
            </w:pPr>
            <w:r>
              <w:rPr>
                <w:rFonts w:ascii="Arial" w:cs="Arial" w:eastAsia="Arial" w:hAnsi="Arial"/>
                <w:sz w:val="14"/>
                <w:szCs w:val="14"/>
                <w:b w:val="1"/>
                <w:bCs w:val="1"/>
                <w:color w:val="auto"/>
              </w:rPr>
              <w:t>Shares</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202"/>
        </w:trPr>
        <w:tc>
          <w:tcPr>
            <w:tcW w:w="5620" w:type="dxa"/>
            <w:vAlign w:val="bottom"/>
            <w:gridSpan w:val="2"/>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1940" w:type="dxa"/>
            <w:vAlign w:val="bottom"/>
            <w:gridSpan w:val="2"/>
          </w:tcPr>
          <w:p>
            <w:pPr>
              <w:ind w:left="720"/>
              <w:spacing w:after="0"/>
              <w:rPr>
                <w:sz w:val="20"/>
                <w:szCs w:val="20"/>
                <w:color w:val="auto"/>
              </w:rPr>
            </w:pPr>
            <w:r>
              <w:rPr>
                <w:rFonts w:ascii="Arial" w:cs="Arial" w:eastAsia="Arial" w:hAnsi="Arial"/>
                <w:sz w:val="14"/>
                <w:szCs w:val="14"/>
                <w:b w:val="1"/>
                <w:bCs w:val="1"/>
                <w:color w:val="auto"/>
              </w:rPr>
              <w:t>owned</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83"/>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Independent Directors</w:t>
            </w:r>
          </w:p>
        </w:tc>
        <w:tc>
          <w:tcPr>
            <w:tcW w:w="120" w:type="dxa"/>
            <w:vAlign w:val="bottom"/>
            <w:tcBorders>
              <w:top w:val="single" w:sz="8" w:color="CCEEFF"/>
            </w:tcBorders>
            <w:shd w:val="clear" w:color="auto" w:fill="CCEEFF"/>
          </w:tcPr>
          <w:p>
            <w:pPr>
              <w:spacing w:after="0"/>
              <w:rPr>
                <w:sz w:val="15"/>
                <w:szCs w:val="15"/>
                <w:color w:val="auto"/>
              </w:rPr>
            </w:pPr>
          </w:p>
        </w:tc>
        <w:tc>
          <w:tcPr>
            <w:tcW w:w="1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620" w:type="dxa"/>
            <w:vAlign w:val="bottom"/>
            <w:gridSpan w:val="2"/>
          </w:tcPr>
          <w:p>
            <w:pPr>
              <w:ind w:left="440"/>
              <w:spacing w:after="0"/>
              <w:rPr>
                <w:sz w:val="20"/>
                <w:szCs w:val="20"/>
                <w:color w:val="auto"/>
              </w:rPr>
            </w:pPr>
            <w:r>
              <w:rPr>
                <w:rFonts w:ascii="Arial" w:cs="Arial" w:eastAsia="Arial" w:hAnsi="Arial"/>
                <w:sz w:val="14"/>
                <w:szCs w:val="14"/>
                <w:color w:val="auto"/>
              </w:rPr>
              <w:t>Adam K. Bernstein</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tcPr>
          <w:p>
            <w:pPr>
              <w:jc w:val="right"/>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Marshall Brozost</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620" w:type="dxa"/>
            <w:vAlign w:val="bottom"/>
            <w:gridSpan w:val="2"/>
          </w:tcPr>
          <w:p>
            <w:pPr>
              <w:ind w:left="440"/>
              <w:spacing w:after="0"/>
              <w:rPr>
                <w:sz w:val="20"/>
                <w:szCs w:val="20"/>
                <w:color w:val="auto"/>
              </w:rPr>
            </w:pPr>
            <w:r>
              <w:rPr>
                <w:rFonts w:ascii="Arial" w:cs="Arial" w:eastAsia="Arial" w:hAnsi="Arial"/>
                <w:sz w:val="14"/>
                <w:szCs w:val="14"/>
                <w:color w:val="auto"/>
              </w:rPr>
              <w:t>Jeffrey Flug</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Samuel L. Katz</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59,500</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Interested director</w:t>
            </w: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20" w:type="dxa"/>
            <w:vAlign w:val="bottom"/>
            <w:gridSpan w:val="2"/>
            <w:shd w:val="clear" w:color="auto" w:fill="CCEEFF"/>
          </w:tcPr>
          <w:p>
            <w:pPr>
              <w:ind w:left="440"/>
              <w:spacing w:after="0" w:line="197" w:lineRule="exact"/>
              <w:rPr>
                <w:sz w:val="20"/>
                <w:szCs w:val="20"/>
                <w:color w:val="auto"/>
              </w:rPr>
            </w:pPr>
            <w:r>
              <w:rPr>
                <w:rFonts w:ascii="Arial" w:cs="Arial" w:eastAsia="Arial" w:hAnsi="Arial"/>
                <w:sz w:val="14"/>
                <w:szCs w:val="14"/>
                <w:color w:val="auto"/>
              </w:rPr>
              <w:t>Arthur H. Penn</w:t>
            </w:r>
            <w:r>
              <w:rPr>
                <w:rFonts w:ascii="Arial" w:cs="Arial" w:eastAsia="Arial" w:hAnsi="Arial"/>
                <w:sz w:val="22"/>
                <w:szCs w:val="22"/>
                <w:color w:val="auto"/>
                <w:vertAlign w:val="superscript"/>
              </w:rPr>
              <w:t>(3)</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149,209</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2"/>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w:t>
            </w: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Aviv Efrat</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13,750</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620" w:type="dxa"/>
            <w:vAlign w:val="bottom"/>
            <w:gridSpan w:val="2"/>
          </w:tcPr>
          <w:p>
            <w:pPr>
              <w:spacing w:after="0"/>
              <w:rPr>
                <w:sz w:val="20"/>
                <w:szCs w:val="20"/>
                <w:color w:val="auto"/>
              </w:rPr>
            </w:pPr>
            <w:r>
              <w:rPr>
                <w:rFonts w:ascii="Arial" w:cs="Arial" w:eastAsia="Arial" w:hAnsi="Arial"/>
                <w:sz w:val="14"/>
                <w:szCs w:val="14"/>
                <w:color w:val="auto"/>
              </w:rPr>
              <w:t>All directors and executive officer as a group (6 persons)</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tcPr>
          <w:p>
            <w:pPr>
              <w:jc w:val="right"/>
              <w:spacing w:after="0"/>
              <w:rPr>
                <w:sz w:val="20"/>
                <w:szCs w:val="20"/>
                <w:color w:val="auto"/>
              </w:rPr>
            </w:pPr>
            <w:r>
              <w:rPr>
                <w:rFonts w:ascii="Arial" w:cs="Arial" w:eastAsia="Arial" w:hAnsi="Arial"/>
                <w:sz w:val="14"/>
                <w:szCs w:val="14"/>
                <w:color w:val="auto"/>
              </w:rPr>
              <w:t>227,459</w:t>
            </w:r>
          </w:p>
        </w:tc>
        <w:tc>
          <w:tcPr>
            <w:tcW w:w="1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5176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0"/>
          <w:szCs w:val="20"/>
          <w:color w:val="auto"/>
        </w:rPr>
      </w:pPr>
    </w:p>
    <w:p>
      <w:pPr>
        <w:ind w:left="420" w:hanging="412"/>
        <w:spacing w:after="0"/>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address for each officer and director is c/o PennantPark Floating Rate Capital Ltd., 590 Madison Avenue, 15th Floor, New York, New York 10022.</w:t>
      </w:r>
    </w:p>
    <w:p>
      <w:pPr>
        <w:ind w:left="420" w:hanging="412"/>
        <w:spacing w:after="0" w:line="221" w:lineRule="auto"/>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Sole Voting Power.</w:t>
      </w:r>
    </w:p>
    <w:p>
      <w:pPr>
        <w:ind w:left="420" w:hanging="4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Mr. Penn is the Managing Member of PennantPark Investment Advisers, LLC and may therefore be deemed to own beneficially the 149,209 shares held by PennantPark Investment Advisers, LLC.</w:t>
      </w:r>
    </w:p>
    <w:p>
      <w:pPr>
        <w:spacing w:after="0" w:line="66"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Less than 1 percent.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Dollar Range of Securities Beneficially Owned by Directors, Officers and Senior Investment Professionals</w:t>
      </w:r>
    </w:p>
    <w:p>
      <w:pPr>
        <w:spacing w:after="0" w:line="150" w:lineRule="exact"/>
        <w:rPr>
          <w:sz w:val="20"/>
          <w:szCs w:val="20"/>
          <w:color w:val="auto"/>
        </w:rPr>
      </w:pPr>
    </w:p>
    <w:p>
      <w:pPr>
        <w:ind w:right="360" w:firstLine="443"/>
        <w:spacing w:after="0" w:line="318" w:lineRule="auto"/>
        <w:rPr>
          <w:sz w:val="20"/>
          <w:szCs w:val="20"/>
          <w:color w:val="auto"/>
        </w:rPr>
      </w:pPr>
      <w:r>
        <w:rPr>
          <w:rFonts w:ascii="Arial" w:cs="Arial" w:eastAsia="Arial" w:hAnsi="Arial"/>
          <w:sz w:val="12"/>
          <w:szCs w:val="12"/>
          <w:color w:val="auto"/>
        </w:rPr>
        <w:t>The following table sets forth the dollar range of our common stock beneficially owned by each of our directors, officers and senior investment professionals as of September 13, 2013. Information as to the beneficial ownerships is based on information furnished to us by such persons. We are not part of a “family of investment companies,” as that term is defined in the 1940 Act.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640" w:type="dxa"/>
            <w:vAlign w:val="bottom"/>
            <w:gridSpan w:val="3"/>
          </w:tcPr>
          <w:p>
            <w:pPr>
              <w:spacing w:after="0"/>
              <w:rPr>
                <w:sz w:val="20"/>
                <w:szCs w:val="20"/>
                <w:color w:val="auto"/>
              </w:rPr>
            </w:pPr>
            <w:r>
              <w:rPr>
                <w:rFonts w:ascii="Arial" w:cs="Arial" w:eastAsia="Arial" w:hAnsi="Arial"/>
                <w:sz w:val="14"/>
                <w:szCs w:val="14"/>
                <w:b w:val="1"/>
                <w:bCs w:val="1"/>
                <w:color w:val="auto"/>
              </w:rPr>
              <w:t>Directors</w:t>
            </w:r>
          </w:p>
        </w:tc>
        <w:tc>
          <w:tcPr>
            <w:tcW w:w="5780" w:type="dxa"/>
            <w:vAlign w:val="bottom"/>
            <w:gridSpan w:val="5"/>
          </w:tcPr>
          <w:p>
            <w:pPr>
              <w:ind w:left="1280"/>
              <w:spacing w:after="0"/>
              <w:rPr>
                <w:sz w:val="20"/>
                <w:szCs w:val="20"/>
                <w:color w:val="auto"/>
              </w:rPr>
            </w:pPr>
            <w:r>
              <w:rPr>
                <w:rFonts w:ascii="Arial" w:cs="Arial" w:eastAsia="Arial" w:hAnsi="Arial"/>
                <w:sz w:val="14"/>
                <w:szCs w:val="14"/>
                <w:b w:val="1"/>
                <w:bCs w:val="1"/>
                <w:color w:val="auto"/>
              </w:rPr>
              <w:t>Dollar Range of the Common Stock of each Company</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080" w:type="dxa"/>
            <w:vAlign w:val="bottom"/>
          </w:tcPr>
          <w:p>
            <w:pPr>
              <w:spacing w:after="0"/>
              <w:rPr>
                <w:sz w:val="11"/>
                <w:szCs w:val="11"/>
                <w:color w:val="auto"/>
              </w:rPr>
            </w:pPr>
          </w:p>
        </w:tc>
        <w:tc>
          <w:tcPr>
            <w:tcW w:w="1800" w:type="dxa"/>
            <w:vAlign w:val="bottom"/>
            <w:tcBorders>
              <w:top w:val="single" w:sz="8" w:color="auto"/>
            </w:tcBorders>
            <w:gridSpan w:val="2"/>
          </w:tcPr>
          <w:p>
            <w:pPr>
              <w:jc w:val="center"/>
              <w:ind w:right="520"/>
              <w:spacing w:after="0" w:line="136" w:lineRule="exact"/>
              <w:rPr>
                <w:sz w:val="20"/>
                <w:szCs w:val="20"/>
                <w:color w:val="auto"/>
              </w:rPr>
            </w:pPr>
            <w:r>
              <w:rPr>
                <w:rFonts w:ascii="Arial" w:cs="Arial" w:eastAsia="Arial" w:hAnsi="Arial"/>
                <w:sz w:val="14"/>
                <w:szCs w:val="14"/>
                <w:b w:val="1"/>
                <w:bCs w:val="1"/>
                <w:color w:val="auto"/>
                <w:w w:val="88"/>
              </w:rPr>
              <w:t>PennantPark Floating</w:t>
            </w:r>
          </w:p>
        </w:tc>
        <w:tc>
          <w:tcPr>
            <w:tcW w:w="1980" w:type="dxa"/>
            <w:vAlign w:val="bottom"/>
            <w:tcBorders>
              <w:top w:val="single" w:sz="8" w:color="auto"/>
            </w:tcBorders>
            <w:gridSpan w:val="2"/>
          </w:tcPr>
          <w:p>
            <w:pPr>
              <w:jc w:val="center"/>
              <w:ind w:right="520"/>
              <w:spacing w:after="0" w:line="136" w:lineRule="exact"/>
              <w:rPr>
                <w:sz w:val="20"/>
                <w:szCs w:val="20"/>
                <w:color w:val="auto"/>
              </w:rPr>
            </w:pPr>
            <w:r>
              <w:rPr>
                <w:rFonts w:ascii="Arial" w:cs="Arial" w:eastAsia="Arial" w:hAnsi="Arial"/>
                <w:sz w:val="14"/>
                <w:szCs w:val="14"/>
                <w:b w:val="1"/>
                <w:bCs w:val="1"/>
                <w:color w:val="auto"/>
                <w:w w:val="89"/>
              </w:rPr>
              <w:t>PennantPark Investment</w:t>
            </w:r>
          </w:p>
        </w:tc>
        <w:tc>
          <w:tcPr>
            <w:tcW w:w="2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1"/>
        </w:trPr>
        <w:tc>
          <w:tcPr>
            <w:tcW w:w="5640" w:type="dxa"/>
            <w:vAlign w:val="bottom"/>
            <w:gridSpan w:val="3"/>
          </w:tcPr>
          <w:p>
            <w:pPr>
              <w:spacing w:after="0"/>
              <w:rPr>
                <w:sz w:val="20"/>
                <w:szCs w:val="20"/>
                <w:color w:val="auto"/>
              </w:rPr>
            </w:pPr>
            <w:r>
              <w:rPr>
                <w:rFonts w:ascii="Arial" w:cs="Arial" w:eastAsia="Arial" w:hAnsi="Arial"/>
                <w:sz w:val="14"/>
                <w:szCs w:val="14"/>
                <w:b w:val="1"/>
                <w:bCs w:val="1"/>
                <w:color w:val="auto"/>
              </w:rPr>
              <w:t>Independent Directors</w:t>
            </w:r>
          </w:p>
        </w:tc>
        <w:tc>
          <w:tcPr>
            <w:tcW w:w="18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Rate Capital Ltd.</w:t>
            </w:r>
          </w:p>
        </w:tc>
        <w:tc>
          <w:tcPr>
            <w:tcW w:w="1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Corporation</w:t>
            </w:r>
          </w:p>
        </w:tc>
        <w:tc>
          <w:tcPr>
            <w:tcW w:w="2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Borders>
              <w:top w:val="single" w:sz="8" w:color="CCEEFF"/>
            </w:tcBorders>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Adam K. Bernstein</w:t>
            </w:r>
          </w:p>
        </w:tc>
        <w:tc>
          <w:tcPr>
            <w:tcW w:w="12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6"/>
              </w:rPr>
              <w:t>$ 50,001 - $100,000</w:t>
            </w:r>
          </w:p>
        </w:tc>
        <w:tc>
          <w:tcPr>
            <w:tcW w:w="52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1"/>
                <w:szCs w:val="11"/>
                <w:color w:val="auto"/>
              </w:rPr>
              <w:t>Over $1,000,000</w:t>
            </w:r>
            <w:r>
              <w:rPr>
                <w:rFonts w:ascii="Arial" w:cs="Arial" w:eastAsia="Arial" w:hAnsi="Arial"/>
                <w:sz w:val="16"/>
                <w:szCs w:val="16"/>
                <w:color w:val="auto"/>
                <w:vertAlign w:val="superscript"/>
              </w:rPr>
              <w:t>(2)</w:t>
            </w:r>
          </w:p>
        </w:tc>
        <w:tc>
          <w:tcPr>
            <w:tcW w:w="520" w:type="dxa"/>
            <w:vAlign w:val="bottom"/>
            <w:tcBorders>
              <w:top w:val="single" w:sz="8" w:color="CCEEFF"/>
            </w:tcBorders>
            <w:shd w:val="clear" w:color="auto" w:fill="CCEEFF"/>
          </w:tcPr>
          <w:p>
            <w:pPr>
              <w:spacing w:after="0"/>
              <w:rPr>
                <w:sz w:val="12"/>
                <w:szCs w:val="12"/>
                <w:color w:val="auto"/>
              </w:rPr>
            </w:pPr>
          </w:p>
        </w:tc>
        <w:tc>
          <w:tcPr>
            <w:tcW w:w="20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Over $1,000,000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Marshall Brozost</w:t>
            </w:r>
          </w:p>
        </w:tc>
        <w:tc>
          <w:tcPr>
            <w:tcW w:w="18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3"/>
              </w:rPr>
              <w:t>None</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7"/>
              </w:rPr>
              <w:t>$100,001 - $ 500,000</w:t>
            </w:r>
          </w:p>
        </w:tc>
        <w:tc>
          <w:tcPr>
            <w:tcW w:w="5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87"/>
              </w:rPr>
              <w:t>$100,001 - $ 500,000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Jeffrey Flug</w:t>
            </w:r>
          </w:p>
        </w:tc>
        <w:tc>
          <w:tcPr>
            <w:tcW w:w="1800" w:type="dxa"/>
            <w:vAlign w:val="bottom"/>
            <w:gridSpan w:val="2"/>
            <w:shd w:val="clear" w:color="auto" w:fill="CCEEFF"/>
          </w:tcPr>
          <w:p>
            <w:pPr>
              <w:jc w:val="center"/>
              <w:ind w:right="520"/>
              <w:spacing w:after="0" w:line="149" w:lineRule="exact"/>
              <w:rPr>
                <w:sz w:val="20"/>
                <w:szCs w:val="20"/>
                <w:color w:val="auto"/>
              </w:rPr>
            </w:pPr>
            <w:r>
              <w:rPr>
                <w:rFonts w:ascii="Arial" w:cs="Arial" w:eastAsia="Arial" w:hAnsi="Arial"/>
                <w:sz w:val="14"/>
                <w:szCs w:val="14"/>
                <w:color w:val="auto"/>
                <w:w w:val="83"/>
              </w:rPr>
              <w:t>None</w:t>
            </w:r>
          </w:p>
        </w:tc>
        <w:tc>
          <w:tcPr>
            <w:tcW w:w="1980" w:type="dxa"/>
            <w:vAlign w:val="bottom"/>
            <w:gridSpan w:val="2"/>
            <w:shd w:val="clear" w:color="auto" w:fill="CCEEFF"/>
          </w:tcPr>
          <w:p>
            <w:pPr>
              <w:jc w:val="center"/>
              <w:ind w:right="520"/>
              <w:spacing w:after="0" w:line="149" w:lineRule="exact"/>
              <w:rPr>
                <w:sz w:val="20"/>
                <w:szCs w:val="20"/>
                <w:color w:val="auto"/>
              </w:rPr>
            </w:pPr>
            <w:r>
              <w:rPr>
                <w:rFonts w:ascii="Arial" w:cs="Arial" w:eastAsia="Arial" w:hAnsi="Arial"/>
                <w:sz w:val="14"/>
                <w:szCs w:val="14"/>
                <w:color w:val="auto"/>
                <w:w w:val="86"/>
              </w:rPr>
              <w:t>Over $1,000,000</w:t>
            </w:r>
          </w:p>
        </w:tc>
        <w:tc>
          <w:tcPr>
            <w:tcW w:w="2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Over $1,000,000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20" w:type="dxa"/>
            <w:vAlign w:val="bottom"/>
            <w:gridSpan w:val="2"/>
          </w:tcPr>
          <w:p>
            <w:pPr>
              <w:ind w:left="420"/>
              <w:spacing w:after="0"/>
              <w:rPr>
                <w:sz w:val="20"/>
                <w:szCs w:val="20"/>
                <w:color w:val="auto"/>
              </w:rPr>
            </w:pPr>
            <w:r>
              <w:rPr>
                <w:rFonts w:ascii="Arial" w:cs="Arial" w:eastAsia="Arial" w:hAnsi="Arial"/>
                <w:sz w:val="14"/>
                <w:szCs w:val="14"/>
                <w:color w:val="auto"/>
              </w:rPr>
              <w:t>Samuel L. Katz</w:t>
            </w:r>
          </w:p>
        </w:tc>
        <w:tc>
          <w:tcPr>
            <w:tcW w:w="1280" w:type="dxa"/>
            <w:vAlign w:val="bottom"/>
          </w:tcPr>
          <w:p>
            <w:pPr>
              <w:jc w:val="center"/>
              <w:spacing w:after="0"/>
              <w:rPr>
                <w:sz w:val="20"/>
                <w:szCs w:val="20"/>
                <w:color w:val="auto"/>
              </w:rPr>
            </w:pPr>
            <w:r>
              <w:rPr>
                <w:rFonts w:ascii="Arial" w:cs="Arial" w:eastAsia="Arial" w:hAnsi="Arial"/>
                <w:sz w:val="14"/>
                <w:szCs w:val="14"/>
                <w:color w:val="auto"/>
                <w:w w:val="87"/>
              </w:rPr>
              <w:t>$ 500,001 - $1,000,000</w:t>
            </w:r>
          </w:p>
        </w:tc>
        <w:tc>
          <w:tcPr>
            <w:tcW w:w="520" w:type="dxa"/>
            <w:vAlign w:val="bottom"/>
          </w:tcPr>
          <w:p>
            <w:pPr>
              <w:spacing w:after="0"/>
              <w:rPr>
                <w:sz w:val="14"/>
                <w:szCs w:val="14"/>
                <w:color w:val="auto"/>
              </w:rPr>
            </w:pPr>
          </w:p>
        </w:tc>
        <w:tc>
          <w:tcPr>
            <w:tcW w:w="1980" w:type="dxa"/>
            <w:vAlign w:val="bottom"/>
            <w:gridSpan w:val="2"/>
          </w:tcPr>
          <w:p>
            <w:pPr>
              <w:jc w:val="center"/>
              <w:ind w:right="520"/>
              <w:spacing w:after="0"/>
              <w:rPr>
                <w:sz w:val="20"/>
                <w:szCs w:val="20"/>
                <w:color w:val="auto"/>
              </w:rPr>
            </w:pPr>
            <w:r>
              <w:rPr>
                <w:rFonts w:ascii="Arial" w:cs="Arial" w:eastAsia="Arial" w:hAnsi="Arial"/>
                <w:sz w:val="14"/>
                <w:szCs w:val="14"/>
                <w:color w:val="auto"/>
                <w:w w:val="86"/>
              </w:rPr>
              <w:t>Over $1,000,000</w:t>
            </w:r>
          </w:p>
        </w:tc>
        <w:tc>
          <w:tcPr>
            <w:tcW w:w="2000" w:type="dxa"/>
            <w:vAlign w:val="bottom"/>
          </w:tcPr>
          <w:p>
            <w:pPr>
              <w:jc w:val="center"/>
              <w:spacing w:after="0"/>
              <w:rPr>
                <w:sz w:val="20"/>
                <w:szCs w:val="20"/>
                <w:color w:val="auto"/>
              </w:rPr>
            </w:pPr>
            <w:r>
              <w:rPr>
                <w:rFonts w:ascii="Arial" w:cs="Arial" w:eastAsia="Arial" w:hAnsi="Arial"/>
                <w:sz w:val="14"/>
                <w:szCs w:val="14"/>
                <w:color w:val="auto"/>
                <w:w w:val="88"/>
              </w:rPr>
              <w:t>Over $1,000,000</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40" w:type="dxa"/>
            <w:vAlign w:val="bottom"/>
          </w:tcPr>
          <w:p>
            <w:pPr>
              <w:spacing w:after="0"/>
              <w:rPr>
                <w:sz w:val="7"/>
                <w:szCs w:val="7"/>
                <w:color w:val="auto"/>
              </w:rPr>
            </w:pPr>
          </w:p>
        </w:tc>
        <w:tc>
          <w:tcPr>
            <w:tcW w:w="50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Interested director</w:t>
            </w:r>
          </w:p>
        </w:tc>
        <w:tc>
          <w:tcPr>
            <w:tcW w:w="1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20" w:type="dxa"/>
            <w:vAlign w:val="bottom"/>
            <w:gridSpan w:val="2"/>
          </w:tcPr>
          <w:p>
            <w:pPr>
              <w:ind w:left="420"/>
              <w:spacing w:after="0"/>
              <w:rPr>
                <w:sz w:val="20"/>
                <w:szCs w:val="20"/>
                <w:color w:val="auto"/>
              </w:rPr>
            </w:pPr>
            <w:r>
              <w:rPr>
                <w:rFonts w:ascii="Arial" w:cs="Arial" w:eastAsia="Arial" w:hAnsi="Arial"/>
                <w:sz w:val="14"/>
                <w:szCs w:val="14"/>
                <w:color w:val="auto"/>
              </w:rPr>
              <w:t>Arthur H. Penn</w:t>
            </w:r>
            <w:r>
              <w:rPr>
                <w:rFonts w:ascii="Arial" w:cs="Arial" w:eastAsia="Arial" w:hAnsi="Arial"/>
                <w:sz w:val="22"/>
                <w:szCs w:val="22"/>
                <w:color w:val="auto"/>
                <w:vertAlign w:val="superscript"/>
              </w:rPr>
              <w:t>(3)</w:t>
            </w:r>
          </w:p>
        </w:tc>
        <w:tc>
          <w:tcPr>
            <w:tcW w:w="1800" w:type="dxa"/>
            <w:vAlign w:val="bottom"/>
            <w:gridSpan w:val="2"/>
          </w:tcPr>
          <w:p>
            <w:pPr>
              <w:jc w:val="center"/>
              <w:ind w:right="520"/>
              <w:spacing w:after="0"/>
              <w:rPr>
                <w:sz w:val="20"/>
                <w:szCs w:val="20"/>
                <w:color w:val="auto"/>
              </w:rPr>
            </w:pPr>
            <w:r>
              <w:rPr>
                <w:rFonts w:ascii="Arial" w:cs="Arial" w:eastAsia="Arial" w:hAnsi="Arial"/>
                <w:sz w:val="14"/>
                <w:szCs w:val="14"/>
                <w:color w:val="auto"/>
                <w:w w:val="88"/>
              </w:rPr>
              <w:t>Over $1,000,000</w:t>
            </w:r>
          </w:p>
        </w:tc>
        <w:tc>
          <w:tcPr>
            <w:tcW w:w="1980" w:type="dxa"/>
            <w:vAlign w:val="bottom"/>
            <w:gridSpan w:val="2"/>
          </w:tcPr>
          <w:p>
            <w:pPr>
              <w:jc w:val="center"/>
              <w:ind w:right="520"/>
              <w:spacing w:after="0"/>
              <w:rPr>
                <w:sz w:val="20"/>
                <w:szCs w:val="20"/>
                <w:color w:val="auto"/>
              </w:rPr>
            </w:pPr>
            <w:r>
              <w:rPr>
                <w:rFonts w:ascii="Arial" w:cs="Arial" w:eastAsia="Arial" w:hAnsi="Arial"/>
                <w:sz w:val="14"/>
                <w:szCs w:val="14"/>
                <w:color w:val="auto"/>
                <w:w w:val="86"/>
              </w:rPr>
              <w:t>Over $1,000,000</w:t>
            </w:r>
          </w:p>
        </w:tc>
        <w:tc>
          <w:tcPr>
            <w:tcW w:w="2000" w:type="dxa"/>
            <w:vAlign w:val="bottom"/>
          </w:tcPr>
          <w:p>
            <w:pPr>
              <w:jc w:val="center"/>
              <w:spacing w:after="0"/>
              <w:rPr>
                <w:sz w:val="20"/>
                <w:szCs w:val="20"/>
                <w:color w:val="auto"/>
              </w:rPr>
            </w:pPr>
            <w:r>
              <w:rPr>
                <w:rFonts w:ascii="Arial" w:cs="Arial" w:eastAsia="Arial" w:hAnsi="Arial"/>
                <w:sz w:val="14"/>
                <w:szCs w:val="14"/>
                <w:color w:val="auto"/>
                <w:w w:val="88"/>
              </w:rPr>
              <w:t>Over $1,000,000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Executive Officer</w:t>
            </w:r>
          </w:p>
        </w:tc>
        <w:tc>
          <w:tcPr>
            <w:tcW w:w="1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20" w:type="dxa"/>
            <w:vAlign w:val="bottom"/>
            <w:gridSpan w:val="2"/>
          </w:tcPr>
          <w:p>
            <w:pPr>
              <w:ind w:left="420"/>
              <w:spacing w:after="0"/>
              <w:rPr>
                <w:sz w:val="20"/>
                <w:szCs w:val="20"/>
                <w:color w:val="auto"/>
              </w:rPr>
            </w:pPr>
            <w:r>
              <w:rPr>
                <w:rFonts w:ascii="Arial" w:cs="Arial" w:eastAsia="Arial" w:hAnsi="Arial"/>
                <w:sz w:val="14"/>
                <w:szCs w:val="14"/>
                <w:color w:val="auto"/>
              </w:rPr>
              <w:t>Aviv Efrat</w:t>
            </w: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$ 100,001 - $ 500,000</w:t>
            </w:r>
          </w:p>
        </w:tc>
        <w:tc>
          <w:tcPr>
            <w:tcW w:w="5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87"/>
              </w:rPr>
              <w:t>$500,000 - $ 1,000,000</w:t>
            </w:r>
          </w:p>
        </w:tc>
        <w:tc>
          <w:tcPr>
            <w:tcW w:w="5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87"/>
              </w:rPr>
              <w:t>$500,001 - $ 1,000,000</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40" w:type="dxa"/>
            <w:vAlign w:val="bottom"/>
          </w:tcPr>
          <w:p>
            <w:pPr>
              <w:spacing w:after="0"/>
              <w:rPr>
                <w:sz w:val="7"/>
                <w:szCs w:val="7"/>
                <w:color w:val="auto"/>
              </w:rPr>
            </w:pPr>
          </w:p>
        </w:tc>
        <w:tc>
          <w:tcPr>
            <w:tcW w:w="50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Senior Investment Professionals</w:t>
            </w:r>
          </w:p>
        </w:tc>
        <w:tc>
          <w:tcPr>
            <w:tcW w:w="1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Jose A. Briones</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7"/>
              </w:rPr>
              <w:t>$500,001 - $ 1,000,000</w:t>
            </w:r>
          </w:p>
        </w:tc>
        <w:tc>
          <w:tcPr>
            <w:tcW w:w="5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7"/>
              </w:rPr>
              <w:t>$500,001 - $ 1,000,000</w:t>
            </w:r>
          </w:p>
        </w:tc>
        <w:tc>
          <w:tcPr>
            <w:tcW w:w="5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88"/>
              </w:rPr>
              <w:t>Over $1,000,000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Salvatore Giannetti III</w:t>
            </w: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$500,001 - $ 1,000,000</w:t>
            </w:r>
          </w:p>
        </w:tc>
        <w:tc>
          <w:tcPr>
            <w:tcW w:w="52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$100,001 - $ 500,000</w:t>
            </w:r>
          </w:p>
        </w:tc>
        <w:tc>
          <w:tcPr>
            <w:tcW w:w="520" w:type="dxa"/>
            <w:vAlign w:val="bottom"/>
            <w:shd w:val="clear" w:color="auto" w:fill="CCEEFF"/>
          </w:tcPr>
          <w:p>
            <w:pPr>
              <w:spacing w:after="0"/>
              <w:rPr>
                <w:sz w:val="12"/>
                <w:szCs w:val="12"/>
                <w:color w:val="auto"/>
              </w:rPr>
            </w:pPr>
          </w:p>
        </w:tc>
        <w:tc>
          <w:tcPr>
            <w:tcW w:w="2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$500,001 - $ 1,000,000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20" w:type="dxa"/>
            <w:vAlign w:val="bottom"/>
            <w:gridSpan w:val="2"/>
          </w:tcPr>
          <w:p>
            <w:pPr>
              <w:ind w:left="420"/>
              <w:spacing w:after="0"/>
              <w:rPr>
                <w:sz w:val="20"/>
                <w:szCs w:val="20"/>
                <w:color w:val="auto"/>
              </w:rPr>
            </w:pPr>
            <w:r>
              <w:rPr>
                <w:rFonts w:ascii="Arial" w:cs="Arial" w:eastAsia="Arial" w:hAnsi="Arial"/>
                <w:sz w:val="14"/>
                <w:szCs w:val="14"/>
                <w:color w:val="auto"/>
              </w:rPr>
              <w:t>P. Whitridge Williams, Jr.</w:t>
            </w:r>
          </w:p>
        </w:tc>
        <w:tc>
          <w:tcPr>
            <w:tcW w:w="1280" w:type="dxa"/>
            <w:vAlign w:val="bottom"/>
          </w:tcPr>
          <w:p>
            <w:pPr>
              <w:jc w:val="center"/>
              <w:spacing w:after="0"/>
              <w:rPr>
                <w:sz w:val="20"/>
                <w:szCs w:val="20"/>
                <w:color w:val="auto"/>
              </w:rPr>
            </w:pPr>
            <w:r>
              <w:rPr>
                <w:rFonts w:ascii="Arial" w:cs="Arial" w:eastAsia="Arial" w:hAnsi="Arial"/>
                <w:sz w:val="14"/>
                <w:szCs w:val="14"/>
                <w:color w:val="auto"/>
                <w:w w:val="87"/>
              </w:rPr>
              <w:t>$500,001 - $ 1,000,000</w:t>
            </w:r>
          </w:p>
        </w:tc>
        <w:tc>
          <w:tcPr>
            <w:tcW w:w="5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87"/>
              </w:rPr>
              <w:t>$500,001 - $ 1,000,000</w:t>
            </w:r>
          </w:p>
        </w:tc>
        <w:tc>
          <w:tcPr>
            <w:tcW w:w="52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88"/>
              </w:rPr>
              <w:t>Over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31521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18"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Dollar ranges are as follows: None; $1-$10,000; $10,001-$50,000; $50,001-$100,000; $100,001-$500,000; $500,001-$1,000,000; or over $1,000,000.</w:t>
      </w:r>
    </w:p>
    <w:p>
      <w:pPr>
        <w:ind w:left="220" w:hanging="212"/>
        <w:spacing w:after="0" w:line="221" w:lineRule="auto"/>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Also reflects holdings of JAM Investments, LLC.</w:t>
      </w:r>
    </w:p>
    <w:p>
      <w:pPr>
        <w:ind w:left="220" w:hanging="212"/>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Also reflects holdings of PennantPark Investment Advisers, LLC.</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CERTAIN RELATIONSHIPS AND TRANSACTIONS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Management Agreement</w:t>
      </w:r>
    </w:p>
    <w:p>
      <w:pPr>
        <w:spacing w:after="0" w:line="71" w:lineRule="exact"/>
        <w:rPr>
          <w:sz w:val="20"/>
          <w:szCs w:val="20"/>
          <w:color w:val="auto"/>
        </w:rPr>
      </w:pPr>
    </w:p>
    <w:p>
      <w:pPr>
        <w:jc w:val="both"/>
        <w:ind w:right="80" w:firstLine="456"/>
        <w:spacing w:after="0" w:line="273" w:lineRule="auto"/>
        <w:rPr>
          <w:sz w:val="20"/>
          <w:szCs w:val="20"/>
          <w:color w:val="auto"/>
        </w:rPr>
      </w:pPr>
      <w:r>
        <w:rPr>
          <w:rFonts w:ascii="Arial" w:cs="Arial" w:eastAsia="Arial" w:hAnsi="Arial"/>
          <w:sz w:val="12"/>
          <w:szCs w:val="12"/>
          <w:color w:val="auto"/>
        </w:rPr>
        <w:t>PennantPark Floating Rate Capital Ltd. has entered into the Investment Management Agreement with the Investment Adviser under which the Investment Adviser, subject to the overall supervision of Company’s board of directors, manages the day-to-day operations of and provides investment advisory services to the Company. Mr. Penn, our Chairman and Chief Executive Officer, is the managing member and a senior investment professional of, and has a financial and controlling interests in PennantPark Investment Advisers. The Company, through the Investment Adviser, manages day-to-day operations of and provides investment advisory services to Funding I under its collateral management agreement. Funding I’s collateral management agreement does not affect the management or incentive fees that we pay to the Investment Adviser on a consolidated basis. Under the terms of our Investment Management Agreement, PennantPark Investment Advisers:</w:t>
      </w:r>
    </w:p>
    <w:p>
      <w:pPr>
        <w:spacing w:after="0" w:line="39" w:lineRule="exact"/>
        <w:rPr>
          <w:sz w:val="20"/>
          <w:szCs w:val="20"/>
          <w:color w:val="auto"/>
        </w:rPr>
      </w:pPr>
    </w:p>
    <w:p>
      <w:pPr>
        <w:ind w:left="540" w:hanging="316"/>
        <w:spacing w:after="0"/>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closes and monitors the investments we make.</w:t>
      </w:r>
    </w:p>
    <w:p>
      <w:pPr>
        <w:spacing w:after="0" w:line="150"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us, consisting of two components a base management fee and an incentive fee, collectively, Management Fees.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Advisory Fees</w:t>
      </w:r>
    </w:p>
    <w:p>
      <w:pPr>
        <w:spacing w:after="0" w:line="69" w:lineRule="exact"/>
        <w:rPr>
          <w:sz w:val="20"/>
          <w:szCs w:val="20"/>
          <w:color w:val="auto"/>
        </w:rPr>
      </w:pPr>
    </w:p>
    <w:p>
      <w:pPr>
        <w:ind w:right="80" w:firstLine="456"/>
        <w:spacing w:after="0" w:line="264" w:lineRule="auto"/>
        <w:rPr>
          <w:sz w:val="20"/>
          <w:szCs w:val="20"/>
          <w:color w:val="auto"/>
        </w:rPr>
      </w:pPr>
      <w:r>
        <w:rPr>
          <w:rFonts w:ascii="Arial" w:cs="Arial" w:eastAsia="Arial" w:hAnsi="Arial"/>
          <w:sz w:val="12"/>
          <w:szCs w:val="12"/>
          <w:color w:val="auto"/>
        </w:rPr>
        <w:t>The base management fee is calculated at an annual rate of 1.00% of our gross assets (net of U.S. Treasury Bills, temporary draws under any Credit Facility and/or repurchase agreements or other balance sheet transactions undertaken at the end of a fiscal quarter for purposes of preserving investment flexibility for the next quarter, or “average adjusted gross assets,” if any (see example below))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fees for any partial month or quarter are appropriately pro-rated. PennantPark Investment Advisers, however, has waived the portion of the base management fee payable on any net proceeds of the initial public offering that were not invested in portfolio investments, inclusive of any temporary investments in cash, cash equivalents, U.S. government securities and other high-quality investment grade debt investments that mature in 12 months or less from the date of investment. For the three and nine months ended June 30, 2013, the Investment Adviser earned base management fee of $0.5 million and $1.5 million, respectively, from us. For the three and nine months ended June 30, 2012, the Investment Adviser earned base management fee of $0.4 million and $1.1 million, respectively, from us. For the fiscal year ended September 30, 2012, and for the period March 4, 2011 (commencement of operations) to September 30, 2011, the Investment Adviser earned base management fees of $1.5 million and $0.4 million, respectively, from us.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is a hypothetical example of the calculation of average adjusted gross assets: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Gross assets as of December 31, 20XX = $160 million</w:t>
      </w:r>
    </w:p>
    <w:p>
      <w:pPr>
        <w:ind w:left="460"/>
        <w:spacing w:after="0" w:line="221" w:lineRule="auto"/>
        <w:rPr>
          <w:sz w:val="20"/>
          <w:szCs w:val="20"/>
          <w:color w:val="auto"/>
        </w:rPr>
      </w:pPr>
      <w:r>
        <w:rPr>
          <w:rFonts w:ascii="Arial" w:cs="Arial" w:eastAsia="Arial" w:hAnsi="Arial"/>
          <w:sz w:val="14"/>
          <w:szCs w:val="14"/>
          <w:color w:val="auto"/>
        </w:rPr>
        <w:t>U.S. Treasury bills and temporary draws on credit facilities as of December 31, 20XX = $10 million</w:t>
      </w:r>
    </w:p>
    <w:p>
      <w:pPr>
        <w:ind w:left="460"/>
        <w:spacing w:after="0"/>
        <w:rPr>
          <w:sz w:val="20"/>
          <w:szCs w:val="20"/>
          <w:color w:val="auto"/>
        </w:rPr>
      </w:pPr>
      <w:r>
        <w:rPr>
          <w:rFonts w:ascii="Arial" w:cs="Arial" w:eastAsia="Arial" w:hAnsi="Arial"/>
          <w:sz w:val="14"/>
          <w:szCs w:val="14"/>
          <w:color w:val="auto"/>
        </w:rPr>
        <w:t>Adjusted gross assets as of December 31, 20XX = $150 million</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Gross assets as of March 31, 20XX = $200 million</w:t>
      </w:r>
    </w:p>
    <w:p>
      <w:pPr>
        <w:ind w:left="460"/>
        <w:spacing w:after="0" w:line="221" w:lineRule="auto"/>
        <w:rPr>
          <w:sz w:val="20"/>
          <w:szCs w:val="20"/>
          <w:color w:val="auto"/>
        </w:rPr>
      </w:pPr>
      <w:r>
        <w:rPr>
          <w:rFonts w:ascii="Arial" w:cs="Arial" w:eastAsia="Arial" w:hAnsi="Arial"/>
          <w:sz w:val="14"/>
          <w:szCs w:val="14"/>
          <w:color w:val="auto"/>
        </w:rPr>
        <w:t>U.S. Treasury bills and temporary draws on credit facilities as of March 31, 20XX = $20 million</w:t>
      </w:r>
    </w:p>
    <w:p>
      <w:pPr>
        <w:ind w:left="460"/>
        <w:spacing w:after="0"/>
        <w:rPr>
          <w:sz w:val="20"/>
          <w:szCs w:val="20"/>
          <w:color w:val="auto"/>
        </w:rPr>
      </w:pPr>
      <w:r>
        <w:rPr>
          <w:rFonts w:ascii="Arial" w:cs="Arial" w:eastAsia="Arial" w:hAnsi="Arial"/>
          <w:sz w:val="14"/>
          <w:szCs w:val="14"/>
          <w:color w:val="auto"/>
        </w:rPr>
        <w:t>Adjusted gross assets as of March 31, 20XX = $180 million</w:t>
      </w:r>
    </w:p>
    <w:p>
      <w:pPr>
        <w:spacing w:after="0" w:line="138" w:lineRule="exact"/>
        <w:rPr>
          <w:sz w:val="20"/>
          <w:szCs w:val="20"/>
          <w:color w:val="auto"/>
        </w:rPr>
      </w:pPr>
    </w:p>
    <w:p>
      <w:pPr>
        <w:ind w:left="460" w:right="200"/>
        <w:spacing w:after="0" w:line="239" w:lineRule="auto"/>
        <w:rPr>
          <w:sz w:val="20"/>
          <w:szCs w:val="20"/>
          <w:color w:val="auto"/>
        </w:rPr>
      </w:pPr>
      <w:r>
        <w:rPr>
          <w:rFonts w:ascii="Arial" w:cs="Arial" w:eastAsia="Arial" w:hAnsi="Arial"/>
          <w:sz w:val="14"/>
          <w:szCs w:val="14"/>
          <w:color w:val="auto"/>
        </w:rPr>
        <w:t>Average value of adjusted gross assets as of March 31, 20XX at the end of the two most recently completed calendar quarters, and appropriately adjusted for any share issuances or repurchases during the current calendar quarter = ($150 million + $180 million) / 2 = $165 million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50" w:lineRule="exact"/>
        <w:rPr>
          <w:sz w:val="20"/>
          <w:szCs w:val="20"/>
          <w:color w:val="auto"/>
        </w:rPr>
      </w:pPr>
    </w:p>
    <w:p>
      <w:pPr>
        <w:ind w:firstLine="456"/>
        <w:spacing w:after="0" w:line="262"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structuring, diligence and consulting fees or other fees that we receive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For the three and nine months ended June 30, 2013, the Investment Adviser earned a performance based incentive fee on net investment income as calculated under the Investment Management Agreement of $0.4 million and $1.0 million, respectively. For the three and nine months ended June 30, 2012, the Investment Adviser earned a performance based incentive fee on net investment income as calculated under the Investment Management Agreement, which resulted in an accrual of less than $0.1 million. The performance based incentive fee on net investment income due to our Investment Adviser as calculated under the Investment Management Agreement (as described above) for the year ended September 30, 2012 resulted in an accrual of $0.3 million. For the period March 4, 2011 (commencement of operations) to September 30, 2011, the Investment Adviser earned no performance based incentive fee on net investment income from us.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following is a graphical representation of the calculation of quarterly incentive fee based on Pre-Incentive Fee Net Investment Income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120015</wp:posOffset>
            </wp:positionV>
            <wp:extent cx="2186940" cy="3860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8694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Percentage of Pre-Incentive Fee Net Investment Income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allocated to income-related portion of incentive fee</w:t>
      </w:r>
    </w:p>
    <w:p>
      <w:pPr>
        <w:spacing w:after="0" w:line="138"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commencing on December 31, 2011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For the three and nine months ended June 30, 2013 and 2012, the Investment Adviser did not earn a performance based incentive fee on capital gains as calculated under the Investment Management Agreement. The performance-based incentive fee on capital gains due to our Investment Adviser as calculated under the Investment Management Agreement (as described above) for the year ended September 30, 2012, and for the period March 4, 2011 (commencement of operations) to September 30, 2011, resulted in no accruals.</w:t>
      </w:r>
    </w:p>
    <w:p>
      <w:pPr>
        <w:spacing w:after="0" w:line="122" w:lineRule="exact"/>
        <w:rPr>
          <w:sz w:val="20"/>
          <w:szCs w:val="20"/>
          <w:color w:val="auto"/>
        </w:rPr>
      </w:pPr>
    </w:p>
    <w:p>
      <w:pPr>
        <w:ind w:firstLine="456"/>
        <w:spacing w:after="0" w:line="264" w:lineRule="auto"/>
        <w:rPr>
          <w:sz w:val="20"/>
          <w:szCs w:val="20"/>
          <w:color w:val="auto"/>
        </w:rPr>
      </w:pPr>
      <w:r>
        <w:rPr>
          <w:rFonts w:ascii="Arial" w:cs="Arial" w:eastAsia="Arial" w:hAnsi="Arial"/>
          <w:sz w:val="12"/>
          <w:szCs w:val="12"/>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three and nine months ended June 30, 2013, the Investment Adviser’s performance based incentive fee on unrealized and realized capital gains as calculated under GAAP was approximately $(0.3) million representing an expense reversal, and zero, respectively. For the three and nine months ended June 30, 2012, the Investment Adviser earned a performance based incentive fee on unrealized and realized capital gains as calculated under GAAP, which resulted in $(0.1) million and no accrual, respectively. The performance based incentive fee on our unrealized and realized capital gains due to our Investment Adviser for the year ended September 30, 2012 resulted in an accrual of $0.3 million. For the period March 4, 2011 (commencement of operations) to September 30, 2011, our unrealized and realized capital gains did not exceed our cumulative realized and unrealized losses and resulted in no accrual under GAAP.</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Examples of Quarterly Incentive Fee Calculation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Income Related Portion of Incentive Fee (*):</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 (including interest, distributions, fees, etc.) = 1.25%</w:t>
      </w:r>
    </w:p>
    <w:p>
      <w:pPr>
        <w:ind w:left="460"/>
        <w:spacing w:after="0" w:line="180" w:lineRule="auto"/>
        <w:rPr>
          <w:sz w:val="20"/>
          <w:szCs w:val="20"/>
          <w:color w:val="auto"/>
        </w:rPr>
      </w:pPr>
      <w:r>
        <w:rPr>
          <w:rFonts w:ascii="Arial" w:cs="Arial" w:eastAsia="Arial" w:hAnsi="Arial"/>
          <w:sz w:val="13"/>
          <w:szCs w:val="13"/>
          <w:color w:val="auto"/>
        </w:rPr>
        <w:t>Hurdle</w:t>
      </w:r>
      <w:r>
        <w:rPr>
          <w:rFonts w:ascii="Arial" w:cs="Arial" w:eastAsia="Arial" w:hAnsi="Arial"/>
          <w:sz w:val="21"/>
          <w:szCs w:val="21"/>
          <w:color w:val="auto"/>
          <w:vertAlign w:val="superscript"/>
        </w:rPr>
        <w:t>(1)</w:t>
      </w:r>
      <w:r>
        <w:rPr>
          <w:rFonts w:ascii="Arial" w:cs="Arial" w:eastAsia="Arial" w:hAnsi="Arial"/>
          <w:sz w:val="13"/>
          <w:szCs w:val="13"/>
          <w:color w:val="auto"/>
        </w:rPr>
        <w:t xml:space="preserve"> = 1.75%</w:t>
      </w:r>
    </w:p>
    <w:p>
      <w:pPr>
        <w:ind w:left="460"/>
        <w:spacing w:after="0" w:line="192" w:lineRule="auto"/>
        <w:rPr>
          <w:sz w:val="20"/>
          <w:szCs w:val="20"/>
          <w:color w:val="auto"/>
        </w:rPr>
      </w:pPr>
      <w:r>
        <w:rPr>
          <w:rFonts w:ascii="Arial" w:cs="Arial" w:eastAsia="Arial" w:hAnsi="Arial"/>
          <w:sz w:val="14"/>
          <w:szCs w:val="14"/>
          <w:color w:val="auto"/>
        </w:rPr>
        <w:t>Base management fee</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 0.25%</w:t>
      </w:r>
    </w:p>
    <w:p>
      <w:pPr>
        <w:ind w:left="460"/>
        <w:spacing w:after="0" w:line="212" w:lineRule="auto"/>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4"/>
          <w:szCs w:val="14"/>
          <w:color w:val="auto"/>
        </w:rPr>
        <w:t xml:space="preserve"> = 0.20%</w:t>
      </w:r>
    </w:p>
    <w:p>
      <w:pPr>
        <w:ind w:left="460"/>
        <w:spacing w:after="0"/>
        <w:rPr>
          <w:sz w:val="20"/>
          <w:szCs w:val="20"/>
          <w:color w:val="auto"/>
        </w:rPr>
      </w:pPr>
      <w:r>
        <w:rPr>
          <w:rFonts w:ascii="Arial" w:cs="Arial" w:eastAsia="Arial" w:hAnsi="Arial"/>
          <w:sz w:val="14"/>
          <w:szCs w:val="14"/>
          <w:color w:val="auto"/>
        </w:rPr>
        <w:t>Pre-Incentive Fee Net Investment Income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income—(base management fee + other expenses)) = 0.80%</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Pre-incentive net investment income does not exceed hurdle; therefore there is no incentive fee.</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 (including interest, distributions, fees, etc.) = 2.70%</w:t>
      </w:r>
    </w:p>
    <w:p>
      <w:pPr>
        <w:ind w:left="460"/>
        <w:spacing w:after="0" w:line="223" w:lineRule="auto"/>
        <w:rPr>
          <w:sz w:val="20"/>
          <w:szCs w:val="20"/>
          <w:color w:val="auto"/>
        </w:rPr>
      </w:pPr>
      <w:r>
        <w:rPr>
          <w:rFonts w:ascii="Arial" w:cs="Arial" w:eastAsia="Arial" w:hAnsi="Arial"/>
          <w:sz w:val="14"/>
          <w:szCs w:val="14"/>
          <w:color w:val="auto"/>
        </w:rPr>
        <w:t>Hurdle</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 1.75%</w:t>
      </w:r>
    </w:p>
    <w:p>
      <w:pPr>
        <w:ind w:left="460"/>
        <w:spacing w:after="0" w:line="192" w:lineRule="auto"/>
        <w:rPr>
          <w:sz w:val="20"/>
          <w:szCs w:val="20"/>
          <w:color w:val="auto"/>
        </w:rPr>
      </w:pPr>
      <w:r>
        <w:rPr>
          <w:rFonts w:ascii="Arial" w:cs="Arial" w:eastAsia="Arial" w:hAnsi="Arial"/>
          <w:sz w:val="14"/>
          <w:szCs w:val="14"/>
          <w:color w:val="auto"/>
        </w:rPr>
        <w:t>Base management fee</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 0.25%</w:t>
      </w:r>
    </w:p>
    <w:p>
      <w:pPr>
        <w:ind w:left="460"/>
        <w:spacing w:after="0" w:line="212" w:lineRule="auto"/>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4"/>
          <w:szCs w:val="14"/>
          <w:color w:val="auto"/>
        </w:rPr>
        <w:t xml:space="preserve"> = 0.20%</w:t>
      </w:r>
    </w:p>
    <w:p>
      <w:pPr>
        <w:ind w:left="460"/>
        <w:spacing w:after="0"/>
        <w:rPr>
          <w:sz w:val="20"/>
          <w:szCs w:val="20"/>
          <w:color w:val="auto"/>
        </w:rPr>
      </w:pPr>
      <w:r>
        <w:rPr>
          <w:rFonts w:ascii="Arial" w:cs="Arial" w:eastAsia="Arial" w:hAnsi="Arial"/>
          <w:sz w:val="14"/>
          <w:szCs w:val="14"/>
          <w:color w:val="auto"/>
        </w:rPr>
        <w:t>Pre-Incentive Fee Net Investment Income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income—(base management fee + other expenses)) = 2.25%</w:t>
      </w:r>
    </w:p>
    <w:p>
      <w:pPr>
        <w:spacing w:after="0" w:line="190" w:lineRule="exact"/>
        <w:rPr>
          <w:sz w:val="20"/>
          <w:szCs w:val="20"/>
          <w:color w:val="auto"/>
        </w:rPr>
      </w:pPr>
    </w:p>
    <w:p>
      <w:pPr>
        <w:ind w:left="920"/>
        <w:spacing w:after="0"/>
        <w:tabs>
          <w:tab w:leader="none" w:pos="2460" w:val="left"/>
        </w:tabs>
        <w:rPr>
          <w:sz w:val="20"/>
          <w:szCs w:val="20"/>
          <w:color w:val="auto"/>
        </w:rPr>
      </w:pPr>
      <w:r>
        <w:rPr>
          <w:rFonts w:ascii="Arial" w:cs="Arial" w:eastAsia="Arial" w:hAnsi="Arial"/>
          <w:sz w:val="14"/>
          <w:szCs w:val="14"/>
          <w:color w:val="auto"/>
        </w:rPr>
        <w:t>Incentive fee</w:t>
      </w:r>
      <w:r>
        <w:rPr>
          <w:sz w:val="20"/>
          <w:szCs w:val="20"/>
          <w:color w:val="auto"/>
        </w:rPr>
        <w:tab/>
      </w:r>
      <w:r>
        <w:rPr>
          <w:rFonts w:ascii="Arial" w:cs="Arial" w:eastAsia="Arial" w:hAnsi="Arial"/>
          <w:sz w:val="12"/>
          <w:szCs w:val="12"/>
          <w:color w:val="auto"/>
        </w:rPr>
        <w:t>= 50% X Pre-Incentive Fee Net Investment Income, subject to “catch-up”</w:t>
      </w:r>
    </w:p>
    <w:p>
      <w:pPr>
        <w:spacing w:after="0" w:line="15" w:lineRule="exact"/>
        <w:rPr>
          <w:sz w:val="20"/>
          <w:szCs w:val="20"/>
          <w:color w:val="auto"/>
        </w:rPr>
      </w:pPr>
    </w:p>
    <w:p>
      <w:pPr>
        <w:ind w:left="2580" w:hanging="101"/>
        <w:spacing w:after="0"/>
        <w:tabs>
          <w:tab w:leader="none" w:pos="2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50% X (2.25% - 1.75%)</w:t>
      </w:r>
    </w:p>
    <w:p>
      <w:pPr>
        <w:spacing w:after="0" w:line="28" w:lineRule="exact"/>
        <w:rPr>
          <w:rFonts w:ascii="Arial" w:cs="Arial" w:eastAsia="Arial" w:hAnsi="Arial"/>
          <w:sz w:val="14"/>
          <w:szCs w:val="14"/>
          <w:color w:val="auto"/>
        </w:rPr>
      </w:pPr>
    </w:p>
    <w:p>
      <w:pPr>
        <w:ind w:left="2580" w:hanging="101"/>
        <w:spacing w:after="0"/>
        <w:tabs>
          <w:tab w:leader="none" w:pos="2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0.25%</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3</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Investment income (including interest, distributions, fees, etc.) = 4.00%</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Hurdle</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 1.75%</w:t>
      </w:r>
    </w:p>
    <w:p>
      <w:pPr>
        <w:ind w:left="460"/>
        <w:spacing w:after="0" w:line="192" w:lineRule="auto"/>
        <w:rPr>
          <w:sz w:val="20"/>
          <w:szCs w:val="20"/>
          <w:color w:val="auto"/>
        </w:rPr>
      </w:pPr>
      <w:r>
        <w:rPr>
          <w:rFonts w:ascii="Arial" w:cs="Arial" w:eastAsia="Arial" w:hAnsi="Arial"/>
          <w:sz w:val="14"/>
          <w:szCs w:val="14"/>
          <w:color w:val="auto"/>
        </w:rPr>
        <w:t>Base management fee</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 0.25%</w:t>
      </w:r>
    </w:p>
    <w:p>
      <w:pPr>
        <w:ind w:left="460"/>
        <w:spacing w:after="0"/>
        <w:rPr>
          <w:sz w:val="20"/>
          <w:szCs w:val="20"/>
          <w:color w:val="auto"/>
        </w:rPr>
      </w:pPr>
      <w:r>
        <w:rPr>
          <w:rFonts w:ascii="Arial" w:cs="Arial" w:eastAsia="Arial" w:hAnsi="Arial"/>
          <w:sz w:val="12"/>
          <w:szCs w:val="12"/>
          <w:color w:val="auto"/>
        </w:rPr>
        <w:t>Other expenses (legal, accounting, custodian, transfer agent, etc.)</w:t>
      </w:r>
      <w:r>
        <w:rPr>
          <w:rFonts w:ascii="Arial" w:cs="Arial" w:eastAsia="Arial" w:hAnsi="Arial"/>
          <w:sz w:val="19"/>
          <w:szCs w:val="19"/>
          <w:color w:val="auto"/>
          <w:vertAlign w:val="superscript"/>
        </w:rPr>
        <w:t>(3)</w:t>
      </w:r>
      <w:r>
        <w:rPr>
          <w:rFonts w:ascii="Arial" w:cs="Arial" w:eastAsia="Arial" w:hAnsi="Arial"/>
          <w:sz w:val="12"/>
          <w:szCs w:val="12"/>
          <w:color w:val="auto"/>
        </w:rPr>
        <w:t xml:space="preserve"> = 0.20%</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Pre-Incentive Fee Net Investment Income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(investment income—(base management fee + other expenses)) = 3.55%</w:t>
      </w:r>
    </w:p>
    <w:p>
      <w:pPr>
        <w:sectPr>
          <w:pgSz w:w="11900" w:h="16838" w:orient="portrait"/>
          <w:cols w:equalWidth="0" w:num="1">
            <w:col w:w="11360"/>
          </w:cols>
          <w:pgMar w:left="240" w:top="459" w:right="299" w:bottom="1440" w:gutter="0" w:footer="0" w:header="0"/>
        </w:sectPr>
      </w:pPr>
    </w:p>
    <w:p>
      <w:pPr>
        <w:spacing w:after="0" w:line="29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Incentive fee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2"/>
          <w:szCs w:val="12"/>
          <w:color w:val="auto"/>
        </w:rPr>
        <w:t>Incentive fee</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Catch-up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822325</wp:posOffset>
            </wp:positionV>
            <wp:extent cx="2914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101" w:hanging="101"/>
        <w:spacing w:after="0"/>
        <w:tabs>
          <w:tab w:leader="none" w:pos="101" w:val="left"/>
        </w:tabs>
        <w:numPr>
          <w:ilvl w:val="0"/>
          <w:numId w:val="39"/>
        </w:numPr>
        <w:rPr>
          <w:rFonts w:ascii="Arial" w:cs="Arial" w:eastAsia="Arial" w:hAnsi="Arial"/>
          <w:sz w:val="13"/>
          <w:szCs w:val="13"/>
          <w:color w:val="auto"/>
        </w:rPr>
      </w:pPr>
      <w:r>
        <w:rPr>
          <w:rFonts w:ascii="Arial" w:cs="Arial" w:eastAsia="Arial" w:hAnsi="Arial"/>
          <w:sz w:val="13"/>
          <w:szCs w:val="13"/>
          <w:color w:val="auto"/>
        </w:rPr>
        <w:t>20% X Pre-Incentive Fee Net Investment Income, subject to “catch-up”</w:t>
      </w:r>
      <w:r>
        <w:rPr>
          <w:rFonts w:ascii="Arial" w:cs="Arial" w:eastAsia="Arial" w:hAnsi="Arial"/>
          <w:sz w:val="21"/>
          <w:szCs w:val="21"/>
          <w:color w:val="auto"/>
          <w:vertAlign w:val="superscript"/>
        </w:rPr>
        <w:t>(4)</w:t>
      </w:r>
    </w:p>
    <w:p>
      <w:pPr>
        <w:ind w:left="1" w:right="4220" w:hanging="1"/>
        <w:spacing w:after="0" w:line="295" w:lineRule="auto"/>
        <w:tabs>
          <w:tab w:leader="none" w:pos="111" w:val="left"/>
        </w:tabs>
        <w:numPr>
          <w:ilvl w:val="0"/>
          <w:numId w:val="39"/>
        </w:numPr>
        <w:rPr>
          <w:rFonts w:ascii="Arial" w:cs="Arial" w:eastAsia="Arial" w:hAnsi="Arial"/>
          <w:sz w:val="14"/>
          <w:szCs w:val="14"/>
          <w:color w:val="auto"/>
        </w:rPr>
      </w:pPr>
      <w:r>
        <w:rPr>
          <w:rFonts w:ascii="Arial" w:cs="Arial" w:eastAsia="Arial" w:hAnsi="Arial"/>
          <w:sz w:val="14"/>
          <w:szCs w:val="14"/>
          <w:color w:val="auto"/>
        </w:rPr>
        <w:t>50% X “catch-up” + (20% x (Pre-Incentive Fee Net Investment Income - 2.9167%)) =2.9167%-1.75% =1.1667%</w:t>
      </w:r>
    </w:p>
    <w:p>
      <w:pPr>
        <w:spacing w:after="0" w:line="159" w:lineRule="exact"/>
        <w:rPr>
          <w:rFonts w:ascii="Arial" w:cs="Arial" w:eastAsia="Arial" w:hAnsi="Arial"/>
          <w:sz w:val="14"/>
          <w:szCs w:val="14"/>
          <w:color w:val="auto"/>
        </w:rPr>
      </w:pPr>
    </w:p>
    <w:p>
      <w:pPr>
        <w:ind w:left="1" w:right="6180"/>
        <w:spacing w:after="0" w:line="281" w:lineRule="auto"/>
        <w:rPr>
          <w:rFonts w:ascii="Arial" w:cs="Arial" w:eastAsia="Arial" w:hAnsi="Arial"/>
          <w:sz w:val="14"/>
          <w:szCs w:val="14"/>
          <w:color w:val="auto"/>
        </w:rPr>
      </w:pPr>
      <w:r>
        <w:rPr>
          <w:rFonts w:ascii="Arial" w:cs="Arial" w:eastAsia="Arial" w:hAnsi="Arial"/>
          <w:sz w:val="14"/>
          <w:szCs w:val="14"/>
          <w:color w:val="auto"/>
        </w:rPr>
        <w:t>=(50% X 1.1667%) + (20% X (3.55% -2.9167%)) =0.5833% + (20% X 0.6333%)</w:t>
      </w:r>
    </w:p>
    <w:p>
      <w:pPr>
        <w:spacing w:after="0" w:line="1" w:lineRule="exact"/>
        <w:rPr>
          <w:rFonts w:ascii="Arial" w:cs="Arial" w:eastAsia="Arial" w:hAnsi="Arial"/>
          <w:sz w:val="14"/>
          <w:szCs w:val="14"/>
          <w:color w:val="auto"/>
        </w:rPr>
      </w:pPr>
    </w:p>
    <w:p>
      <w:pPr>
        <w:ind w:left="1" w:right="7700"/>
        <w:spacing w:after="0" w:line="298" w:lineRule="auto"/>
        <w:rPr>
          <w:rFonts w:ascii="Arial" w:cs="Arial" w:eastAsia="Arial" w:hAnsi="Arial"/>
          <w:sz w:val="14"/>
          <w:szCs w:val="14"/>
          <w:color w:val="auto"/>
        </w:rPr>
      </w:pPr>
      <w:r>
        <w:rPr>
          <w:rFonts w:ascii="Arial" w:cs="Arial" w:eastAsia="Arial" w:hAnsi="Arial"/>
          <w:sz w:val="14"/>
          <w:szCs w:val="14"/>
          <w:color w:val="auto"/>
        </w:rPr>
        <w:t>=0.5833% + 0.1267% =0.71%</w:t>
      </w:r>
    </w:p>
    <w:p>
      <w:pPr>
        <w:spacing w:after="0" w:line="200" w:lineRule="exact"/>
        <w:rPr>
          <w:sz w:val="20"/>
          <w:szCs w:val="20"/>
          <w:color w:val="auto"/>
        </w:rPr>
      </w:pPr>
    </w:p>
    <w:p>
      <w:pPr>
        <w:sectPr>
          <w:pgSz w:w="11900" w:h="16838" w:orient="portrait"/>
          <w:cols w:equalWidth="0" w:num="2">
            <w:col w:w="1759" w:space="720"/>
            <w:col w:w="8881"/>
          </w:cols>
          <w:pgMar w:left="240" w:top="459" w:right="299" w:bottom="1440" w:gutter="0" w:footer="0" w:header="0"/>
          <w:type w:val="continuous"/>
        </w:sectPr>
      </w:pPr>
    </w:p>
    <w:p>
      <w:pPr>
        <w:spacing w:after="0" w:line="102" w:lineRule="exact"/>
        <w:rPr>
          <w:sz w:val="20"/>
          <w:szCs w:val="20"/>
          <w:color w:val="auto"/>
        </w:rPr>
      </w:pPr>
    </w:p>
    <w:p>
      <w:pPr>
        <w:ind w:left="380" w:hanging="325"/>
        <w:spacing w:after="0"/>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hypothetical amount of Pre-Incentive Fee Net Investment Income shown is based on a percentage of total net assets.</w:t>
      </w:r>
    </w:p>
    <w:p>
      <w:pPr>
        <w:spacing w:after="0" w:line="95"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7.0% annualized Hurdle.</w:t>
      </w:r>
    </w:p>
    <w:p>
      <w:pPr>
        <w:ind w:left="380" w:hanging="372"/>
        <w:spacing w:after="0" w:line="221"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1.0% annualized base management fee.</w:t>
      </w:r>
    </w:p>
    <w:p>
      <w:pPr>
        <w:ind w:left="380" w:hanging="372"/>
        <w:spacing w:after="0" w:line="221"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Excludes organizational and offering expenses.</w:t>
      </w:r>
    </w:p>
    <w:p>
      <w:pPr>
        <w:ind w:left="380" w:hanging="372"/>
        <w:spacing w:after="0" w:line="230"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Capital Gains Portion of Incentive Fee: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1: $20 million investment made in Company A (“Investment A”), and $30 million investment made in Company B (“Investment B”)</w:t>
      </w:r>
    </w:p>
    <w:p>
      <w:pPr>
        <w:ind w:left="460"/>
        <w:spacing w:after="0" w:line="221" w:lineRule="auto"/>
        <w:rPr>
          <w:sz w:val="20"/>
          <w:szCs w:val="20"/>
          <w:color w:val="auto"/>
        </w:rPr>
      </w:pPr>
      <w:r>
        <w:rPr>
          <w:rFonts w:ascii="Arial" w:cs="Arial" w:eastAsia="Arial" w:hAnsi="Arial"/>
          <w:sz w:val="14"/>
          <w:szCs w:val="14"/>
          <w:color w:val="auto"/>
        </w:rPr>
        <w:t>Year 2: Investment A sold for $50 million and fair market value (“FMV”) of Investment B determined to be $32 million</w:t>
      </w:r>
    </w:p>
    <w:p>
      <w:pPr>
        <w:ind w:left="460"/>
        <w:spacing w:after="0" w:line="221" w:lineRule="auto"/>
        <w:rPr>
          <w:sz w:val="20"/>
          <w:szCs w:val="20"/>
          <w:color w:val="auto"/>
        </w:rPr>
      </w:pPr>
      <w:r>
        <w:rPr>
          <w:rFonts w:ascii="Arial" w:cs="Arial" w:eastAsia="Arial" w:hAnsi="Arial"/>
          <w:sz w:val="14"/>
          <w:szCs w:val="14"/>
          <w:color w:val="auto"/>
        </w:rPr>
        <w:t>Year 3: FMV of Investment B determined to be $25 million</w:t>
      </w:r>
    </w:p>
    <w:p>
      <w:pPr>
        <w:ind w:left="460"/>
        <w:spacing w:after="0"/>
        <w:rPr>
          <w:sz w:val="20"/>
          <w:szCs w:val="20"/>
          <w:color w:val="auto"/>
        </w:rPr>
      </w:pPr>
      <w:r>
        <w:rPr>
          <w:rFonts w:ascii="Arial" w:cs="Arial" w:eastAsia="Arial" w:hAnsi="Arial"/>
          <w:sz w:val="14"/>
          <w:szCs w:val="14"/>
          <w:color w:val="auto"/>
        </w:rPr>
        <w:t>Year 4: Investment B sold for $31 million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1: None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2: $6 million capital gains incentive fee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$30 million realized capital gains on sale of Investment A multiplied by 20%</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3: None</w:t>
      </w:r>
    </w:p>
    <w:p>
      <w:pPr>
        <w:spacing w:after="0" w:line="69" w:lineRule="exact"/>
        <w:rPr>
          <w:sz w:val="20"/>
          <w:szCs w:val="20"/>
          <w:color w:val="auto"/>
        </w:rPr>
      </w:pPr>
    </w:p>
    <w:p>
      <w:pPr>
        <w:ind w:left="460" w:right="2220"/>
        <w:spacing w:after="0" w:line="239" w:lineRule="auto"/>
        <w:rPr>
          <w:sz w:val="20"/>
          <w:szCs w:val="20"/>
          <w:color w:val="auto"/>
        </w:rPr>
      </w:pPr>
      <w:r>
        <w:rPr>
          <w:rFonts w:ascii="Arial" w:cs="Arial" w:eastAsia="Arial" w:hAnsi="Arial"/>
          <w:sz w:val="14"/>
          <w:szCs w:val="14"/>
          <w:color w:val="auto"/>
        </w:rPr>
        <w:t>$5 million cumulative fee (20% multiplied by $25 million ($30 million cumulative capital gains less $5 million cumulative capital depreciation)) less $6 million (previous capital gains fee paid in Year 2)</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4: $200,000 capital gains incentive fee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$6.2 million cumulative fee ($31 million cumulative realized capital gains multiplied by 20%) less $6 million (previous capital gains fee paid in Year 2)</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360"/>
          </w:cols>
          <w:pgMar w:left="240" w:top="459" w:right="29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Assumptions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Year 1: $20 million investment made in Company A (“Investment A”), $30 million investment made in Company B (“Investment B”) and $25 million investment made in Company C (“Investment C”)</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2: Investment A sold for $50 million, FMV of Investment B determined to be $25 million and FMV of Investment C determined to be $25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3: FMV of Investment B determined to be $27 million and Investment C sold for $30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4: FMV of Investment B determined to be $35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5: Investment B sold for $20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1: None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2: $5 million capital gains incentive fee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20% multiplied by $25 million ($30 million realized capital gains on sale of Investment A less $5 million unrealized capital depreciation on Investment B)</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3: $1.4 million capital gains incentive fee</w:t>
      </w:r>
      <w:r>
        <w:rPr>
          <w:rFonts w:ascii="Arial" w:cs="Arial" w:eastAsia="Arial" w:hAnsi="Arial"/>
          <w:sz w:val="22"/>
          <w:szCs w:val="22"/>
          <w:color w:val="auto"/>
          <w:vertAlign w:val="superscript"/>
        </w:rPr>
        <w:t>( 1)</w:t>
      </w:r>
    </w:p>
    <w:p>
      <w:pPr>
        <w:ind w:left="360"/>
        <w:spacing w:after="0" w:line="230" w:lineRule="auto"/>
        <w:rPr>
          <w:sz w:val="20"/>
          <w:szCs w:val="20"/>
          <w:color w:val="auto"/>
        </w:rPr>
      </w:pPr>
      <w:r>
        <w:rPr>
          <w:rFonts w:ascii="Arial" w:cs="Arial" w:eastAsia="Arial" w:hAnsi="Arial"/>
          <w:sz w:val="14"/>
          <w:szCs w:val="14"/>
          <w:color w:val="auto"/>
        </w:rPr>
        <w:t>$6.4 million cumulative fee (20% multiplied by $32 million ($35 million cumulative realized capital gains less $3 million unrealized capital depreciation)) less $5 million (previous capital gains fee paid in Year 2)</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4: None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5: None</w:t>
      </w:r>
    </w:p>
    <w:p>
      <w:pPr>
        <w:spacing w:after="0" w:line="69" w:lineRule="exact"/>
        <w:rPr>
          <w:sz w:val="20"/>
          <w:szCs w:val="20"/>
          <w:color w:val="auto"/>
        </w:rPr>
      </w:pPr>
    </w:p>
    <w:p>
      <w:pPr>
        <w:ind w:left="360" w:right="180"/>
        <w:spacing w:after="0" w:line="239" w:lineRule="auto"/>
        <w:rPr>
          <w:sz w:val="20"/>
          <w:szCs w:val="20"/>
          <w:color w:val="auto"/>
        </w:rPr>
      </w:pPr>
      <w:r>
        <w:rPr>
          <w:rFonts w:ascii="Arial" w:cs="Arial" w:eastAsia="Arial" w:hAnsi="Arial"/>
          <w:sz w:val="14"/>
          <w:szCs w:val="14"/>
          <w:color w:val="auto"/>
        </w:rPr>
        <w:t>$5 million cumulative fee (20% multiplied by $25 million ($35 million cumulative realized capital gains less $10 million realized capital losses)) less $6.4 million (previous cumulative capital gains fee paid in Year 2 and Year 3)</w:t>
      </w:r>
    </w:p>
    <w:p>
      <w:pPr>
        <w:spacing w:after="0" w:line="206" w:lineRule="exact"/>
        <w:rPr>
          <w:sz w:val="20"/>
          <w:szCs w:val="20"/>
          <w:color w:val="auto"/>
        </w:rPr>
      </w:pPr>
    </w:p>
    <w:p>
      <w:pPr>
        <w:ind w:left="580" w:right="40" w:hanging="572"/>
        <w:spacing w:after="0" w:line="195" w:lineRule="auto"/>
        <w:tabs>
          <w:tab w:leader="none" w:pos="58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As illustrated in Year 3 of Alternative 1 above, if PennantPark Floating Rate Capital Ltd. were to be wound up on a date other than December 31 of any year,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8661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Duration and Termination</w:t>
      </w:r>
    </w:p>
    <w:p>
      <w:pPr>
        <w:spacing w:after="0" w:line="71"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The Investment Management Agreement was re-approved by our board of directors, including a majority of our directors who are not interested persons of us or the Investment Adviser, in February 2013. Unless terminated earlier as described below, the Investment Management Agreement will continue in effect for a period of one 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27" w:lineRule="exact"/>
        <w:rPr>
          <w:sz w:val="20"/>
          <w:szCs w:val="20"/>
          <w:color w:val="auto"/>
        </w:rPr>
      </w:pPr>
    </w:p>
    <w:p>
      <w:pPr>
        <w:ind w:right="60" w:firstLine="456"/>
        <w:spacing w:after="0" w:line="288" w:lineRule="auto"/>
        <w:rPr>
          <w:sz w:val="20"/>
          <w:szCs w:val="20"/>
          <w:color w:val="auto"/>
        </w:rPr>
      </w:pPr>
      <w:r>
        <w:rPr>
          <w:rFonts w:ascii="Arial" w:cs="Arial" w:eastAsia="Arial" w:hAnsi="Arial"/>
          <w:sz w:val="12"/>
          <w:szCs w:val="12"/>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we are or our Investment Adviser is unable to hire and retain qualified personnel or if we lose any member of our management team, our ability to achieve our investment objectives could be significantly harmed.”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of the Investment Adviser</w:t>
      </w:r>
    </w:p>
    <w:p>
      <w:pPr>
        <w:spacing w:after="0" w:line="69" w:lineRule="exact"/>
        <w:rPr>
          <w:sz w:val="20"/>
          <w:szCs w:val="20"/>
          <w:color w:val="auto"/>
        </w:rPr>
      </w:pPr>
    </w:p>
    <w:p>
      <w:pPr>
        <w:ind w:right="540" w:firstLine="456"/>
        <w:spacing w:after="0" w:line="239" w:lineRule="auto"/>
        <w:rPr>
          <w:sz w:val="20"/>
          <w:szCs w:val="20"/>
          <w:color w:val="auto"/>
        </w:rPr>
      </w:pPr>
      <w:r>
        <w:rPr>
          <w:rFonts w:ascii="Arial" w:cs="Arial" w:eastAsia="Arial" w:hAnsi="Arial"/>
          <w:sz w:val="14"/>
          <w:szCs w:val="14"/>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Administration Agreement</w:t>
      </w:r>
    </w:p>
    <w:p>
      <w:pPr>
        <w:spacing w:after="0" w:line="71" w:lineRule="exact"/>
        <w:rPr>
          <w:sz w:val="20"/>
          <w:szCs w:val="20"/>
          <w:color w:val="auto"/>
        </w:rPr>
      </w:pPr>
    </w:p>
    <w:p>
      <w:pPr>
        <w:ind w:firstLine="456"/>
        <w:spacing w:after="0" w:line="263" w:lineRule="auto"/>
        <w:rPr>
          <w:sz w:val="20"/>
          <w:szCs w:val="20"/>
          <w:color w:val="auto"/>
        </w:rPr>
      </w:pPr>
      <w:r>
        <w:rPr>
          <w:rFonts w:ascii="Arial" w:cs="Arial" w:eastAsia="Arial" w:hAnsi="Arial"/>
          <w:sz w:val="12"/>
          <w:szCs w:val="12"/>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For the three and nine months ended June 30, 2013, the Investment Adviser and Administrator, collectively, were reimbursed approximately $0.1 million and $0.3 million, respectively, from us, including expenses it incurred on behalf of the Administrator, for services described above. For the three and nine months ended June 30, 2012, the Investment Adviser was reimbursed approximately less than $0.1 million and $0.2 million, respectively in total from us, including expenses it incurred on behalf of the Administrator, for services described above. For the year ended September 30, 2012, the Investment Adviser and Administrator, collectively, were reimbursed approximately $0.2 million, from us, including expenses incurred by the Investment Adviser on behalf of the Administrator, for the services described above. For the period March 4, 2011 (commencement of operations) to September 30, 2011, the Investment Adviser and Administrator, collectively, were reimbursed approximately $0.1 million from us, including expenses the Investment Adviser incurred on behalf of the Administrator, for the services described above.</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w:t>
      </w:r>
    </w:p>
    <w:p>
      <w:pPr>
        <w:spacing w:after="0" w:line="69"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The Administration Agreement was re-approved by our board of directors, including a majority of our directors who are not interested persons of us, in February 2013. Unless terminated earlier as described below, our Administration Agreement will continue in effect for a period of one 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The Administration Agreement may not be assigned by either party without the consent of the other party. The Administration Agreement may be terminated by either party without penalty upon not more than 60 days’ written notice to the other. See “Risk Factors—Risks Relating to our Business and Structure—We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 for more information.</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69"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License Agreement</w:t>
      </w:r>
    </w:p>
    <w:p>
      <w:pPr>
        <w:spacing w:after="0" w:line="71"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Load Repayment</w:t>
      </w:r>
    </w:p>
    <w:p>
      <w:pPr>
        <w:spacing w:after="0" w:line="71"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 (b) upon our liquidation. Based on actual returns, we met the conditions for repayment to the Investment Adviser at the end of the quarter ended December 31, 2012 and repaid approximately $2.1 million to the Investment Adviser, which then used such amounts to purchase shares of our common stock in the secondary market.</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280"/>
          </w:cols>
          <w:pgMar w:left="240" w:top="459" w:right="3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DETERMINATION OF NET ASSET VALUE</w:t>
      </w:r>
    </w:p>
    <w:p>
      <w:pPr>
        <w:spacing w:after="0" w:line="71" w:lineRule="exact"/>
        <w:rPr>
          <w:sz w:val="20"/>
          <w:szCs w:val="20"/>
          <w:color w:val="auto"/>
        </w:rPr>
      </w:pPr>
    </w:p>
    <w:p>
      <w:pPr>
        <w:jc w:val="center"/>
        <w:ind w:right="140"/>
        <w:spacing w:after="0"/>
        <w:rPr>
          <w:sz w:val="20"/>
          <w:szCs w:val="20"/>
          <w:color w:val="auto"/>
        </w:rPr>
      </w:pPr>
      <w:r>
        <w:rPr>
          <w:rFonts w:ascii="Arial" w:cs="Arial" w:eastAsia="Arial" w:hAnsi="Arial"/>
          <w:sz w:val="12"/>
          <w:szCs w:val="12"/>
          <w:color w:val="auto"/>
        </w:rPr>
        <w:t>The net asset value per share of our outstanding shares of common stock is determined quarterly by dividing the value of total assets minus liabilities by the total number of shares outstanding.</w:t>
      </w:r>
    </w:p>
    <w:p>
      <w:pPr>
        <w:spacing w:after="0" w:line="92" w:lineRule="exact"/>
        <w:rPr>
          <w:sz w:val="20"/>
          <w:szCs w:val="20"/>
          <w:color w:val="auto"/>
        </w:rPr>
      </w:pPr>
    </w:p>
    <w:p>
      <w:pPr>
        <w:ind w:right="40" w:firstLine="456"/>
        <w:spacing w:after="0" w:line="273" w:lineRule="auto"/>
        <w:rPr>
          <w:sz w:val="20"/>
          <w:szCs w:val="20"/>
          <w:color w:val="auto"/>
        </w:rPr>
      </w:pPr>
      <w:r>
        <w:rPr>
          <w:rFonts w:ascii="Arial" w:cs="Arial" w:eastAsia="Arial" w:hAnsi="Arial"/>
          <w:sz w:val="12"/>
          <w:szCs w:val="12"/>
          <w:color w:val="auto"/>
        </w:rPr>
        <w:t>As a BDC, we generally invest in illiquid securities including debt and equity investments of middle-market companies.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value.</w:t>
      </w:r>
    </w:p>
    <w:p>
      <w:pPr>
        <w:spacing w:after="0" w:line="39" w:lineRule="exact"/>
        <w:rPr>
          <w:sz w:val="20"/>
          <w:szCs w:val="20"/>
          <w:color w:val="auto"/>
        </w:rPr>
      </w:pPr>
    </w:p>
    <w:p>
      <w:pPr>
        <w:ind w:firstLine="456"/>
        <w:spacing w:after="0" w:line="226" w:lineRule="auto"/>
        <w:rPr>
          <w:sz w:val="20"/>
          <w:szCs w:val="20"/>
          <w:color w:val="auto"/>
        </w:rPr>
      </w:pPr>
      <w:r>
        <w:rPr>
          <w:rFonts w:ascii="Arial" w:cs="Arial" w:eastAsia="Arial" w:hAnsi="Arial"/>
          <w:sz w:val="14"/>
          <w:szCs w:val="14"/>
          <w:color w:val="auto"/>
        </w:rPr>
        <w:t>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w:t>
      </w:r>
    </w:p>
    <w:p>
      <w:pPr>
        <w:spacing w:after="0" w:line="60"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8" w:lineRule="exact"/>
        <w:rPr>
          <w:sz w:val="20"/>
          <w:szCs w:val="20"/>
          <w:color w:val="auto"/>
        </w:rPr>
      </w:pPr>
    </w:p>
    <w:p>
      <w:pPr>
        <w:ind w:left="680" w:right="380" w:hanging="334"/>
        <w:spacing w:after="0" w:line="239" w:lineRule="auto"/>
        <w:tabs>
          <w:tab w:leader="none" w:pos="6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jc w:val="both"/>
        <w:ind w:left="680" w:right="180" w:hanging="334"/>
        <w:spacing w:after="0" w:line="233" w:lineRule="auto"/>
        <w:tabs>
          <w:tab w:leader="none" w:pos="6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57" w:lineRule="exact"/>
        <w:rPr>
          <w:rFonts w:ascii="Arial" w:cs="Arial" w:eastAsia="Arial" w:hAnsi="Arial"/>
          <w:sz w:val="14"/>
          <w:szCs w:val="14"/>
          <w:color w:val="auto"/>
        </w:rPr>
      </w:pPr>
    </w:p>
    <w:p>
      <w:pPr>
        <w:ind w:left="680" w:right="140" w:hanging="334"/>
        <w:spacing w:after="0" w:line="239" w:lineRule="auto"/>
        <w:tabs>
          <w:tab w:leader="none" w:pos="6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7" w:lineRule="exact"/>
        <w:rPr>
          <w:rFonts w:ascii="Arial" w:cs="Arial" w:eastAsia="Arial" w:hAnsi="Arial"/>
          <w:sz w:val="14"/>
          <w:szCs w:val="14"/>
          <w:color w:val="auto"/>
        </w:rPr>
      </w:pPr>
    </w:p>
    <w:p>
      <w:pPr>
        <w:ind w:left="680" w:right="440" w:hanging="334"/>
        <w:spacing w:after="0" w:line="239" w:lineRule="auto"/>
        <w:tabs>
          <w:tab w:leader="none" w:pos="6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board of directors discusses these valuations and determines the fair value of each investment in our portfolio in good faith, based on the input of our Investment Adviser, the independent valuation firms and the audit committee.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To the extent we invest in derivative instruments in the future, such instruments would be valued at fair value in accordance with our valuation policy.</w:t>
      </w:r>
    </w:p>
    <w:p>
      <w:pPr>
        <w:spacing w:after="0" w:line="150" w:lineRule="exact"/>
        <w:rPr>
          <w:sz w:val="20"/>
          <w:szCs w:val="20"/>
          <w:color w:val="auto"/>
        </w:rPr>
      </w:pPr>
    </w:p>
    <w:p>
      <w:pPr>
        <w:ind w:right="140"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at the reporting period date.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Determinations In Connection With Offerings</w:t>
      </w:r>
    </w:p>
    <w:p>
      <w:pPr>
        <w:spacing w:after="0" w:line="71"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2"/>
          <w:szCs w:val="12"/>
          <w:color w:val="auto"/>
        </w:rPr>
        <w:t>In connection with each offering of shares of our common stock, our board of directors or a committee thereof is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0" w:lineRule="exact"/>
        <w:rPr>
          <w:sz w:val="20"/>
          <w:szCs w:val="20"/>
          <w:color w:val="auto"/>
        </w:rPr>
      </w:pPr>
    </w:p>
    <w:p>
      <w:pPr>
        <w:ind w:left="540" w:hanging="316"/>
        <w:spacing w:after="0"/>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net asset value of our common stock disclosed in the most recent periodic report that we filed with the SEC;</w:t>
      </w:r>
    </w:p>
    <w:p>
      <w:pPr>
        <w:spacing w:after="0" w:line="55" w:lineRule="exact"/>
        <w:rPr>
          <w:rFonts w:ascii="Arial" w:cs="Arial" w:eastAsia="Arial" w:hAnsi="Arial"/>
          <w:sz w:val="14"/>
          <w:szCs w:val="14"/>
          <w:color w:val="auto"/>
        </w:rPr>
      </w:pPr>
    </w:p>
    <w:p>
      <w:pPr>
        <w:ind w:left="540" w:right="160" w:hanging="316"/>
        <w:spacing w:after="0" w:line="233"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44"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and our board of directors decides that such an offering is in the best interest of our common stockholders, then we may undertake such an offering. See “Sales Of Common Stock Below Net Asset Value” for more information.</w:t>
      </w:r>
    </w:p>
    <w:p>
      <w:pPr>
        <w:spacing w:after="0" w:line="140"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20" w:lineRule="exact"/>
        <w:rPr>
          <w:sz w:val="20"/>
          <w:szCs w:val="20"/>
          <w:color w:val="auto"/>
        </w:rPr>
      </w:pPr>
    </w:p>
    <w:p>
      <w:pPr>
        <w:ind w:firstLine="456"/>
        <w:spacing w:after="0" w:line="267" w:lineRule="auto"/>
        <w:rPr>
          <w:sz w:val="20"/>
          <w:szCs w:val="20"/>
          <w:color w:val="auto"/>
        </w:rPr>
      </w:pPr>
      <w:r>
        <w:rPr>
          <w:rFonts w:ascii="Arial" w:cs="Arial" w:eastAsia="Arial" w:hAnsi="Arial"/>
          <w:sz w:val="12"/>
          <w:szCs w:val="12"/>
          <w:color w:val="auto"/>
        </w:rPr>
        <w:t>We may, however, subject to the requirements of the 1940 Act, issue subscription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276"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DIVIDEND REINVESTMENT PLAN</w:t>
      </w:r>
    </w:p>
    <w:p>
      <w:pPr>
        <w:spacing w:after="0" w:line="152"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39"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40"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Those stockholders whose shares are held by a broker or other financial intermediary may receive dividends and other distributions in cash by notifying their broker or other financial intermediary of their election.</w:t>
      </w:r>
    </w:p>
    <w:p>
      <w:pPr>
        <w:spacing w:after="0" w:line="139"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Generally, we intend to issue shares to implement the plan, when our shares are trading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1" w:lineRule="exact"/>
        <w:rPr>
          <w:sz w:val="20"/>
          <w:szCs w:val="20"/>
          <w:color w:val="auto"/>
        </w:rPr>
      </w:pPr>
    </w:p>
    <w:p>
      <w:pPr>
        <w:ind w:right="180" w:firstLine="456"/>
        <w:spacing w:after="0" w:line="230" w:lineRule="auto"/>
        <w:rPr>
          <w:sz w:val="20"/>
          <w:szCs w:val="20"/>
          <w:color w:val="auto"/>
        </w:rPr>
      </w:pPr>
      <w:r>
        <w:rPr>
          <w:rFonts w:ascii="Arial" w:cs="Arial" w:eastAsia="Arial" w:hAnsi="Arial"/>
          <w:sz w:val="14"/>
          <w:szCs w:val="14"/>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39"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 xml:space="preserve">Participants may terminate their accounts under the plan by notifying the plan administrator via its website at </w:t>
      </w:r>
      <w:r>
        <w:rPr>
          <w:rFonts w:ascii="Arial" w:cs="Arial" w:eastAsia="Arial" w:hAnsi="Arial"/>
          <w:sz w:val="14"/>
          <w:szCs w:val="14"/>
          <w:i w:val="1"/>
          <w:iCs w:val="1"/>
          <w:u w:val="single" w:color="auto"/>
          <w:color w:val="auto"/>
        </w:rPr>
        <w:t>www.amstock.com</w:t>
      </w:r>
      <w:r>
        <w:rPr>
          <w:rFonts w:ascii="Arial" w:cs="Arial" w:eastAsia="Arial" w:hAnsi="Arial"/>
          <w:sz w:val="14"/>
          <w:szCs w:val="14"/>
          <w:color w:val="auto"/>
        </w:rPr>
        <w:t xml:space="preserve"> or by filling out the transaction request form located at bottom of their statement and sending it to the plan administrator.</w:t>
      </w:r>
    </w:p>
    <w:p>
      <w:pPr>
        <w:spacing w:after="0" w:line="139" w:lineRule="exact"/>
        <w:rPr>
          <w:sz w:val="20"/>
          <w:szCs w:val="20"/>
          <w:color w:val="auto"/>
        </w:rPr>
      </w:pPr>
    </w:p>
    <w:p>
      <w:pPr>
        <w:ind w:right="60" w:firstLine="456"/>
        <w:spacing w:after="0" w:line="195" w:lineRule="auto"/>
        <w:rPr>
          <w:sz w:val="20"/>
          <w:szCs w:val="20"/>
          <w:color w:val="auto"/>
        </w:rPr>
      </w:pPr>
      <w:r>
        <w:rPr>
          <w:rFonts w:ascii="Arial" w:cs="Arial" w:eastAsia="Arial" w:hAnsi="Arial"/>
          <w:sz w:val="14"/>
          <w:szCs w:val="14"/>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Avenue, 3</w:t>
      </w:r>
      <w:r>
        <w:rPr>
          <w:rFonts w:ascii="Arial" w:cs="Arial" w:eastAsia="Arial" w:hAnsi="Arial"/>
          <w:sz w:val="22"/>
          <w:szCs w:val="22"/>
          <w:color w:val="auto"/>
          <w:vertAlign w:val="superscript"/>
        </w:rPr>
        <w:t>rd</w:t>
      </w:r>
      <w:r>
        <w:rPr>
          <w:rFonts w:ascii="Arial" w:cs="Arial" w:eastAsia="Arial" w:hAnsi="Arial"/>
          <w:sz w:val="14"/>
          <w:szCs w:val="14"/>
          <w:color w:val="auto"/>
        </w:rPr>
        <w:t xml:space="preserve"> Floor, Brooklyn, New York 11219, or by the plan administrator’s Interactive Voice Response System at 1-800-278-4353.</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OUR CAPITAL STOCK</w:t>
      </w:r>
    </w:p>
    <w:p>
      <w:pPr>
        <w:spacing w:after="0" w:line="152"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Stock</w:t>
      </w:r>
    </w:p>
    <w:p>
      <w:pPr>
        <w:spacing w:after="0" w:line="71"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As of September 13, 2013, our authorized capital stock consisted of 100,000,000 shares of stock, par value $0.001 per share, all of which is classified as common stock. Our common stock is quoted on the NASDAQ Global Select Market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last reported closing market price of our common stock on September 13, 2013 was $13.61 per share. As of September 13, 2013, we had five stockholders of record.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20" w:type="dxa"/>
            <w:vAlign w:val="bottom"/>
            <w:gridSpan w:val="2"/>
          </w:tcPr>
          <w:p>
            <w:pPr>
              <w:ind w:left="460"/>
              <w:spacing w:after="0"/>
              <w:rPr>
                <w:sz w:val="20"/>
                <w:szCs w:val="20"/>
                <w:color w:val="auto"/>
              </w:rPr>
            </w:pPr>
            <w:r>
              <w:rPr>
                <w:rFonts w:ascii="Arial" w:cs="Arial" w:eastAsia="Arial" w:hAnsi="Arial"/>
                <w:sz w:val="14"/>
                <w:szCs w:val="14"/>
                <w:color w:val="auto"/>
              </w:rPr>
              <w:t>The following are our outstanding classes of securities as of September 13, 2013:</w:t>
            </w: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25"/>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2"/>
          </w:tcPr>
          <w:p>
            <w:pPr>
              <w:ind w:left="460"/>
              <w:spacing w:after="0"/>
              <w:rPr>
                <w:sz w:val="20"/>
                <w:szCs w:val="20"/>
                <w:color w:val="auto"/>
              </w:rPr>
            </w:pPr>
            <w:r>
              <w:rPr>
                <w:rFonts w:ascii="Arial" w:cs="Arial" w:eastAsia="Arial" w:hAnsi="Arial"/>
                <w:sz w:val="14"/>
                <w:szCs w:val="14"/>
                <w:b w:val="1"/>
                <w:bCs w:val="1"/>
                <w:color w:val="auto"/>
              </w:rPr>
              <w:t>Amount Held by</w:t>
            </w:r>
          </w:p>
        </w:tc>
        <w:tc>
          <w:tcPr>
            <w:tcW w:w="1820" w:type="dxa"/>
            <w:vAlign w:val="bottom"/>
          </w:tcPr>
          <w:p>
            <w:pPr>
              <w:spacing w:after="0"/>
              <w:rPr>
                <w:sz w:val="24"/>
                <w:szCs w:val="24"/>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ind w:left="680"/>
              <w:spacing w:after="0" w:line="149" w:lineRule="exact"/>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7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 of Class</w:t>
            </w:r>
          </w:p>
        </w:tc>
        <w:tc>
          <w:tcPr>
            <w:tcW w:w="1940" w:type="dxa"/>
            <w:vAlign w:val="bottom"/>
            <w:gridSpan w:val="2"/>
          </w:tcPr>
          <w:p>
            <w:pPr>
              <w:ind w:left="560"/>
              <w:spacing w:after="0"/>
              <w:rPr>
                <w:sz w:val="20"/>
                <w:szCs w:val="20"/>
                <w:color w:val="auto"/>
              </w:rPr>
            </w:pPr>
            <w:r>
              <w:rPr>
                <w:rFonts w:ascii="Arial" w:cs="Arial" w:eastAsia="Arial" w:hAnsi="Arial"/>
                <w:sz w:val="14"/>
                <w:szCs w:val="14"/>
                <w:b w:val="1"/>
                <w:bCs w:val="1"/>
                <w:color w:val="auto"/>
              </w:rPr>
              <w:t>Authorized</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Account</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r>
      <w:tr>
        <w:trPr>
          <w:trHeight w:val="55"/>
        </w:trPr>
        <w:tc>
          <w:tcPr>
            <w:tcW w:w="5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16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par value $0.001 per share</w:t>
            </w: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100,000,000</w:t>
            </w: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ind w:left="17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14,898,056</w:t>
            </w:r>
          </w:p>
        </w:tc>
      </w:tr>
      <w:tr>
        <w:trPr>
          <w:trHeight w:val="44"/>
        </w:trPr>
        <w:tc>
          <w:tcPr>
            <w:tcW w:w="5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r>
    </w:tbl>
    <w:p>
      <w:pPr>
        <w:spacing w:after="0" w:line="151" w:lineRule="exact"/>
        <w:rPr>
          <w:sz w:val="20"/>
          <w:szCs w:val="20"/>
          <w:color w:val="auto"/>
        </w:rPr>
      </w:pPr>
    </w:p>
    <w:p>
      <w:pPr>
        <w:jc w:val="both"/>
        <w:ind w:right="280" w:firstLine="456"/>
        <w:spacing w:after="0" w:line="288" w:lineRule="auto"/>
        <w:rPr>
          <w:sz w:val="20"/>
          <w:szCs w:val="20"/>
          <w:color w:val="auto"/>
        </w:rPr>
      </w:pPr>
      <w:r>
        <w:rPr>
          <w:rFonts w:ascii="Arial" w:cs="Arial" w:eastAsia="Arial" w:hAnsi="Arial"/>
          <w:sz w:val="12"/>
          <w:szCs w:val="12"/>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71" w:lineRule="exact"/>
        <w:rPr>
          <w:sz w:val="20"/>
          <w:szCs w:val="20"/>
          <w:color w:val="auto"/>
        </w:rPr>
      </w:pPr>
    </w:p>
    <w:p>
      <w:pPr>
        <w:ind w:right="160" w:firstLine="456"/>
        <w:spacing w:after="0" w:line="266" w:lineRule="auto"/>
        <w:rPr>
          <w:sz w:val="20"/>
          <w:szCs w:val="20"/>
          <w:color w:val="auto"/>
        </w:rPr>
      </w:pPr>
      <w:r>
        <w:rPr>
          <w:rFonts w:ascii="Arial" w:cs="Arial" w:eastAsia="Arial" w:hAnsi="Arial"/>
          <w:sz w:val="12"/>
          <w:szCs w:val="12"/>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 on Liability of Directors and Officers; Indemnification and Advance of Expenses</w:t>
      </w:r>
    </w:p>
    <w:p>
      <w:pPr>
        <w:spacing w:after="0" w:line="71" w:lineRule="exact"/>
        <w:rPr>
          <w:sz w:val="20"/>
          <w:szCs w:val="20"/>
          <w:color w:val="auto"/>
        </w:rPr>
      </w:pPr>
    </w:p>
    <w:p>
      <w:pPr>
        <w:ind w:right="160" w:firstLine="456"/>
        <w:spacing w:after="0" w:line="288" w:lineRule="auto"/>
        <w:rPr>
          <w:sz w:val="20"/>
          <w:szCs w:val="20"/>
          <w:color w:val="auto"/>
        </w:rPr>
      </w:pPr>
      <w:r>
        <w:rPr>
          <w:rFonts w:ascii="Arial" w:cs="Arial" w:eastAsia="Arial" w:hAnsi="Arial"/>
          <w:sz w:val="12"/>
          <w:szCs w:val="12"/>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36"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42" w:lineRule="exact"/>
        <w:rPr>
          <w:sz w:val="20"/>
          <w:szCs w:val="20"/>
          <w:color w:val="auto"/>
        </w:rPr>
      </w:pPr>
    </w:p>
    <w:p>
      <w:pPr>
        <w:ind w:right="80" w:firstLine="456"/>
        <w:spacing w:after="0" w:line="262" w:lineRule="auto"/>
        <w:rPr>
          <w:sz w:val="20"/>
          <w:szCs w:val="20"/>
          <w:color w:val="auto"/>
        </w:rPr>
      </w:pPr>
      <w:r>
        <w:rPr>
          <w:rFonts w:ascii="Arial" w:cs="Arial" w:eastAsia="Arial" w:hAnsi="Arial"/>
          <w:sz w:val="12"/>
          <w:szCs w:val="12"/>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w:t>
      </w:r>
    </w:p>
    <w:p>
      <w:pPr>
        <w:spacing w:after="0" w:line="2" w:lineRule="exact"/>
        <w:rPr>
          <w:sz w:val="20"/>
          <w:szCs w:val="20"/>
          <w:color w:val="auto"/>
        </w:rPr>
      </w:pPr>
    </w:p>
    <w:p>
      <w:pPr>
        <w:ind w:right="20" w:firstLine="8"/>
        <w:spacing w:after="0" w:line="268" w:lineRule="auto"/>
        <w:tabs>
          <w:tab w:leader="none" w:pos="184" w:val="left"/>
        </w:tabs>
        <w:numPr>
          <w:ilvl w:val="0"/>
          <w:numId w:val="45"/>
        </w:numPr>
        <w:rPr>
          <w:rFonts w:ascii="Arial" w:cs="Arial" w:eastAsia="Arial" w:hAnsi="Arial"/>
          <w:sz w:val="12"/>
          <w:szCs w:val="12"/>
          <w:color w:val="auto"/>
        </w:rPr>
      </w:pPr>
      <w:r>
        <w:rPr>
          <w:rFonts w:ascii="Arial" w:cs="Arial" w:eastAsia="Arial" w:hAnsi="Arial"/>
          <w:sz w:val="12"/>
          <w:szCs w:val="12"/>
          <w:color w:val="auto"/>
        </w:rPr>
        <w:t>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Provisions of the Maryland General Corporation Law and our Charter and Bylaws</w:t>
      </w:r>
    </w:p>
    <w:p>
      <w:pPr>
        <w:spacing w:after="0" w:line="71"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Classified board of directors</w:t>
      </w:r>
    </w:p>
    <w:p>
      <w:pPr>
        <w:spacing w:after="0" w:line="69"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Our board of directors is divided into three classes of directors serving staggered three-year terms. The terms of the first, second and third classes will expire at the annual meeting of stockholders held in 2015, 2016, and 2014,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Election of directors</w:t>
      </w:r>
    </w:p>
    <w:p>
      <w:pPr>
        <w:spacing w:after="0" w:line="69"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Our charter and bylaws provide that the affirmative vote of the holders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Number of directors; vacancies; removal</w:t>
      </w:r>
    </w:p>
    <w:p>
      <w:pPr>
        <w:spacing w:after="0" w:line="69"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the minimum number required under the Maryland General Corporation Law nor more than fifteen.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occured and until a successor is elected and qualifies, subject to any applicable requirements of the 1940 Act.</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Our charter provides that a director may be removed only for cause, as defined in our charter, and then only by the affirmative vote of at least two-thirds of the votes entitled to be cast in the election of directors.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Action by stockholders</w:t>
      </w:r>
    </w:p>
    <w:p>
      <w:pPr>
        <w:spacing w:after="0" w:line="69" w:lineRule="exact"/>
        <w:rPr>
          <w:sz w:val="20"/>
          <w:szCs w:val="20"/>
          <w:color w:val="auto"/>
        </w:rPr>
      </w:pPr>
    </w:p>
    <w:p>
      <w:pPr>
        <w:jc w:val="both"/>
        <w:ind w:right="320" w:firstLine="456"/>
        <w:spacing w:after="0" w:line="233" w:lineRule="auto"/>
        <w:rPr>
          <w:sz w:val="20"/>
          <w:szCs w:val="20"/>
          <w:color w:val="auto"/>
        </w:rPr>
      </w:pPr>
      <w:r>
        <w:rPr>
          <w:rFonts w:ascii="Arial" w:cs="Arial" w:eastAsia="Arial" w:hAnsi="Arial"/>
          <w:sz w:val="14"/>
          <w:szCs w:val="14"/>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Calling of special meetings of stockholders</w:t>
      </w:r>
    </w:p>
    <w:p>
      <w:pPr>
        <w:spacing w:after="0" w:line="69"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Approval of extraordinary corporate action; amendment of charter and bylaws</w:t>
      </w:r>
    </w:p>
    <w:p>
      <w:pPr>
        <w:spacing w:after="0" w:line="69"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charter and bylaws provide that the board of directors will have the exclusive power to adopt, alter or repeal any provision of our bylaws and to make new bylaws.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 appraisal rights</w:t>
      </w:r>
    </w:p>
    <w:p>
      <w:pPr>
        <w:spacing w:after="0" w:line="69" w:lineRule="exact"/>
        <w:rPr>
          <w:sz w:val="20"/>
          <w:szCs w:val="20"/>
          <w:color w:val="auto"/>
        </w:rPr>
      </w:pPr>
    </w:p>
    <w:p>
      <w:pPr>
        <w:ind w:right="380" w:firstLine="456"/>
        <w:spacing w:after="0" w:line="239" w:lineRule="auto"/>
        <w:rPr>
          <w:sz w:val="20"/>
          <w:szCs w:val="20"/>
          <w:color w:val="auto"/>
        </w:rPr>
      </w:pPr>
      <w:r>
        <w:rPr>
          <w:rFonts w:ascii="Arial" w:cs="Arial" w:eastAsia="Arial" w:hAnsi="Arial"/>
          <w:sz w:val="14"/>
          <w:szCs w:val="14"/>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Control share acquisitions</w:t>
      </w:r>
    </w:p>
    <w:p>
      <w:pPr>
        <w:spacing w:after="0" w:line="69" w:lineRule="exact"/>
        <w:rPr>
          <w:sz w:val="20"/>
          <w:szCs w:val="20"/>
          <w:color w:val="auto"/>
        </w:rPr>
      </w:pPr>
    </w:p>
    <w:p>
      <w:pPr>
        <w:ind w:right="200" w:firstLine="456"/>
        <w:spacing w:after="0" w:line="278" w:lineRule="auto"/>
        <w:rPr>
          <w:sz w:val="20"/>
          <w:szCs w:val="20"/>
          <w:color w:val="auto"/>
        </w:rPr>
      </w:pPr>
      <w:r>
        <w:rPr>
          <w:rFonts w:ascii="Arial" w:cs="Arial" w:eastAsia="Arial" w:hAnsi="Arial"/>
          <w:sz w:val="12"/>
          <w:szCs w:val="12"/>
          <w:color w:val="auto"/>
        </w:rPr>
        <w:t>The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6" w:lineRule="exact"/>
        <w:rPr>
          <w:sz w:val="20"/>
          <w:szCs w:val="20"/>
          <w:color w:val="auto"/>
        </w:rPr>
      </w:pPr>
    </w:p>
    <w:p>
      <w:pPr>
        <w:ind w:left="540" w:hanging="316"/>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one-tenth or more but less than one-third;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one-third or more but less than a majority; or</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 majority or more of all voting power.</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firstLine="456"/>
        <w:spacing w:after="0" w:line="318" w:lineRule="auto"/>
        <w:rPr>
          <w:sz w:val="20"/>
          <w:szCs w:val="20"/>
          <w:color w:val="auto"/>
        </w:rPr>
      </w:pPr>
      <w:r>
        <w:rPr>
          <w:rFonts w:ascii="Arial" w:cs="Arial" w:eastAsia="Arial" w:hAnsi="Arial"/>
          <w:sz w:val="12"/>
          <w:szCs w:val="12"/>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issued and outstanding control shares, subject to certain exceptions.</w:t>
      </w:r>
    </w:p>
    <w:p>
      <w:pPr>
        <w:spacing w:after="0" w:line="12" w:lineRule="exact"/>
        <w:rPr>
          <w:sz w:val="20"/>
          <w:szCs w:val="20"/>
          <w:color w:val="auto"/>
        </w:rPr>
      </w:pPr>
    </w:p>
    <w:p>
      <w:pPr>
        <w:ind w:right="340" w:firstLine="456"/>
        <w:spacing w:after="0" w:line="233" w:lineRule="auto"/>
        <w:rPr>
          <w:sz w:val="20"/>
          <w:szCs w:val="20"/>
          <w:color w:val="auto"/>
        </w:rPr>
      </w:pPr>
      <w:r>
        <w:rPr>
          <w:rFonts w:ascii="Arial" w:cs="Arial" w:eastAsia="Arial" w:hAnsi="Arial"/>
          <w:sz w:val="14"/>
          <w:szCs w:val="14"/>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58"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59"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58"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Our bylaws contain a provision exempting from the Control Share Acquisition Act any and all acquisitions by any person of our shares of stock. There can be no assurance that such provision will not be amended or eliminated at any time in the future to the extent permitted by the 1940 Act.</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6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58" w:lineRule="exact"/>
        <w:rPr>
          <w:sz w:val="20"/>
          <w:szCs w:val="20"/>
          <w:color w:val="auto"/>
        </w:rPr>
      </w:pPr>
    </w:p>
    <w:p>
      <w:pPr>
        <w:ind w:left="540" w:hanging="316"/>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any person who beneficially owns 10% or more of the voting power of the corporation’s shares; or</w:t>
      </w:r>
    </w:p>
    <w:p>
      <w:pPr>
        <w:spacing w:after="0" w:line="55" w:lineRule="exact"/>
        <w:rPr>
          <w:rFonts w:ascii="Arial" w:cs="Arial" w:eastAsia="Arial" w:hAnsi="Arial"/>
          <w:sz w:val="14"/>
          <w:szCs w:val="14"/>
          <w:color w:val="auto"/>
        </w:rPr>
      </w:pPr>
    </w:p>
    <w:p>
      <w:pPr>
        <w:ind w:left="540" w:right="20" w:hanging="316"/>
        <w:spacing w:after="0" w:line="239" w:lineRule="auto"/>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58" w:lineRule="exact"/>
        <w:rPr>
          <w:sz w:val="20"/>
          <w:szCs w:val="20"/>
          <w:color w:val="auto"/>
        </w:rPr>
      </w:pPr>
    </w:p>
    <w:p>
      <w:pPr>
        <w:ind w:right="40" w:firstLine="456"/>
        <w:spacing w:after="0" w:line="318" w:lineRule="auto"/>
        <w:rPr>
          <w:sz w:val="20"/>
          <w:szCs w:val="20"/>
          <w:color w:val="auto"/>
        </w:rPr>
      </w:pPr>
      <w:r>
        <w:rPr>
          <w:rFonts w:ascii="Arial" w:cs="Arial" w:eastAsia="Arial" w:hAnsi="Arial"/>
          <w:sz w:val="12"/>
          <w:szCs w:val="12"/>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2" w:lineRule="exact"/>
        <w:rPr>
          <w:sz w:val="20"/>
          <w:szCs w:val="20"/>
          <w:color w:val="auto"/>
        </w:rPr>
      </w:pPr>
    </w:p>
    <w:p>
      <w:pPr>
        <w:ind w:right="520" w:firstLine="456"/>
        <w:spacing w:after="0" w:line="239" w:lineRule="auto"/>
        <w:rPr>
          <w:sz w:val="20"/>
          <w:szCs w:val="20"/>
          <w:color w:val="auto"/>
        </w:rPr>
      </w:pPr>
      <w:r>
        <w:rPr>
          <w:rFonts w:ascii="Arial" w:cs="Arial" w:eastAsia="Arial" w:hAnsi="Arial"/>
          <w:sz w:val="14"/>
          <w:szCs w:val="14"/>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8" w:lineRule="exact"/>
        <w:rPr>
          <w:sz w:val="20"/>
          <w:szCs w:val="20"/>
          <w:color w:val="auto"/>
        </w:rPr>
      </w:pPr>
    </w:p>
    <w:p>
      <w:pPr>
        <w:ind w:left="540" w:hanging="316"/>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80% of the votes entitled to be cast by holders of outstanding shares of voting stock of the corporation; and</w:t>
      </w:r>
    </w:p>
    <w:p>
      <w:pPr>
        <w:spacing w:after="0" w:line="55"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58"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57"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Conflict with 1940 Act</w:t>
      </w:r>
    </w:p>
    <w:p>
      <w:pPr>
        <w:spacing w:after="0" w:line="69" w:lineRule="exact"/>
        <w:rPr>
          <w:sz w:val="20"/>
          <w:szCs w:val="20"/>
          <w:color w:val="auto"/>
        </w:rPr>
      </w:pPr>
    </w:p>
    <w:p>
      <w:pPr>
        <w:ind w:right="420" w:firstLine="456"/>
        <w:spacing w:after="0" w:line="239" w:lineRule="auto"/>
        <w:rPr>
          <w:sz w:val="20"/>
          <w:szCs w:val="20"/>
          <w:color w:val="auto"/>
        </w:rPr>
      </w:pPr>
      <w:r>
        <w:rPr>
          <w:rFonts w:ascii="Arial" w:cs="Arial" w:eastAsia="Arial" w:hAnsi="Arial"/>
          <w:sz w:val="14"/>
          <w:szCs w:val="14"/>
          <w:color w:val="auto"/>
        </w:rPr>
        <w:t>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OUR PREFERRED STOCK</w:t>
      </w:r>
    </w:p>
    <w:p>
      <w:pPr>
        <w:spacing w:after="0" w:line="152"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For any series of preferred stock that we may issue, our board of directors will determine and the prospectus supplement relating to such series will describe:</w:t>
      </w:r>
    </w:p>
    <w:p>
      <w:pPr>
        <w:spacing w:after="0" w:line="69" w:lineRule="exact"/>
        <w:rPr>
          <w:sz w:val="20"/>
          <w:szCs w:val="20"/>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designation and number of shares of such series;</w:t>
      </w:r>
    </w:p>
    <w:p>
      <w:pPr>
        <w:spacing w:after="0" w:line="55" w:lineRule="exact"/>
        <w:rPr>
          <w:rFonts w:ascii="Arial" w:cs="Arial" w:eastAsia="Arial" w:hAnsi="Arial"/>
          <w:sz w:val="14"/>
          <w:szCs w:val="14"/>
          <w:color w:val="auto"/>
        </w:rPr>
      </w:pPr>
    </w:p>
    <w:p>
      <w:pPr>
        <w:ind w:left="540" w:right="40" w:hanging="316"/>
        <w:spacing w:after="0" w:line="239" w:lineRule="auto"/>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provisions relating to convertibility or exchangeability of the shares of such series;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rights and preferences, if any, of holders of shares of such series upon our liquidation, dissolution or winding up of our affairs;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voting powers, if any, of the holders of shares of such series;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provisions relating to the redemption of the shares of such series;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limitations on our ability to pay dividends or make distributions on, or acquire or redeem, other securities while shares of such series are outstanding;</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conditions or restrictions on our ability to issue additional shares of such series or other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if applicable, a discussion of certain U.S. federal income tax considerations;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other relative power, preferences and participating, optional or special rights of shares of such series, and the qualifications, limitations or restrictions thereof.</w:t>
      </w:r>
    </w:p>
    <w:p>
      <w:pPr>
        <w:spacing w:after="0" w:line="150"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WARRANTS</w:t>
      </w:r>
    </w:p>
    <w:p>
      <w:pPr>
        <w:spacing w:after="0" w:line="152"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The following is a general description of the terms of the warrants we may issue from time to time. Particular terms of any warrants we offer will be described in the prospectus supplement relating to such warrants.</w:t>
      </w:r>
    </w:p>
    <w:p>
      <w:pPr>
        <w:spacing w:after="0" w:line="139"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prospectus supplement will describe the particular terms of any series of warrants we may issue, including the following:</w:t>
      </w:r>
    </w:p>
    <w:p>
      <w:pPr>
        <w:spacing w:after="0" w:line="69" w:lineRule="exact"/>
        <w:rPr>
          <w:sz w:val="20"/>
          <w:szCs w:val="20"/>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title of such warrants;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aggregate number of such warrants;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price or prices at which such warrants will be issued;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currency or currencies, including composite currencies, in which the price of such warrants may be payable;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if applicable, the designation and terms of the securities with which the warrants are issued and the number of warrants issued with each such security or each principal amount of such security;</w:t>
      </w:r>
    </w:p>
    <w:p>
      <w:pPr>
        <w:spacing w:after="0" w:line="78" w:lineRule="exact"/>
        <w:rPr>
          <w:rFonts w:ascii="Arial" w:cs="Arial" w:eastAsia="Arial" w:hAnsi="Arial"/>
          <w:sz w:val="12"/>
          <w:szCs w:val="12"/>
          <w:color w:val="auto"/>
        </w:rPr>
      </w:pPr>
    </w:p>
    <w:p>
      <w:pPr>
        <w:ind w:left="540" w:right="300" w:hanging="316"/>
        <w:spacing w:after="0" w:line="239" w:lineRule="auto"/>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3" w:lineRule="exact"/>
        <w:rPr>
          <w:rFonts w:ascii="Arial" w:cs="Arial" w:eastAsia="Arial" w:hAnsi="Arial"/>
          <w:sz w:val="14"/>
          <w:szCs w:val="14"/>
          <w:color w:val="auto"/>
        </w:rPr>
      </w:pPr>
    </w:p>
    <w:p>
      <w:pPr>
        <w:ind w:left="540" w:right="200" w:hanging="316"/>
        <w:spacing w:after="0" w:line="239" w:lineRule="auto"/>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date on which the right to exercise such warrants will commence and the date on which such right will expire;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whether such warrants will be issued in registered form or bearer form;</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if applicable, the minimum or maximum amount of such warrants which may be exercised at any one time;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if applicable, the date on and after which such warrants and the related securities will be separately transferable;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information with respect to book-entry procedures, if any;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terms of the securities issuable upon exercise of the warrants;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if applicable, a discussion of certain U.S. federal income tax considerations;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any other terms of such warrants, including terms, procedures and limitations relating to the exchange and exercise of such warrants.</w:t>
      </w:r>
    </w:p>
    <w:p>
      <w:pPr>
        <w:spacing w:after="0" w:line="150"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39" w:lineRule="exact"/>
        <w:rPr>
          <w:sz w:val="20"/>
          <w:szCs w:val="20"/>
          <w:color w:val="auto"/>
        </w:rPr>
      </w:pPr>
    </w:p>
    <w:p>
      <w:pPr>
        <w:ind w:right="220" w:firstLine="456"/>
        <w:spacing w:after="0" w:line="288" w:lineRule="auto"/>
        <w:rPr>
          <w:sz w:val="20"/>
          <w:szCs w:val="20"/>
          <w:color w:val="auto"/>
        </w:rPr>
      </w:pPr>
      <w:r>
        <w:rPr>
          <w:rFonts w:ascii="Arial" w:cs="Arial" w:eastAsia="Arial" w:hAnsi="Arial"/>
          <w:sz w:val="12"/>
          <w:szCs w:val="12"/>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1"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SUBSCRIPTION RIGHTS</w:t>
      </w:r>
    </w:p>
    <w:p>
      <w:pPr>
        <w:spacing w:after="0" w:line="152" w:lineRule="exact"/>
        <w:rPr>
          <w:sz w:val="20"/>
          <w:szCs w:val="20"/>
          <w:color w:val="auto"/>
        </w:rPr>
      </w:pPr>
    </w:p>
    <w:p>
      <w:pPr>
        <w:ind w:right="80" w:firstLine="456"/>
        <w:spacing w:after="0" w:line="268" w:lineRule="auto"/>
        <w:rPr>
          <w:sz w:val="20"/>
          <w:szCs w:val="20"/>
          <w:color w:val="auto"/>
        </w:rPr>
      </w:pPr>
      <w:r>
        <w:rPr>
          <w:rFonts w:ascii="Arial" w:cs="Arial" w:eastAsia="Arial" w:hAnsi="Arial"/>
          <w:sz w:val="12"/>
          <w:szCs w:val="12"/>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applicable prospectus supplement would describe the following terms of subscription rights in respect of which this prospectus is being delivered:</w:t>
      </w:r>
    </w:p>
    <w:p>
      <w:pPr>
        <w:spacing w:after="0" w:line="69" w:lineRule="exact"/>
        <w:rPr>
          <w:sz w:val="20"/>
          <w:szCs w:val="20"/>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title of such subscription rights;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exercise price or a formula for the determination of the exercise price for such subscription rights;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number or a formula for the determination of the number of such subscription rights issued to each stockholder;</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extent to which such subscription rights are transferable;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if applicable, a discussion of the material U.S. federal income tax considerations applicable to the issuance or exercise of such subscription rights;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date on which the right to exercise such subscription rights would commence, and the date on which such rights will expire (subject to any extension);</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extent to which such subscription rights include an over-subscription privilege with respect to unsubscribed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if applicable, the material terms of any standby underwriting or other purchase arrangement that we may enter into in connection with the subscription rights offering;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any other terms of such subscription rights, including terms, procedures and limitations relating to the exchange and exercise of such subscription rights.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Exercise of Subscription Rights</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39"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DEBT SECURITIES</w:t>
      </w:r>
    </w:p>
    <w:p>
      <w:pPr>
        <w:spacing w:after="0" w:line="152"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39"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third paragraph under “Description of our Debt Securities—Events of Default.” Second, the trustee performs certain administrative duties for us, such as sending interest and principal payments to holders.</w:t>
      </w:r>
    </w:p>
    <w:p>
      <w:pPr>
        <w:spacing w:after="0" w:line="117"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prospectus supplement, which will accompany this prospectus, will describe the particular series of debt securities being offered by including:</w:t>
      </w:r>
    </w:p>
    <w:p>
      <w:pPr>
        <w:spacing w:after="0" w:line="55" w:lineRule="exact"/>
        <w:rPr>
          <w:sz w:val="20"/>
          <w:szCs w:val="20"/>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designation or title of the series of debt securities;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total principal amount of the series of debt securities and whether or not the offering may be reopened for additional securities of that series and on what terms;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percentage of the principal amount at which the series of debt securities will be offered;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date or dates on which principal will be payable;</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rate or rates (which may be either fixed or variable) and/or the method of determining such rate or rates of interest, if any;</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date or dates from which any interest will accrue, or the method of determining such date or dates, and the date or dates on which any interest will be payable;</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terms for redemption, extension or early repayment, if any;</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currencies in which the series of debt securities are issued and payable;</w:t>
      </w:r>
    </w:p>
    <w:p>
      <w:pPr>
        <w:spacing w:after="0" w:line="14" w:lineRule="exact"/>
        <w:rPr>
          <w:rFonts w:ascii="Arial" w:cs="Arial" w:eastAsia="Arial" w:hAnsi="Arial"/>
          <w:sz w:val="14"/>
          <w:szCs w:val="14"/>
          <w:color w:val="auto"/>
        </w:rPr>
      </w:pPr>
    </w:p>
    <w:p>
      <w:pPr>
        <w:ind w:left="540" w:right="20" w:hanging="316"/>
        <w:spacing w:after="0" w:line="239" w:lineRule="auto"/>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3"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place or places, if any, other than or in addition to The City of New York, of payment, transfer, conversion and/or exchange of the debt securities;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denominations in which the offered debt securities will be issued;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provision for any sinking fund;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restrictive covenants;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Events of Default;</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whether the series of debt securities are issuable in certificated form;</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provisions for defeasance or covenant defeasance;</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special federal income tax implications, including, if applicable, federal income tax considerations relating to original issue discount;</w:t>
      </w:r>
    </w:p>
    <w:p>
      <w:pPr>
        <w:spacing w:after="0" w:line="14"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3"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provisions for convertibility or exchangeability of the debt securities into or for any other securities;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whether the debt securities are subject to subordination and the terms of such subordination;</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listing, if any, on a securities exchange; and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other terms.</w:t>
      </w:r>
    </w:p>
    <w:p>
      <w:pPr>
        <w:spacing w:after="0" w:line="150" w:lineRule="exact"/>
        <w:rPr>
          <w:sz w:val="20"/>
          <w:szCs w:val="20"/>
          <w:color w:val="auto"/>
        </w:rPr>
      </w:pPr>
    </w:p>
    <w:p>
      <w:pPr>
        <w:jc w:val="both"/>
        <w:ind w:right="160" w:firstLine="456"/>
        <w:spacing w:after="0" w:line="233" w:lineRule="auto"/>
        <w:rPr>
          <w:sz w:val="20"/>
          <w:szCs w:val="20"/>
          <w:color w:val="auto"/>
        </w:rPr>
      </w:pPr>
      <w:r>
        <w:rPr>
          <w:rFonts w:ascii="Arial" w:cs="Arial" w:eastAsia="Arial" w:hAnsi="Arial"/>
          <w:sz w:val="14"/>
          <w:szCs w:val="14"/>
          <w:color w:val="auto"/>
        </w:rPr>
        <w:t>The debt securities may be secured or unsecured obligations. Under the provisions of the 1940 Act, we are permitted, as a BDC, to issue debt only in amounts such that we are in compliance with our asset coverage, as defined in the 1940 Act, after each issuance of debt. Unless the prospectus supplement states otherwise, principal (and premium, if any) and interest, if any, will be paid by us in immediately available funds.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71" w:lineRule="exact"/>
        <w:rPr>
          <w:sz w:val="20"/>
          <w:szCs w:val="20"/>
          <w:color w:val="auto"/>
        </w:rPr>
      </w:pPr>
    </w:p>
    <w:p>
      <w:pPr>
        <w:ind w:right="280" w:firstLine="456"/>
        <w:spacing w:after="0" w:line="318" w:lineRule="auto"/>
        <w:rPr>
          <w:sz w:val="20"/>
          <w:szCs w:val="20"/>
          <w:color w:val="auto"/>
        </w:rPr>
      </w:pPr>
      <w:r>
        <w:rPr>
          <w:rFonts w:ascii="Arial" w:cs="Arial" w:eastAsia="Arial" w:hAnsi="Arial"/>
          <w:sz w:val="12"/>
          <w:szCs w:val="12"/>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460" w:firstLine="456"/>
        <w:spacing w:after="0" w:line="239" w:lineRule="auto"/>
        <w:rPr>
          <w:sz w:val="20"/>
          <w:szCs w:val="20"/>
          <w:color w:val="auto"/>
        </w:rPr>
      </w:pPr>
      <w:r>
        <w:rPr>
          <w:rFonts w:ascii="Arial" w:cs="Arial" w:eastAsia="Arial" w:hAnsi="Arial"/>
          <w:sz w:val="14"/>
          <w:szCs w:val="14"/>
          <w:color w:val="auto"/>
        </w:rPr>
        <w:t>For purposes of this prospectus, any reference to the payment of principal of, or premium or interest, if any, on, debt securities will include additional amounts if required by the terms of the debt securities.</w:t>
      </w:r>
    </w:p>
    <w:p>
      <w:pPr>
        <w:spacing w:after="0" w:line="139" w:lineRule="exact"/>
        <w:rPr>
          <w:sz w:val="20"/>
          <w:szCs w:val="20"/>
          <w:color w:val="auto"/>
        </w:rPr>
      </w:pPr>
    </w:p>
    <w:p>
      <w:pPr>
        <w:ind w:right="60" w:firstLine="456"/>
        <w:spacing w:after="0" w:line="270" w:lineRule="auto"/>
        <w:rPr>
          <w:sz w:val="20"/>
          <w:szCs w:val="20"/>
          <w:color w:val="auto"/>
        </w:rPr>
      </w:pPr>
      <w:r>
        <w:rPr>
          <w:rFonts w:ascii="Arial" w:cs="Arial" w:eastAsia="Arial" w:hAnsi="Arial"/>
          <w:sz w:val="12"/>
          <w:szCs w:val="12"/>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indenture does not contain any provisions that give you protection in the event we issue a large amount of debt or we are acquired by another entity.</w:t>
      </w:r>
    </w:p>
    <w:p>
      <w:pPr>
        <w:spacing w:after="0" w:line="69"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58"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58"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Conversion and Exchange</w:t>
      </w:r>
    </w:p>
    <w:p>
      <w:pPr>
        <w:spacing w:after="0" w:line="71"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Securities in Registered Form</w:t>
      </w:r>
    </w:p>
    <w:p>
      <w:pPr>
        <w:spacing w:after="0" w:line="71" w:lineRule="exact"/>
        <w:rPr>
          <w:sz w:val="20"/>
          <w:szCs w:val="20"/>
          <w:color w:val="auto"/>
        </w:rPr>
      </w:pPr>
    </w:p>
    <w:p>
      <w:pPr>
        <w:ind w:right="580" w:firstLine="456"/>
        <w:spacing w:after="0" w:line="239" w:lineRule="auto"/>
        <w:rPr>
          <w:sz w:val="20"/>
          <w:szCs w:val="20"/>
          <w:color w:val="auto"/>
        </w:rPr>
      </w:pPr>
      <w:r>
        <w:rPr>
          <w:rFonts w:ascii="Arial" w:cs="Arial" w:eastAsia="Arial" w:hAnsi="Arial"/>
          <w:sz w:val="14"/>
          <w:szCs w:val="14"/>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3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Book-Entry Holders</w:t>
      </w:r>
    </w:p>
    <w:p>
      <w:pPr>
        <w:spacing w:after="0" w:line="69" w:lineRule="exact"/>
        <w:rPr>
          <w:sz w:val="20"/>
          <w:szCs w:val="20"/>
          <w:color w:val="auto"/>
        </w:rPr>
      </w:pPr>
    </w:p>
    <w:p>
      <w:pPr>
        <w:ind w:right="200" w:firstLine="456"/>
        <w:spacing w:after="0" w:line="288" w:lineRule="auto"/>
        <w:rPr>
          <w:sz w:val="20"/>
          <w:szCs w:val="20"/>
          <w:color w:val="auto"/>
        </w:rPr>
      </w:pPr>
      <w:r>
        <w:rPr>
          <w:rFonts w:ascii="Arial" w:cs="Arial" w:eastAsia="Arial" w:hAnsi="Arial"/>
          <w:sz w:val="12"/>
          <w:szCs w:val="12"/>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1" w:lineRule="exact"/>
        <w:rPr>
          <w:sz w:val="20"/>
          <w:szCs w:val="20"/>
          <w:color w:val="auto"/>
        </w:rPr>
      </w:pPr>
    </w:p>
    <w:p>
      <w:pPr>
        <w:ind w:right="240" w:firstLine="456"/>
        <w:spacing w:after="0" w:line="230" w:lineRule="auto"/>
        <w:rPr>
          <w:sz w:val="20"/>
          <w:szCs w:val="20"/>
          <w:color w:val="auto"/>
        </w:rPr>
      </w:pPr>
      <w:r>
        <w:rPr>
          <w:rFonts w:ascii="Arial" w:cs="Arial" w:eastAsia="Arial" w:hAnsi="Arial"/>
          <w:sz w:val="14"/>
          <w:szCs w:val="14"/>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39"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Street Name Holders</w:t>
      </w:r>
    </w:p>
    <w:p>
      <w:pPr>
        <w:spacing w:after="0" w:line="6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39" w:lineRule="exact"/>
        <w:rPr>
          <w:sz w:val="20"/>
          <w:szCs w:val="20"/>
          <w:color w:val="auto"/>
        </w:rPr>
      </w:pPr>
    </w:p>
    <w:p>
      <w:pPr>
        <w:jc w:val="both"/>
        <w:ind w:right="220" w:firstLine="456"/>
        <w:spacing w:after="0" w:line="288" w:lineRule="auto"/>
        <w:rPr>
          <w:sz w:val="20"/>
          <w:szCs w:val="20"/>
          <w:color w:val="auto"/>
        </w:rPr>
      </w:pPr>
      <w:r>
        <w:rPr>
          <w:rFonts w:ascii="Arial" w:cs="Arial" w:eastAsia="Arial" w:hAnsi="Arial"/>
          <w:sz w:val="12"/>
          <w:szCs w:val="12"/>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Legal Holders</w:t>
      </w:r>
    </w:p>
    <w:p>
      <w:pPr>
        <w:spacing w:after="0" w:line="69" w:lineRule="exact"/>
        <w:rPr>
          <w:sz w:val="20"/>
          <w:szCs w:val="20"/>
          <w:color w:val="auto"/>
        </w:rPr>
      </w:pPr>
    </w:p>
    <w:p>
      <w:pPr>
        <w:jc w:val="both"/>
        <w:ind w:right="180" w:firstLine="456"/>
        <w:spacing w:after="0" w:line="233" w:lineRule="auto"/>
        <w:rPr>
          <w:sz w:val="20"/>
          <w:szCs w:val="20"/>
          <w:color w:val="auto"/>
        </w:rPr>
      </w:pPr>
      <w:r>
        <w:rPr>
          <w:rFonts w:ascii="Arial" w:cs="Arial" w:eastAsia="Arial" w:hAnsi="Arial"/>
          <w:sz w:val="14"/>
          <w:szCs w:val="14"/>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39"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3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Considerations for Indirect Holders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you hold debt securities through a bank, broker or other financial institution, either in book-entry form or in street name, we urge you to check with that institution to find out:</w:t>
      </w:r>
    </w:p>
    <w:p>
      <w:pPr>
        <w:spacing w:after="0" w:line="69" w:lineRule="exact"/>
        <w:rPr>
          <w:sz w:val="20"/>
          <w:szCs w:val="20"/>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how it handles securities payments and notices;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whether it imposes fees or charges;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how it would handle a request for the holders’ consent, if ever required;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whether and how you can instruct it to send you debt securities registered in your own name so you can be a holder, if that is permitted in the future for a particular series of debt securities;</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how it would exercise rights under the debt securities if there were a default or other event triggering the need for holders to act to protect their interests;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if the debt securities are in book-entry form, how the depositary’s rules and procedures will affect these matters.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Global Securities</w:t>
      </w:r>
    </w:p>
    <w:p>
      <w:pPr>
        <w:spacing w:after="0" w:line="71"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39" w:lineRule="exact"/>
        <w:rPr>
          <w:sz w:val="20"/>
          <w:szCs w:val="20"/>
          <w:color w:val="auto"/>
        </w:rPr>
      </w:pPr>
    </w:p>
    <w:p>
      <w:pPr>
        <w:jc w:val="both"/>
        <w:ind w:right="200" w:firstLine="456"/>
        <w:spacing w:after="0" w:line="233" w:lineRule="auto"/>
        <w:rPr>
          <w:sz w:val="20"/>
          <w:szCs w:val="20"/>
          <w:color w:val="auto"/>
        </w:rPr>
      </w:pPr>
      <w:r>
        <w:rPr>
          <w:rFonts w:ascii="Arial" w:cs="Arial" w:eastAsia="Arial" w:hAnsi="Arial"/>
          <w:sz w:val="14"/>
          <w:szCs w:val="14"/>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39"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Considerations for Global Securities</w:t>
      </w:r>
    </w:p>
    <w:p>
      <w:pPr>
        <w:spacing w:after="0" w:line="69"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debt securities are issued only in the form of a global security, an investor should be aware of the following:</w:t>
      </w:r>
    </w:p>
    <w:p>
      <w:pPr>
        <w:spacing w:after="0" w:line="69" w:lineRule="exact"/>
        <w:rPr>
          <w:sz w:val="20"/>
          <w:szCs w:val="20"/>
          <w:color w:val="auto"/>
        </w:rPr>
      </w:pPr>
    </w:p>
    <w:p>
      <w:pPr>
        <w:ind w:left="540" w:right="340" w:hanging="316"/>
        <w:spacing w:after="0" w:line="239"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 investor cannot cause the debt securities to be registered in his or her name and cannot obtain certificates for his or her interest in the debt securities, except in the special situations we describe below;</w:t>
      </w:r>
    </w:p>
    <w:p>
      <w:pPr>
        <w:spacing w:after="0" w:line="43" w:lineRule="exact"/>
        <w:rPr>
          <w:rFonts w:ascii="Arial" w:cs="Arial" w:eastAsia="Arial" w:hAnsi="Arial"/>
          <w:sz w:val="14"/>
          <w:szCs w:val="14"/>
          <w:color w:val="auto"/>
        </w:rPr>
      </w:pPr>
    </w:p>
    <w:p>
      <w:pPr>
        <w:ind w:left="540" w:right="280" w:hanging="316"/>
        <w:spacing w:after="0" w:line="239"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an investor may not be able to sell interests in the debt securities to some insurance companies and other institutions that are required by law to own their securities in non-book-entry form;</w:t>
      </w:r>
    </w:p>
    <w:p>
      <w:pPr>
        <w:spacing w:after="0" w:line="78" w:lineRule="exact"/>
        <w:rPr>
          <w:rFonts w:ascii="Arial" w:cs="Arial" w:eastAsia="Arial" w:hAnsi="Arial"/>
          <w:sz w:val="12"/>
          <w:szCs w:val="12"/>
          <w:color w:val="auto"/>
        </w:rPr>
      </w:pPr>
    </w:p>
    <w:p>
      <w:pPr>
        <w:ind w:left="540" w:right="20" w:hanging="316"/>
        <w:spacing w:after="0" w:line="239"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43" w:lineRule="exact"/>
        <w:rPr>
          <w:rFonts w:ascii="Arial" w:cs="Arial" w:eastAsia="Arial" w:hAnsi="Arial"/>
          <w:sz w:val="14"/>
          <w:szCs w:val="14"/>
          <w:color w:val="auto"/>
        </w:rPr>
      </w:pPr>
    </w:p>
    <w:p>
      <w:pPr>
        <w:ind w:left="540" w:right="260" w:hanging="316"/>
        <w:spacing w:after="0" w:line="317" w:lineRule="auto"/>
        <w:tabs>
          <w:tab w:leader="none" w:pos="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ind w:left="540" w:hanging="316"/>
        <w:spacing w:after="0"/>
        <w:tabs>
          <w:tab w:leader="none" w:pos="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if we redeem less than all the debt securities of a particular series being redeemed, DTC’s practice is to determine by lot the amount to be redeemed from each of its participants holding that series;</w:t>
      </w:r>
    </w:p>
    <w:p>
      <w:pPr>
        <w:spacing w:after="0" w:line="78" w:lineRule="exact"/>
        <w:rPr>
          <w:rFonts w:ascii="Arial" w:cs="Arial" w:eastAsia="Arial" w:hAnsi="Arial"/>
          <w:sz w:val="12"/>
          <w:szCs w:val="12"/>
          <w:color w:val="auto"/>
        </w:rPr>
      </w:pPr>
    </w:p>
    <w:p>
      <w:pPr>
        <w:ind w:left="540" w:right="400" w:hanging="316"/>
        <w:spacing w:after="0" w:line="239"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3" w:lineRule="exact"/>
        <w:rPr>
          <w:rFonts w:ascii="Arial" w:cs="Arial" w:eastAsia="Arial" w:hAnsi="Arial"/>
          <w:sz w:val="14"/>
          <w:szCs w:val="14"/>
          <w:color w:val="auto"/>
        </w:rPr>
      </w:pPr>
    </w:p>
    <w:p>
      <w:pPr>
        <w:ind w:left="540" w:right="460" w:hanging="316"/>
        <w:spacing w:after="0" w:line="239"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43" w:lineRule="exact"/>
        <w:rPr>
          <w:rFonts w:ascii="Arial" w:cs="Arial" w:eastAsia="Arial" w:hAnsi="Arial"/>
          <w:sz w:val="14"/>
          <w:szCs w:val="14"/>
          <w:color w:val="auto"/>
        </w:rPr>
      </w:pPr>
    </w:p>
    <w:p>
      <w:pPr>
        <w:ind w:left="540" w:right="100" w:hanging="316"/>
        <w:spacing w:after="0" w:line="233"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Situations when a Global Security Will Be Terminated</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special situations for termination of a global security are as follows:</w:t>
      </w:r>
    </w:p>
    <w:p>
      <w:pPr>
        <w:spacing w:after="0" w:line="69" w:lineRule="exact"/>
        <w:rPr>
          <w:sz w:val="20"/>
          <w:szCs w:val="20"/>
          <w:color w:val="auto"/>
        </w:rPr>
      </w:pPr>
    </w:p>
    <w:p>
      <w:pPr>
        <w:ind w:left="540" w:hanging="316"/>
        <w:spacing w:after="0"/>
        <w:tabs>
          <w:tab w:leader="none" w:pos="54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if the depositary notifies us that it is unwilling, unable or no longer qualified to continue as depositary for that global security, and we are unable to appoint another institution to act as depositary;</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if we notify the trustee that we wish to terminate that global security; or</w:t>
      </w:r>
    </w:p>
    <w:p>
      <w:pPr>
        <w:spacing w:after="0" w:line="55" w:lineRule="exact"/>
        <w:rPr>
          <w:rFonts w:ascii="Arial" w:cs="Arial" w:eastAsia="Arial" w:hAnsi="Arial"/>
          <w:sz w:val="14"/>
          <w:szCs w:val="14"/>
          <w:color w:val="auto"/>
        </w:rPr>
      </w:pPr>
    </w:p>
    <w:p>
      <w:pPr>
        <w:ind w:left="540" w:right="380" w:hanging="316"/>
        <w:spacing w:after="0" w:line="239"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220"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Payment and Paying Agents</w:t>
      </w:r>
    </w:p>
    <w:p>
      <w:pPr>
        <w:spacing w:after="0" w:line="71" w:lineRule="exact"/>
        <w:rPr>
          <w:sz w:val="20"/>
          <w:szCs w:val="20"/>
          <w:color w:val="auto"/>
        </w:rPr>
      </w:pPr>
    </w:p>
    <w:p>
      <w:pPr>
        <w:jc w:val="both"/>
        <w:ind w:right="40" w:firstLine="456"/>
        <w:spacing w:after="0" w:line="278" w:lineRule="auto"/>
        <w:rPr>
          <w:sz w:val="20"/>
          <w:szCs w:val="20"/>
          <w:color w:val="auto"/>
        </w:rPr>
      </w:pPr>
      <w:r>
        <w:rPr>
          <w:rFonts w:ascii="Arial" w:cs="Arial" w:eastAsia="Arial" w:hAnsi="Arial"/>
          <w:sz w:val="12"/>
          <w:szCs w:val="12"/>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Payments on Global Securities</w:t>
      </w:r>
    </w:p>
    <w:p>
      <w:pPr>
        <w:spacing w:after="0" w:line="69" w:lineRule="exact"/>
        <w:rPr>
          <w:sz w:val="20"/>
          <w:szCs w:val="20"/>
          <w:color w:val="auto"/>
        </w:rPr>
      </w:pPr>
    </w:p>
    <w:p>
      <w:pPr>
        <w:jc w:val="both"/>
        <w:ind w:right="420" w:firstLine="456"/>
        <w:spacing w:after="0" w:line="233" w:lineRule="auto"/>
        <w:rPr>
          <w:sz w:val="20"/>
          <w:szCs w:val="20"/>
          <w:color w:val="auto"/>
        </w:rPr>
      </w:pPr>
      <w:r>
        <w:rPr>
          <w:rFonts w:ascii="Arial" w:cs="Arial" w:eastAsia="Arial" w:hAnsi="Arial"/>
          <w:sz w:val="14"/>
          <w:szCs w:val="14"/>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Payments on Certificated Securities</w:t>
      </w:r>
    </w:p>
    <w:p>
      <w:pPr>
        <w:spacing w:after="0" w:line="69"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1"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 When Offices Are Closed</w:t>
      </w:r>
    </w:p>
    <w:p>
      <w:pPr>
        <w:spacing w:after="0" w:line="69"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2"/>
          <w:szCs w:val="12"/>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Book-entry and other indirect holders should consult their banks or brokers for information on how they will receive payments on their debt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Events of Default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You will have rights if an Event of Default occurs in respect of the debt securities of your series and is not cured, as described later in this subsection.</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term “Event of Default” in respect of the debt securities of your series means any of the following:</w:t>
      </w:r>
    </w:p>
    <w:p>
      <w:pPr>
        <w:spacing w:after="0" w:line="69" w:lineRule="exact"/>
        <w:rPr>
          <w:sz w:val="20"/>
          <w:szCs w:val="20"/>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do not pay the principal of, or any premium on, a debt security of the series on its due date;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do not pay interest on a debt security of the series within 30 days of its due date;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do not deposit any sinking fund payment in respect of debt securities of the series on its due date;</w:t>
      </w:r>
    </w:p>
    <w:p>
      <w:pPr>
        <w:spacing w:after="0" w:line="55" w:lineRule="exact"/>
        <w:rPr>
          <w:rFonts w:ascii="Arial" w:cs="Arial" w:eastAsia="Arial" w:hAnsi="Arial"/>
          <w:sz w:val="14"/>
          <w:szCs w:val="14"/>
          <w:color w:val="auto"/>
        </w:rPr>
      </w:pPr>
    </w:p>
    <w:p>
      <w:pPr>
        <w:ind w:left="540" w:right="80" w:hanging="316"/>
        <w:spacing w:after="0" w:line="239" w:lineRule="auto"/>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file for bankruptcy or certain other events of bankruptcy, insolvency or reorganization occur;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any other Event of Default in respect of debt securities of the series described in the prospectus supplement occurs.</w:t>
      </w:r>
    </w:p>
    <w:p>
      <w:pPr>
        <w:spacing w:after="0" w:line="150" w:lineRule="exact"/>
        <w:rPr>
          <w:sz w:val="20"/>
          <w:szCs w:val="20"/>
          <w:color w:val="auto"/>
        </w:rPr>
      </w:pPr>
    </w:p>
    <w:p>
      <w:pPr>
        <w:ind w:right="180" w:firstLine="456"/>
        <w:spacing w:after="0" w:line="233" w:lineRule="auto"/>
        <w:rPr>
          <w:sz w:val="20"/>
          <w:szCs w:val="20"/>
          <w:color w:val="auto"/>
        </w:rPr>
      </w:pPr>
      <w:r>
        <w:rPr>
          <w:rFonts w:ascii="Arial" w:cs="Arial" w:eastAsia="Arial" w:hAnsi="Arial"/>
          <w:sz w:val="14"/>
          <w:szCs w:val="14"/>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Remedies if an Event of Default Occurs</w:t>
      </w:r>
    </w:p>
    <w:p>
      <w:pPr>
        <w:spacing w:after="0" w:line="69"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40" w:firstLine="456"/>
        <w:spacing w:after="0" w:line="278" w:lineRule="auto"/>
        <w:rPr>
          <w:sz w:val="20"/>
          <w:szCs w:val="20"/>
          <w:color w:val="auto"/>
        </w:rPr>
      </w:pPr>
      <w:r>
        <w:rPr>
          <w:rFonts w:ascii="Arial" w:cs="Arial" w:eastAsia="Arial" w:hAnsi="Arial"/>
          <w:sz w:val="12"/>
          <w:szCs w:val="12"/>
          <w:color w:val="auto"/>
        </w:rPr>
        <w:t>Except in cases of default, where the trustee has certain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7"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8" w:lineRule="exact"/>
        <w:rPr>
          <w:sz w:val="20"/>
          <w:szCs w:val="20"/>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you must give the trustee written notice that an Event of Default has occurred and remains uncured;</w:t>
      </w:r>
    </w:p>
    <w:p>
      <w:pPr>
        <w:spacing w:after="0" w:line="55" w:lineRule="exact"/>
        <w:rPr>
          <w:rFonts w:ascii="Arial" w:cs="Arial" w:eastAsia="Arial" w:hAnsi="Arial"/>
          <w:sz w:val="14"/>
          <w:szCs w:val="14"/>
          <w:color w:val="auto"/>
        </w:rPr>
      </w:pPr>
    </w:p>
    <w:p>
      <w:pPr>
        <w:ind w:left="540" w:right="360" w:hanging="316"/>
        <w:spacing w:after="0" w:line="239"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trustee must not have taken action for 60 days after receipt of the above notice and offer of indemnity;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holders of a majority in principal amount of the debt securities must not have given the trustee a direction inconsistent with the above notice during that 60-day period.</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However, you are entitled at any time to bring a lawsuit for the payment of money due on your debt securities on or after the due date.</w:t>
      </w:r>
    </w:p>
    <w:p>
      <w:pPr>
        <w:spacing w:after="0" w:line="148" w:lineRule="exact"/>
        <w:rPr>
          <w:sz w:val="20"/>
          <w:szCs w:val="20"/>
          <w:color w:val="auto"/>
        </w:rPr>
      </w:pPr>
    </w:p>
    <w:p>
      <w:pPr>
        <w:ind w:firstLine="456"/>
        <w:spacing w:after="0" w:line="241" w:lineRule="auto"/>
        <w:rPr>
          <w:sz w:val="20"/>
          <w:szCs w:val="20"/>
          <w:color w:val="auto"/>
        </w:rPr>
      </w:pPr>
      <w:r>
        <w:rPr>
          <w:rFonts w:ascii="Arial" w:cs="Arial" w:eastAsia="Arial" w:hAnsi="Arial"/>
          <w:sz w:val="14"/>
          <w:szCs w:val="14"/>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38"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Waiver of Default</w:t>
      </w:r>
    </w:p>
    <w:p>
      <w:pPr>
        <w:spacing w:after="0" w:line="6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Merger or Consolidation</w:t>
      </w:r>
    </w:p>
    <w:p>
      <w:pPr>
        <w:spacing w:after="0" w:line="71"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8" w:lineRule="exact"/>
        <w:rPr>
          <w:sz w:val="20"/>
          <w:szCs w:val="20"/>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where we merge out of existence or sell our assets, the resulting entity must agree to be legally responsible for our obligations under the debt securities;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alternatively, we must be the surviving company;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immediately after the transaction no event of default will exist;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we must deliver certain certificates and documents to the trustee;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we must satisfy any other requirements specified in the prospectus supplement relating to a particular series of debt securities.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 or Waiver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There are three types of changes we can make to the indenture and the debt securities issued thereunder.</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Requiring Your Approval</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First, there are changes that we cannot make to your debt securities without your specific approval. The following is a list of those types of changes:</w:t>
      </w:r>
    </w:p>
    <w:p>
      <w:pPr>
        <w:spacing w:after="0" w:line="55" w:lineRule="exact"/>
        <w:rPr>
          <w:sz w:val="20"/>
          <w:szCs w:val="20"/>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change the stated maturity of the principal of or interest on a debt security;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reduce any amounts due on a debt security;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reduce the amount of principal payable upon acceleration of the maturity of a security following a default;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adversely affect any right of repayment at the holder’s option;</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change the place or currency of payment on a debt security (except as otherwise described in the prospectus or prospectus supplement);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impair your right to sue for payment;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adversely affect any right to convert or exchange a debt security in accordance with its terms;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reduce the percentage of holders of debt securities whose consent is needed to modify or amend the indenture;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reduce the percentage of holders of debt securities whose consent is needed to waive compliance with certain provisions of the indenture or to waive certain defaults;</w:t>
      </w:r>
    </w:p>
    <w:p>
      <w:pPr>
        <w:spacing w:after="0" w:line="55"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change any obligation we have to pay additional amounts.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Not Requiring Approval</w:t>
      </w:r>
    </w:p>
    <w:p>
      <w:pPr>
        <w:spacing w:after="0" w:line="69" w:lineRule="exact"/>
        <w:rPr>
          <w:sz w:val="20"/>
          <w:szCs w:val="20"/>
          <w:color w:val="auto"/>
        </w:rPr>
      </w:pPr>
    </w:p>
    <w:p>
      <w:pPr>
        <w:ind w:right="140" w:firstLine="456"/>
        <w:spacing w:after="0" w:line="318" w:lineRule="auto"/>
        <w:rPr>
          <w:sz w:val="20"/>
          <w:szCs w:val="20"/>
          <w:color w:val="auto"/>
        </w:rPr>
      </w:pPr>
      <w:r>
        <w:rPr>
          <w:rFonts w:ascii="Arial" w:cs="Arial" w:eastAsia="Arial" w:hAnsi="Arial"/>
          <w:sz w:val="12"/>
          <w:szCs w:val="12"/>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Requiring Majority Approval</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Any other change to the indenture and the debt securities would require the following approval:</w:t>
      </w:r>
    </w:p>
    <w:p>
      <w:pPr>
        <w:spacing w:after="0" w:line="55" w:lineRule="exact"/>
        <w:rPr>
          <w:sz w:val="20"/>
          <w:szCs w:val="20"/>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if the change affects only one series of debt securities, it must be approved by the holders of a majority in principal amount of that series; and</w:t>
      </w:r>
    </w:p>
    <w:p>
      <w:pPr>
        <w:spacing w:after="0" w:line="55" w:lineRule="exact"/>
        <w:rPr>
          <w:rFonts w:ascii="Arial" w:cs="Arial" w:eastAsia="Arial" w:hAnsi="Arial"/>
          <w:sz w:val="14"/>
          <w:szCs w:val="14"/>
          <w:color w:val="auto"/>
        </w:rPr>
      </w:pPr>
    </w:p>
    <w:p>
      <w:pPr>
        <w:ind w:left="540" w:right="180" w:hanging="316"/>
        <w:spacing w:after="0" w:line="239"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each case, the required approval must be given by written consent.</w:t>
      </w:r>
    </w:p>
    <w:p>
      <w:pPr>
        <w:spacing w:after="0" w:line="15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 Modification or Waiver—Changes Requiring Your Approval.”</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280"/>
          </w:cols>
          <w:pgMar w:left="240" w:top="459" w:right="3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Further Details Concerning Voting</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When taking a vote, we will use the following rules to decide how much principal to attribute to a debt security:</w:t>
      </w:r>
    </w:p>
    <w:p>
      <w:pPr>
        <w:spacing w:after="0" w:line="69" w:lineRule="exact"/>
        <w:rPr>
          <w:sz w:val="20"/>
          <w:szCs w:val="20"/>
          <w:color w:val="auto"/>
        </w:rPr>
      </w:pPr>
    </w:p>
    <w:p>
      <w:pPr>
        <w:ind w:left="540" w:right="40" w:hanging="316"/>
        <w:spacing w:after="0" w:line="239" w:lineRule="auto"/>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for original issue discount securities, we will use the principal amount that would be due and payable on the voting date if the maturity of these debt securities were accelerated to that date because of a default;</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61"/>
        </w:numPr>
        <w:rPr>
          <w:rFonts w:ascii="Arial" w:cs="Arial" w:eastAsia="Arial" w:hAnsi="Arial"/>
          <w:sz w:val="12"/>
          <w:szCs w:val="12"/>
          <w:color w:val="auto"/>
        </w:rPr>
      </w:pPr>
      <w:r>
        <w:rPr>
          <w:rFonts w:ascii="Arial" w:cs="Arial" w:eastAsia="Arial" w:hAnsi="Arial"/>
          <w:sz w:val="12"/>
          <w:szCs w:val="12"/>
          <w:color w:val="auto"/>
        </w:rPr>
        <w:t>for debt securities whose principal amount is not known (for example, because it is based on an index), we will use a special rule for that debt security described in the prospectus supplement; and</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for debt securities denominated in one or more foreign currencies, we will use the U.S. dollar equivalent.</w:t>
      </w:r>
    </w:p>
    <w:p>
      <w:pPr>
        <w:spacing w:after="0" w:line="150"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38" w:lineRule="exact"/>
        <w:rPr>
          <w:sz w:val="20"/>
          <w:szCs w:val="20"/>
          <w:color w:val="auto"/>
        </w:rPr>
      </w:pPr>
    </w:p>
    <w:p>
      <w:pPr>
        <w:ind w:right="460" w:firstLine="456"/>
        <w:spacing w:after="0" w:line="241" w:lineRule="auto"/>
        <w:rPr>
          <w:sz w:val="20"/>
          <w:szCs w:val="20"/>
          <w:color w:val="auto"/>
        </w:rPr>
      </w:pPr>
      <w:r>
        <w:rPr>
          <w:rFonts w:ascii="Arial" w:cs="Arial" w:eastAsia="Arial" w:hAnsi="Arial"/>
          <w:sz w:val="14"/>
          <w:szCs w:val="14"/>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Defeasance</w:t>
      </w:r>
    </w:p>
    <w:p>
      <w:pPr>
        <w:spacing w:after="0" w:line="71"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Covenant Defeasance</w:t>
      </w:r>
    </w:p>
    <w:p>
      <w:pPr>
        <w:spacing w:after="0" w:line="69"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58" w:lineRule="exact"/>
        <w:rPr>
          <w:sz w:val="20"/>
          <w:szCs w:val="20"/>
          <w:color w:val="auto"/>
        </w:rPr>
      </w:pPr>
    </w:p>
    <w:p>
      <w:pPr>
        <w:ind w:left="540" w:right="100" w:hanging="316"/>
        <w:spacing w:after="0" w:line="317" w:lineRule="auto"/>
        <w:tabs>
          <w:tab w:leader="none" w:pos="5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ind w:left="540" w:right="120" w:hanging="316"/>
        <w:spacing w:after="0" w:line="239" w:lineRule="auto"/>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39"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39"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Full Defeasance</w:t>
      </w:r>
    </w:p>
    <w:p>
      <w:pPr>
        <w:spacing w:after="0" w:line="69" w:lineRule="exact"/>
        <w:rPr>
          <w:sz w:val="20"/>
          <w:szCs w:val="20"/>
          <w:color w:val="auto"/>
        </w:rPr>
      </w:pPr>
    </w:p>
    <w:p>
      <w:pPr>
        <w:ind w:right="660" w:firstLine="456"/>
        <w:spacing w:after="0" w:line="239" w:lineRule="auto"/>
        <w:rPr>
          <w:sz w:val="20"/>
          <w:szCs w:val="20"/>
          <w:color w:val="auto"/>
        </w:rPr>
      </w:pPr>
      <w:r>
        <w:rPr>
          <w:rFonts w:ascii="Arial" w:cs="Arial" w:eastAsia="Arial" w:hAnsi="Arial"/>
          <w:sz w:val="14"/>
          <w:szCs w:val="14"/>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8" w:lineRule="exact"/>
        <w:rPr>
          <w:sz w:val="20"/>
          <w:szCs w:val="20"/>
          <w:color w:val="auto"/>
        </w:rPr>
      </w:pPr>
    </w:p>
    <w:p>
      <w:pPr>
        <w:ind w:left="540" w:right="100" w:hanging="316"/>
        <w:spacing w:after="0" w:line="317" w:lineRule="auto"/>
        <w:tabs>
          <w:tab w:leader="none" w:pos="5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ind w:left="540" w:right="80" w:hanging="316"/>
        <w:spacing w:after="0" w:line="278" w:lineRule="auto"/>
        <w:tabs>
          <w:tab w:leader="none" w:pos="5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22" w:lineRule="exact"/>
        <w:rPr>
          <w:rFonts w:ascii="Arial" w:cs="Arial" w:eastAsia="Arial" w:hAnsi="Arial"/>
          <w:sz w:val="12"/>
          <w:szCs w:val="12"/>
          <w:color w:val="auto"/>
        </w:rPr>
      </w:pPr>
    </w:p>
    <w:p>
      <w:pPr>
        <w:ind w:left="540" w:right="540" w:hanging="316"/>
        <w:spacing w:after="0" w:line="239" w:lineRule="auto"/>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we must deliver to the trustee a legal opinion of our counsel stating that the above deposit does not require registration by us under the 1940 Act, as amended, and a legal opinion and officers’ certificate certifying compliance with all conditions precedent to defeasance have been complied with.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2"/>
          <w:szCs w:val="12"/>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Form, Exchange and Transfer of Certificated Registered Securities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registered debt securities cease to be issued in book-entry form, they will be issued:</w:t>
      </w:r>
    </w:p>
    <w:p>
      <w:pPr>
        <w:spacing w:after="0" w:line="55" w:lineRule="exact"/>
        <w:rPr>
          <w:sz w:val="20"/>
          <w:szCs w:val="20"/>
          <w:color w:val="auto"/>
        </w:rPr>
      </w:pPr>
    </w:p>
    <w:p>
      <w:pPr>
        <w:ind w:left="540" w:hanging="316"/>
        <w:spacing w:after="0"/>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only in fully registered certificated form;</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without interest coupons;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unless we indicate otherwise in the prospectus supplement, in denominations of $1,000 and amounts that are multiples of $1,000.</w:t>
      </w:r>
    </w:p>
    <w:p>
      <w:pPr>
        <w:spacing w:after="0" w:line="150"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Holders may exchange their certificated securities for debt securities of smaller denominations or combined into fewer debt securities of larger denominations, as long as the total principal amount is not changed.</w:t>
      </w:r>
    </w:p>
    <w:p>
      <w:pPr>
        <w:spacing w:after="0" w:line="139" w:lineRule="exact"/>
        <w:rPr>
          <w:sz w:val="20"/>
          <w:szCs w:val="20"/>
          <w:color w:val="auto"/>
        </w:rPr>
      </w:pPr>
    </w:p>
    <w:p>
      <w:pPr>
        <w:ind w:right="520" w:firstLine="456"/>
        <w:spacing w:after="0" w:line="239" w:lineRule="auto"/>
        <w:rPr>
          <w:sz w:val="20"/>
          <w:szCs w:val="20"/>
          <w:color w:val="auto"/>
        </w:rPr>
      </w:pPr>
      <w:r>
        <w:rPr>
          <w:rFonts w:ascii="Arial" w:cs="Arial" w:eastAsia="Arial" w:hAnsi="Arial"/>
          <w:sz w:val="14"/>
          <w:szCs w:val="14"/>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3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39"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39" w:lineRule="exact"/>
        <w:rPr>
          <w:sz w:val="20"/>
          <w:szCs w:val="20"/>
          <w:color w:val="auto"/>
        </w:rPr>
      </w:pPr>
    </w:p>
    <w:p>
      <w:pPr>
        <w:ind w:right="160" w:firstLine="456"/>
        <w:spacing w:after="0" w:line="230" w:lineRule="auto"/>
        <w:rPr>
          <w:sz w:val="20"/>
          <w:szCs w:val="20"/>
          <w:color w:val="auto"/>
        </w:rPr>
      </w:pPr>
      <w:r>
        <w:rPr>
          <w:rFonts w:ascii="Arial" w:cs="Arial" w:eastAsia="Arial" w:hAnsi="Arial"/>
          <w:sz w:val="14"/>
          <w:szCs w:val="14"/>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39" w:lineRule="exact"/>
        <w:rPr>
          <w:sz w:val="20"/>
          <w:szCs w:val="20"/>
          <w:color w:val="auto"/>
        </w:rPr>
      </w:pPr>
    </w:p>
    <w:p>
      <w:pPr>
        <w:ind w:right="160" w:firstLine="456"/>
        <w:spacing w:after="0" w:line="239" w:lineRule="auto"/>
        <w:rPr>
          <w:sz w:val="20"/>
          <w:szCs w:val="20"/>
          <w:color w:val="auto"/>
        </w:rPr>
      </w:pPr>
      <w:r>
        <w:rPr>
          <w:rFonts w:ascii="Arial" w:cs="Arial" w:eastAsia="Arial" w:hAnsi="Arial"/>
          <w:sz w:val="14"/>
          <w:szCs w:val="14"/>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Resignation of Trustee</w:t>
      </w:r>
    </w:p>
    <w:p>
      <w:pPr>
        <w:spacing w:after="0" w:line="71" w:lineRule="exact"/>
        <w:rPr>
          <w:sz w:val="20"/>
          <w:szCs w:val="20"/>
          <w:color w:val="auto"/>
        </w:rPr>
      </w:pPr>
    </w:p>
    <w:p>
      <w:pPr>
        <w:jc w:val="both"/>
        <w:ind w:right="120" w:firstLine="456"/>
        <w:spacing w:after="0" w:line="233" w:lineRule="auto"/>
        <w:rPr>
          <w:sz w:val="20"/>
          <w:szCs w:val="20"/>
          <w:color w:val="auto"/>
        </w:rPr>
      </w:pPr>
      <w:r>
        <w:rPr>
          <w:rFonts w:ascii="Arial" w:cs="Arial" w:eastAsia="Arial" w:hAnsi="Arial"/>
          <w:sz w:val="14"/>
          <w:szCs w:val="14"/>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Indenture Provisions—Subordination</w:t>
      </w:r>
    </w:p>
    <w:p>
      <w:pPr>
        <w:spacing w:after="0" w:line="7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2"/>
          <w:szCs w:val="12"/>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By reason of this subordination, in the event of a distribution of our assets upon our insolvency, certain of our senior creditors may recover more, ratably, than holders of any subordinated debt securities.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The indenture provides that these subordination provisions will not apply to money and securities held in trust under the defeasance provisions of the indenture.</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Senior Indebtedness is defined in the indenture as the principal of (and premium, if any) and unpaid interest on:</w:t>
      </w:r>
    </w:p>
    <w:p>
      <w:pPr>
        <w:spacing w:after="0" w:line="69" w:lineRule="exact"/>
        <w:rPr>
          <w:sz w:val="20"/>
          <w:szCs w:val="20"/>
          <w:color w:val="auto"/>
        </w:rPr>
      </w:pPr>
    </w:p>
    <w:p>
      <w:pPr>
        <w:ind w:left="540" w:right="100" w:hanging="316"/>
        <w:spacing w:after="0" w:line="233" w:lineRule="auto"/>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44" w:lineRule="exact"/>
        <w:rPr>
          <w:rFonts w:ascii="Arial" w:cs="Arial" w:eastAsia="Arial" w:hAnsi="Arial"/>
          <w:sz w:val="14"/>
          <w:szCs w:val="14"/>
          <w:color w:val="auto"/>
        </w:rPr>
      </w:pPr>
    </w:p>
    <w:p>
      <w:pPr>
        <w:ind w:left="540" w:hanging="316"/>
        <w:spacing w:after="0"/>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renewals, extensions, modifications and refinancings of any of this indebtedness.</w:t>
      </w:r>
    </w:p>
    <w:p>
      <w:pPr>
        <w:spacing w:after="0" w:line="150"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Trustee under the Indenture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use American Stock Transfer &amp; Trust Company, LLC to serve as the trustee under the indenture.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Certain Considerations Relating to Foreign Currencies</w:t>
      </w:r>
    </w:p>
    <w:p>
      <w:pPr>
        <w:spacing w:after="0" w:line="71"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REGULATION</w:t>
      </w:r>
    </w:p>
    <w:p>
      <w:pPr>
        <w:spacing w:after="0" w:line="152" w:lineRule="exact"/>
        <w:rPr>
          <w:sz w:val="20"/>
          <w:szCs w:val="20"/>
          <w:color w:val="auto"/>
        </w:rPr>
      </w:pPr>
    </w:p>
    <w:p>
      <w:pPr>
        <w:ind w:right="80" w:firstLine="456"/>
        <w:spacing w:after="0" w:line="278" w:lineRule="auto"/>
        <w:rPr>
          <w:sz w:val="20"/>
          <w:szCs w:val="20"/>
          <w:color w:val="auto"/>
        </w:rPr>
      </w:pPr>
      <w:r>
        <w:rPr>
          <w:rFonts w:ascii="Arial" w:cs="Arial" w:eastAsia="Arial" w:hAnsi="Arial"/>
          <w:sz w:val="12"/>
          <w:szCs w:val="12"/>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w:t>
      </w:r>
    </w:p>
    <w:p>
      <w:pPr>
        <w:spacing w:after="0" w:line="117"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Qualifying Assets</w:t>
      </w:r>
    </w:p>
    <w:p>
      <w:pPr>
        <w:spacing w:after="0" w:line="71" w:lineRule="exact"/>
        <w:rPr>
          <w:sz w:val="20"/>
          <w:szCs w:val="20"/>
          <w:color w:val="auto"/>
        </w:rPr>
      </w:pPr>
    </w:p>
    <w:p>
      <w:pPr>
        <w:ind w:right="100" w:firstLine="456"/>
        <w:spacing w:after="0" w:line="318" w:lineRule="auto"/>
        <w:rPr>
          <w:sz w:val="20"/>
          <w:szCs w:val="20"/>
          <w:color w:val="auto"/>
        </w:rPr>
      </w:pPr>
      <w:r>
        <w:rPr>
          <w:rFonts w:ascii="Arial" w:cs="Arial" w:eastAsia="Arial" w:hAnsi="Arial"/>
          <w:sz w:val="12"/>
          <w:szCs w:val="12"/>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12" w:lineRule="exact"/>
        <w:rPr>
          <w:sz w:val="20"/>
          <w:szCs w:val="20"/>
          <w:color w:val="auto"/>
        </w:rPr>
      </w:pPr>
    </w:p>
    <w:p>
      <w:pPr>
        <w:ind w:left="680" w:right="20" w:hanging="334"/>
        <w:spacing w:after="0" w:line="233" w:lineRule="auto"/>
        <w:tabs>
          <w:tab w:leader="none" w:pos="6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44" w:lineRule="exact"/>
        <w:rPr>
          <w:rFonts w:ascii="Arial" w:cs="Arial" w:eastAsia="Arial" w:hAnsi="Arial"/>
          <w:sz w:val="14"/>
          <w:szCs w:val="14"/>
          <w:color w:val="auto"/>
        </w:rPr>
      </w:pPr>
    </w:p>
    <w:p>
      <w:pPr>
        <w:ind w:left="1380" w:hanging="346"/>
        <w:spacing w:after="0"/>
        <w:tabs>
          <w:tab w:leader="none" w:pos="1380" w:val="left"/>
        </w:tabs>
        <w:numPr>
          <w:ilvl w:val="1"/>
          <w:numId w:val="66"/>
        </w:numPr>
        <w:rPr>
          <w:rFonts w:ascii="Arial" w:cs="Arial" w:eastAsia="Arial" w:hAnsi="Arial"/>
          <w:sz w:val="14"/>
          <w:szCs w:val="14"/>
          <w:color w:val="auto"/>
        </w:rPr>
      </w:pPr>
      <w:r>
        <w:rPr>
          <w:rFonts w:ascii="Arial" w:cs="Arial" w:eastAsia="Arial" w:hAnsi="Arial"/>
          <w:sz w:val="14"/>
          <w:szCs w:val="14"/>
          <w:color w:val="auto"/>
        </w:rPr>
        <w:t>is organized under the laws of, and has its principal place of business in, the United States;</w:t>
      </w:r>
    </w:p>
    <w:p>
      <w:pPr>
        <w:spacing w:after="0" w:line="55" w:lineRule="exact"/>
        <w:rPr>
          <w:rFonts w:ascii="Arial" w:cs="Arial" w:eastAsia="Arial" w:hAnsi="Arial"/>
          <w:sz w:val="14"/>
          <w:szCs w:val="14"/>
          <w:color w:val="auto"/>
        </w:rPr>
      </w:pPr>
    </w:p>
    <w:p>
      <w:pPr>
        <w:ind w:left="1380" w:hanging="346"/>
        <w:spacing w:after="0" w:line="239" w:lineRule="auto"/>
        <w:tabs>
          <w:tab w:leader="none" w:pos="1380" w:val="left"/>
        </w:tabs>
        <w:numPr>
          <w:ilvl w:val="1"/>
          <w:numId w:val="66"/>
        </w:numPr>
        <w:rPr>
          <w:rFonts w:ascii="Arial" w:cs="Arial" w:eastAsia="Arial" w:hAnsi="Arial"/>
          <w:sz w:val="14"/>
          <w:szCs w:val="14"/>
          <w:color w:val="auto"/>
        </w:rPr>
      </w:pPr>
      <w:r>
        <w:rPr>
          <w:rFonts w:ascii="Arial" w:cs="Arial" w:eastAsia="Arial" w:hAnsi="Arial"/>
          <w:sz w:val="14"/>
          <w:szCs w:val="14"/>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43" w:lineRule="exact"/>
        <w:rPr>
          <w:rFonts w:ascii="Arial" w:cs="Arial" w:eastAsia="Arial" w:hAnsi="Arial"/>
          <w:sz w:val="14"/>
          <w:szCs w:val="14"/>
          <w:color w:val="auto"/>
        </w:rPr>
      </w:pPr>
    </w:p>
    <w:p>
      <w:pPr>
        <w:ind w:left="1380" w:hanging="346"/>
        <w:spacing w:after="0"/>
        <w:tabs>
          <w:tab w:leader="none" w:pos="1380" w:val="left"/>
        </w:tabs>
        <w:numPr>
          <w:ilvl w:val="1"/>
          <w:numId w:val="66"/>
        </w:numPr>
        <w:rPr>
          <w:rFonts w:ascii="Arial" w:cs="Arial" w:eastAsia="Arial" w:hAnsi="Arial"/>
          <w:sz w:val="14"/>
          <w:szCs w:val="14"/>
          <w:color w:val="auto"/>
        </w:rPr>
      </w:pPr>
      <w:r>
        <w:rPr>
          <w:rFonts w:ascii="Arial" w:cs="Arial" w:eastAsia="Arial" w:hAnsi="Arial"/>
          <w:sz w:val="14"/>
          <w:szCs w:val="14"/>
          <w:color w:val="auto"/>
        </w:rPr>
        <w:t>satisfies any of the following:</w:t>
      </w:r>
    </w:p>
    <w:p>
      <w:pPr>
        <w:spacing w:after="0" w:line="55" w:lineRule="exact"/>
        <w:rPr>
          <w:rFonts w:ascii="Arial" w:cs="Arial" w:eastAsia="Arial" w:hAnsi="Arial"/>
          <w:sz w:val="14"/>
          <w:szCs w:val="14"/>
          <w:color w:val="auto"/>
        </w:rPr>
      </w:pPr>
    </w:p>
    <w:p>
      <w:pPr>
        <w:ind w:left="1940" w:hanging="338"/>
        <w:spacing w:after="0"/>
        <w:tabs>
          <w:tab w:leader="none" w:pos="1940" w:val="left"/>
        </w:tabs>
        <w:numPr>
          <w:ilvl w:val="2"/>
          <w:numId w:val="66"/>
        </w:numPr>
        <w:rPr>
          <w:rFonts w:ascii="Arial" w:cs="Arial" w:eastAsia="Arial" w:hAnsi="Arial"/>
          <w:sz w:val="14"/>
          <w:szCs w:val="14"/>
          <w:color w:val="auto"/>
        </w:rPr>
      </w:pPr>
      <w:r>
        <w:rPr>
          <w:rFonts w:ascii="Arial" w:cs="Arial" w:eastAsia="Arial" w:hAnsi="Arial"/>
          <w:sz w:val="14"/>
          <w:szCs w:val="14"/>
          <w:color w:val="auto"/>
        </w:rPr>
        <w:t>does not have any class of securities listed on a national securities exchange;</w:t>
      </w:r>
    </w:p>
    <w:p>
      <w:pPr>
        <w:spacing w:after="0" w:line="55" w:lineRule="exact"/>
        <w:rPr>
          <w:rFonts w:ascii="Arial" w:cs="Arial" w:eastAsia="Arial" w:hAnsi="Arial"/>
          <w:sz w:val="14"/>
          <w:szCs w:val="14"/>
          <w:color w:val="auto"/>
        </w:rPr>
      </w:pPr>
    </w:p>
    <w:p>
      <w:pPr>
        <w:ind w:left="1940" w:hanging="338"/>
        <w:spacing w:after="0"/>
        <w:tabs>
          <w:tab w:leader="none" w:pos="1940" w:val="left"/>
        </w:tabs>
        <w:numPr>
          <w:ilvl w:val="2"/>
          <w:numId w:val="66"/>
        </w:numPr>
        <w:rPr>
          <w:rFonts w:ascii="Arial" w:cs="Arial" w:eastAsia="Arial" w:hAnsi="Arial"/>
          <w:sz w:val="14"/>
          <w:szCs w:val="14"/>
          <w:color w:val="auto"/>
        </w:rPr>
      </w:pPr>
      <w:r>
        <w:rPr>
          <w:rFonts w:ascii="Arial" w:cs="Arial" w:eastAsia="Arial" w:hAnsi="Arial"/>
          <w:sz w:val="14"/>
          <w:szCs w:val="14"/>
          <w:color w:val="auto"/>
        </w:rPr>
        <w:t>has any class of securities listed on a national securities exchange subject to a maximum market capitalization of $250.0 million; or</w:t>
      </w:r>
    </w:p>
    <w:p>
      <w:pPr>
        <w:spacing w:after="0" w:line="55" w:lineRule="exact"/>
        <w:rPr>
          <w:rFonts w:ascii="Arial" w:cs="Arial" w:eastAsia="Arial" w:hAnsi="Arial"/>
          <w:sz w:val="14"/>
          <w:szCs w:val="14"/>
          <w:color w:val="auto"/>
        </w:rPr>
      </w:pPr>
    </w:p>
    <w:p>
      <w:pPr>
        <w:ind w:left="1940" w:right="340" w:hanging="338"/>
        <w:spacing w:after="0" w:line="317" w:lineRule="auto"/>
        <w:tabs>
          <w:tab w:leader="none" w:pos="1940" w:val="left"/>
        </w:tabs>
        <w:numPr>
          <w:ilvl w:val="2"/>
          <w:numId w:val="66"/>
        </w:numPr>
        <w:rPr>
          <w:rFonts w:ascii="Arial" w:cs="Arial" w:eastAsia="Arial" w:hAnsi="Arial"/>
          <w:sz w:val="12"/>
          <w:szCs w:val="12"/>
          <w:color w:val="auto"/>
        </w:rPr>
      </w:pPr>
      <w:r>
        <w:rPr>
          <w:rFonts w:ascii="Arial" w:cs="Arial" w:eastAsia="Arial" w:hAnsi="Arial"/>
          <w:sz w:val="12"/>
          <w:szCs w:val="12"/>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ind w:left="680" w:hanging="334"/>
        <w:spacing w:after="0"/>
        <w:tabs>
          <w:tab w:leader="none" w:pos="6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Securities of any eligible portfolio company which we control.</w:t>
      </w:r>
    </w:p>
    <w:p>
      <w:pPr>
        <w:spacing w:after="0" w:line="55" w:lineRule="exact"/>
        <w:rPr>
          <w:rFonts w:ascii="Arial" w:cs="Arial" w:eastAsia="Arial" w:hAnsi="Arial"/>
          <w:sz w:val="14"/>
          <w:szCs w:val="14"/>
          <w:color w:val="auto"/>
        </w:rPr>
      </w:pPr>
    </w:p>
    <w:p>
      <w:pPr>
        <w:ind w:left="680" w:right="60" w:hanging="334"/>
        <w:spacing w:after="0" w:line="233" w:lineRule="auto"/>
        <w:tabs>
          <w:tab w:leader="none" w:pos="6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44" w:lineRule="exact"/>
        <w:rPr>
          <w:rFonts w:ascii="Arial" w:cs="Arial" w:eastAsia="Arial" w:hAnsi="Arial"/>
          <w:sz w:val="14"/>
          <w:szCs w:val="14"/>
          <w:color w:val="auto"/>
        </w:rPr>
      </w:pPr>
    </w:p>
    <w:p>
      <w:pPr>
        <w:ind w:left="680" w:right="60" w:hanging="334"/>
        <w:spacing w:after="0" w:line="239" w:lineRule="auto"/>
        <w:tabs>
          <w:tab w:leader="none" w:pos="6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43" w:lineRule="exact"/>
        <w:rPr>
          <w:rFonts w:ascii="Arial" w:cs="Arial" w:eastAsia="Arial" w:hAnsi="Arial"/>
          <w:sz w:val="14"/>
          <w:szCs w:val="14"/>
          <w:color w:val="auto"/>
        </w:rPr>
      </w:pPr>
    </w:p>
    <w:p>
      <w:pPr>
        <w:ind w:left="680" w:hanging="334"/>
        <w:spacing w:after="0"/>
        <w:tabs>
          <w:tab w:leader="none" w:pos="6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Securities received in exchange for or distributed on or with respect to securities described in (1) through (4) above, or pursuant to the exercise of warrants or rights relating to such securities.</w:t>
      </w:r>
    </w:p>
    <w:p>
      <w:pPr>
        <w:spacing w:after="0" w:line="78" w:lineRule="exact"/>
        <w:rPr>
          <w:rFonts w:ascii="Arial" w:cs="Arial" w:eastAsia="Arial" w:hAnsi="Arial"/>
          <w:sz w:val="12"/>
          <w:szCs w:val="12"/>
          <w:color w:val="auto"/>
        </w:rPr>
      </w:pPr>
    </w:p>
    <w:p>
      <w:pPr>
        <w:ind w:left="680" w:hanging="334"/>
        <w:spacing w:after="0"/>
        <w:tabs>
          <w:tab w:leader="none" w:pos="6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Cash, cash equivalents, U.S. Government securities or high-quality debt securities maturing in one year or less from the time of investment.</w:t>
      </w:r>
    </w:p>
    <w:p>
      <w:pPr>
        <w:spacing w:after="0" w:line="150"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Managerial Assistance to Portfolio Companies</w:t>
      </w:r>
    </w:p>
    <w:p>
      <w:pPr>
        <w:spacing w:after="0" w:line="71"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Temporary Investments</w:t>
      </w:r>
    </w:p>
    <w:p>
      <w:pPr>
        <w:spacing w:after="0" w:line="71"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Securities</w:t>
      </w:r>
    </w:p>
    <w:p>
      <w:pPr>
        <w:spacing w:after="0" w:line="71"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We are permitted, under specified conditions, to issue multiple classes of indebtedness and one class of stock senior to our common stock if our asset coverage, as defined in the 1940 Act, is compliant with the 1940 Act.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Joint Code of Ethics and Code of Conduct</w:t>
      </w:r>
    </w:p>
    <w:p>
      <w:pPr>
        <w:spacing w:after="0" w:line="71" w:lineRule="exact"/>
        <w:rPr>
          <w:sz w:val="20"/>
          <w:szCs w:val="20"/>
          <w:color w:val="auto"/>
        </w:rPr>
      </w:pPr>
    </w:p>
    <w:p>
      <w:pPr>
        <w:ind w:firstLine="456"/>
        <w:spacing w:after="0" w:line="269" w:lineRule="auto"/>
        <w:rPr>
          <w:sz w:val="20"/>
          <w:szCs w:val="20"/>
          <w:color w:val="auto"/>
        </w:rPr>
      </w:pPr>
      <w:r>
        <w:rPr>
          <w:rFonts w:ascii="Arial" w:cs="Arial" w:eastAsia="Arial" w:hAnsi="Arial"/>
          <w:sz w:val="12"/>
          <w:szCs w:val="12"/>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You may also obtain a copy of our joint code of ethics, after paying a duplicating fee, by electronic request at the following email address: </w:t>
      </w:r>
      <w:r>
        <w:rPr>
          <w:rFonts w:ascii="Arial" w:cs="Arial" w:eastAsia="Arial" w:hAnsi="Arial"/>
          <w:sz w:val="12"/>
          <w:szCs w:val="12"/>
          <w:i w:val="1"/>
          <w:iCs w:val="1"/>
          <w:u w:val="single" w:color="auto"/>
          <w:color w:val="auto"/>
        </w:rPr>
        <w:t>publicinfo@sec.gov</w:t>
      </w:r>
      <w:r>
        <w:rPr>
          <w:rFonts w:ascii="Arial" w:cs="Arial" w:eastAsia="Arial" w:hAnsi="Arial"/>
          <w:sz w:val="12"/>
          <w:szCs w:val="12"/>
          <w:color w:val="auto"/>
        </w:rPr>
        <w:t>, or by writing the SEC’s Public Reference Section, 100 F Street, N.E., Washington, D.C. 20549.</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Voting Policies and Procedures</w:t>
      </w:r>
    </w:p>
    <w:p>
      <w:pPr>
        <w:spacing w:after="0" w:line="71" w:lineRule="exact"/>
        <w:rPr>
          <w:sz w:val="20"/>
          <w:szCs w:val="20"/>
          <w:color w:val="auto"/>
        </w:rPr>
      </w:pPr>
    </w:p>
    <w:p>
      <w:pPr>
        <w:ind w:right="180" w:firstLine="456"/>
        <w:spacing w:after="0" w:line="233" w:lineRule="auto"/>
        <w:rPr>
          <w:sz w:val="20"/>
          <w:szCs w:val="20"/>
          <w:color w:val="auto"/>
        </w:rPr>
      </w:pPr>
      <w:r>
        <w:rPr>
          <w:rFonts w:ascii="Arial" w:cs="Arial" w:eastAsia="Arial" w:hAnsi="Arial"/>
          <w:sz w:val="14"/>
          <w:szCs w:val="14"/>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Introduction</w:t>
      </w:r>
    </w:p>
    <w:p>
      <w:pPr>
        <w:spacing w:after="0" w:line="69"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These policies and procedures for voting proxies for our investment advisory clients are intended to comply with Section 206 of, and Rule 206(4)-6 under, the Advisers Act.</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Proxy Policies</w:t>
      </w:r>
    </w:p>
    <w:p>
      <w:pPr>
        <w:spacing w:after="0" w:line="69"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We vote proxies relating to our portfolio securities in what we perceive to be the best interest of our clients’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Our proxy voting decisions are made by the senior officers who are responsible for monitoring each of clients’ investments. To ensure that our vote is not the product of a conflict of interest, we require</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that: (1) anyone involved in the decision making process disclose to our Chief Compliance Officer any potential conflict that he or she is aware of and any contact that he or she has had with any interested party</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regarding a proxy vote; and (2) employees involved in the decision making process or vote administration are prohibited from revealing how we intend to vote on a proposal in order to reduce any attempted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influence from interested parties.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Proxy Voting Records</w:t>
      </w:r>
    </w:p>
    <w:p>
      <w:pPr>
        <w:spacing w:after="0" w:line="69" w:lineRule="exact"/>
        <w:rPr>
          <w:sz w:val="20"/>
          <w:szCs w:val="20"/>
          <w:color w:val="auto"/>
        </w:rPr>
      </w:pPr>
    </w:p>
    <w:p>
      <w:pPr>
        <w:ind w:right="480" w:firstLine="456"/>
        <w:spacing w:after="0" w:line="248" w:lineRule="auto"/>
        <w:rPr>
          <w:sz w:val="20"/>
          <w:szCs w:val="20"/>
          <w:color w:val="auto"/>
        </w:rPr>
      </w:pPr>
      <w:r>
        <w:rPr>
          <w:rFonts w:ascii="Arial" w:cs="Arial" w:eastAsia="Arial" w:hAnsi="Arial"/>
          <w:sz w:val="14"/>
          <w:szCs w:val="14"/>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 New York, New York 10022.</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Privacy Protection Principles</w:t>
      </w:r>
    </w:p>
    <w:p>
      <w:pPr>
        <w:spacing w:after="0" w:line="71"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3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39"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39"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 xml:space="preserve">Our privacy protection policies are available, free of charge, on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In addition, the privacy policy is available on the EDGAR Database on the SEC’s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filed as an exhibit to our annual report on Form 10-K (File No. 814-00891 filed on November 17, 2011). You may also obtain copies of our privacy policy, after paying a duplicating fee, by</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electronic request at the following email address: </w:t>
      </w:r>
      <w:r>
        <w:rPr>
          <w:rFonts w:ascii="Arial" w:cs="Arial" w:eastAsia="Arial" w:hAnsi="Arial"/>
          <w:sz w:val="12"/>
          <w:szCs w:val="12"/>
          <w:i w:val="1"/>
          <w:iCs w:val="1"/>
          <w:u w:val="single" w:color="auto"/>
          <w:color w:val="auto"/>
        </w:rPr>
        <w:t>publicinfo@sec.gov</w:t>
      </w:r>
      <w:r>
        <w:rPr>
          <w:rFonts w:ascii="Arial" w:cs="Arial" w:eastAsia="Arial" w:hAnsi="Arial"/>
          <w:sz w:val="12"/>
          <w:szCs w:val="12"/>
          <w:color w:val="auto"/>
        </w:rPr>
        <w:t>, or by writing the SEC’s Public Reference Section, 100 F Street, N.E., Washington, D.C. 20549.</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w:t>
      </w:r>
    </w:p>
    <w:p>
      <w:pPr>
        <w:spacing w:after="0" w:line="71" w:lineRule="exact"/>
        <w:rPr>
          <w:sz w:val="20"/>
          <w:szCs w:val="20"/>
          <w:color w:val="auto"/>
        </w:rPr>
      </w:pPr>
    </w:p>
    <w:p>
      <w:pPr>
        <w:ind w:right="280" w:firstLine="456"/>
        <w:spacing w:after="0" w:line="239" w:lineRule="auto"/>
        <w:rPr>
          <w:sz w:val="20"/>
          <w:szCs w:val="20"/>
          <w:color w:val="auto"/>
        </w:rPr>
      </w:pPr>
      <w:r>
        <w:rPr>
          <w:rFonts w:ascii="Arial" w:cs="Arial" w:eastAsia="Arial" w:hAnsi="Arial"/>
          <w:sz w:val="14"/>
          <w:szCs w:val="14"/>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will be periodically examined by the SEC for compliance with the 1940 Act.</w:t>
      </w:r>
    </w:p>
    <w:p>
      <w:pPr>
        <w:spacing w:after="0" w:line="150" w:lineRule="exact"/>
        <w:rPr>
          <w:sz w:val="20"/>
          <w:szCs w:val="20"/>
          <w:color w:val="auto"/>
        </w:rPr>
      </w:pPr>
    </w:p>
    <w:p>
      <w:pPr>
        <w:jc w:val="both"/>
        <w:ind w:right="20" w:firstLine="456"/>
        <w:spacing w:after="0" w:line="233" w:lineRule="auto"/>
        <w:rPr>
          <w:sz w:val="20"/>
          <w:szCs w:val="20"/>
          <w:color w:val="auto"/>
        </w:rPr>
      </w:pPr>
      <w:r>
        <w:rPr>
          <w:rFonts w:ascii="Arial" w:cs="Arial" w:eastAsia="Arial" w:hAnsi="Arial"/>
          <w:sz w:val="14"/>
          <w:szCs w:val="14"/>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Floating Rate Capital Ltd. or our stockholders arising from willful misfeasance, bad faith, gross negligence or reckless disregard of the duties involved in the conduct of such person’s office.</w:t>
      </w:r>
    </w:p>
    <w:p>
      <w:pPr>
        <w:spacing w:after="0" w:line="139" w:lineRule="exact"/>
        <w:rPr>
          <w:sz w:val="20"/>
          <w:szCs w:val="20"/>
          <w:color w:val="auto"/>
        </w:rPr>
      </w:pPr>
    </w:p>
    <w:p>
      <w:pPr>
        <w:ind w:right="200" w:firstLine="456"/>
        <w:spacing w:after="0" w:line="318" w:lineRule="auto"/>
        <w:rPr>
          <w:sz w:val="20"/>
          <w:szCs w:val="20"/>
          <w:color w:val="auto"/>
        </w:rPr>
      </w:pPr>
      <w:r>
        <w:rPr>
          <w:rFonts w:ascii="Arial" w:cs="Arial" w:eastAsia="Arial" w:hAnsi="Arial"/>
          <w:sz w:val="12"/>
          <w:szCs w:val="12"/>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Sarbanes-Oxley Act of 2002</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Sarbanes-Oxley Act imposes several regulatory requirements on publicly held companies and their insiders. Many of these requirements affect us.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For example:</w:t>
      </w:r>
    </w:p>
    <w:p>
      <w:pPr>
        <w:spacing w:after="0" w:line="69" w:lineRule="exact"/>
        <w:rPr>
          <w:sz w:val="20"/>
          <w:szCs w:val="20"/>
          <w:color w:val="auto"/>
        </w:rPr>
      </w:pPr>
    </w:p>
    <w:p>
      <w:pPr>
        <w:ind w:left="540" w:hanging="316"/>
        <w:spacing w:after="0"/>
        <w:tabs>
          <w:tab w:leader="none" w:pos="540" w:val="left"/>
        </w:tabs>
        <w:numPr>
          <w:ilvl w:val="0"/>
          <w:numId w:val="67"/>
        </w:numPr>
        <w:rPr>
          <w:rFonts w:ascii="Arial" w:cs="Arial" w:eastAsia="Arial" w:hAnsi="Arial"/>
          <w:sz w:val="12"/>
          <w:szCs w:val="12"/>
          <w:color w:val="auto"/>
        </w:rPr>
      </w:pPr>
      <w:r>
        <w:rPr>
          <w:rFonts w:ascii="Arial" w:cs="Arial" w:eastAsia="Arial" w:hAnsi="Arial"/>
          <w:sz w:val="12"/>
          <w:szCs w:val="12"/>
          <w:color w:val="auto"/>
        </w:rPr>
        <w:t>pursuant to Rule 13a-14 of the Exchange Act, our Chief Executive Officer and Chief Financial Officer must certify the accuracy of the financial statements contained in our periodic reports;</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pursuant to Item 307 of Regulation S-K, our periodic reports must disclose our conclusions about the effectiveness of our disclosure controls and procedures;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pursuant to Rule 13a-15 of the Exchange Act, our management must prepare an annual report regarding its assessment of our internal controls over financial reporting; and</w:t>
      </w:r>
    </w:p>
    <w:p>
      <w:pPr>
        <w:spacing w:after="0" w:line="55" w:lineRule="exact"/>
        <w:rPr>
          <w:rFonts w:ascii="Arial" w:cs="Arial" w:eastAsia="Arial" w:hAnsi="Arial"/>
          <w:sz w:val="14"/>
          <w:szCs w:val="14"/>
          <w:color w:val="auto"/>
        </w:rPr>
      </w:pPr>
    </w:p>
    <w:p>
      <w:pPr>
        <w:ind w:left="540" w:hanging="316"/>
        <w:spacing w:after="0" w:line="233" w:lineRule="auto"/>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220" w:lineRule="exact"/>
        <w:rPr>
          <w:sz w:val="20"/>
          <w:szCs w:val="20"/>
          <w:color w:val="auto"/>
        </w:rPr>
      </w:pPr>
    </w:p>
    <w:p>
      <w:pPr>
        <w:ind w:right="400" w:firstLine="456"/>
        <w:spacing w:after="0" w:line="318" w:lineRule="auto"/>
        <w:rPr>
          <w:sz w:val="20"/>
          <w:szCs w:val="20"/>
          <w:color w:val="auto"/>
        </w:rPr>
      </w:pPr>
      <w:r>
        <w:rPr>
          <w:rFonts w:ascii="Arial" w:cs="Arial" w:eastAsia="Arial" w:hAnsi="Arial"/>
          <w:sz w:val="12"/>
          <w:szCs w:val="12"/>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BROKERAGE ALLOCATIONS AND OTHER PRACTICES</w:t>
      </w:r>
    </w:p>
    <w:p>
      <w:pPr>
        <w:spacing w:after="0" w:line="152"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Floating Rate Capital Ltd.,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MATERIAL U.S. FEDERAL INCOME TAX CONSIDERATIONS</w:t>
      </w:r>
    </w:p>
    <w:p>
      <w:pPr>
        <w:spacing w:after="0" w:line="152"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“U.S. stockholder” generally is a beneficial owner of shares of our common stock that is for U.S. federal income tax purposes:</w:t>
      </w:r>
    </w:p>
    <w:p>
      <w:pPr>
        <w:spacing w:after="0" w:line="55" w:lineRule="exact"/>
        <w:rPr>
          <w:sz w:val="20"/>
          <w:szCs w:val="20"/>
          <w:color w:val="auto"/>
        </w:rPr>
      </w:pPr>
    </w:p>
    <w:p>
      <w:pPr>
        <w:ind w:left="540" w:hanging="316"/>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 citizen or individual resident of the United States;</w:t>
      </w:r>
    </w:p>
    <w:p>
      <w:pPr>
        <w:spacing w:after="0" w:line="55"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 corporation, or other entity treated as a corporation for U.S. federal income tax purposes, created or organized in or under the laws of the United States or any state thereof or the District of Columbia; or</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 trust or an estate, the income of which is subject to U.S. federal income taxation regardless of its source.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“Non-U.S. stockholder” is a beneficial owner of shares of our common stock that is neither a U.S. stockholder nor a partnership for U.S. federal income tax purposes.</w:t>
      </w:r>
    </w:p>
    <w:p>
      <w:pPr>
        <w:spacing w:after="0" w:line="150" w:lineRule="exact"/>
        <w:rPr>
          <w:sz w:val="20"/>
          <w:szCs w:val="20"/>
          <w:color w:val="auto"/>
        </w:rPr>
      </w:pPr>
    </w:p>
    <w:p>
      <w:pPr>
        <w:ind w:right="280" w:firstLine="456"/>
        <w:spacing w:after="0" w:line="233" w:lineRule="auto"/>
        <w:rPr>
          <w:sz w:val="20"/>
          <w:szCs w:val="20"/>
          <w:color w:val="auto"/>
        </w:rPr>
      </w:pPr>
      <w:r>
        <w:rPr>
          <w:rFonts w:ascii="Arial" w:cs="Arial" w:eastAsia="Arial" w:hAnsi="Arial"/>
          <w:sz w:val="14"/>
          <w:szCs w:val="14"/>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39" w:lineRule="exact"/>
        <w:rPr>
          <w:sz w:val="20"/>
          <w:szCs w:val="20"/>
          <w:color w:val="auto"/>
        </w:rPr>
      </w:pPr>
    </w:p>
    <w:p>
      <w:pPr>
        <w:jc w:val="both"/>
        <w:ind w:right="100" w:firstLine="456"/>
        <w:spacing w:after="0" w:line="233" w:lineRule="auto"/>
        <w:rPr>
          <w:sz w:val="20"/>
          <w:szCs w:val="20"/>
          <w:color w:val="auto"/>
        </w:rPr>
      </w:pPr>
      <w:r>
        <w:rPr>
          <w:rFonts w:ascii="Arial" w:cs="Arial" w:eastAsia="Arial" w:hAnsi="Arial"/>
          <w:sz w:val="14"/>
          <w:szCs w:val="14"/>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in Connection with Holding Securities other than our Common Stock</w:t>
      </w:r>
    </w:p>
    <w:p>
      <w:pPr>
        <w:spacing w:after="0" w:line="71" w:lineRule="exact"/>
        <w:rPr>
          <w:sz w:val="20"/>
          <w:szCs w:val="20"/>
          <w:color w:val="auto"/>
        </w:rPr>
      </w:pPr>
    </w:p>
    <w:p>
      <w:pPr>
        <w:ind w:right="200" w:firstLine="456"/>
        <w:spacing w:after="0" w:line="230" w:lineRule="auto"/>
        <w:rPr>
          <w:sz w:val="20"/>
          <w:szCs w:val="20"/>
          <w:color w:val="auto"/>
        </w:rPr>
      </w:pPr>
      <w:r>
        <w:rPr>
          <w:rFonts w:ascii="Arial" w:cs="Arial" w:eastAsia="Arial" w:hAnsi="Arial"/>
          <w:sz w:val="14"/>
          <w:szCs w:val="14"/>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Election to be Taxed as a RIC</w:t>
      </w:r>
    </w:p>
    <w:p>
      <w:pPr>
        <w:spacing w:after="0" w:line="71"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have elected to be taxed, and intend to qualify annually to maintain our election to be taxed, as a RIC under Subchapter M of the Code. To maintain RIC tax election we must, among other requirements, meet certain source-of-income and quarterly asset diversification requirements (as described below). We also must annually distribute dividends of at least 90% of the sum of our ordinary income and realized net short-term capital gains in excess of realized net long-term capital losses, if any, out of the assets legally available for distribution, or the Annual Distribution Requirement.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capital gains net income for the one-year period ending on October 31 of the calendar year and (3) the sum of any net ordinary income plus capital gains net income for preceding years that were not distributed during such years,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ordinary income to provide us with additional liquidity.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order to qualify as a RIC for federal income tax purposes, we must:</w:t>
      </w:r>
    </w:p>
    <w:p>
      <w:pPr>
        <w:spacing w:after="0" w:line="55" w:lineRule="exact"/>
        <w:rPr>
          <w:sz w:val="20"/>
          <w:szCs w:val="20"/>
          <w:color w:val="auto"/>
        </w:rPr>
      </w:pPr>
    </w:p>
    <w:p>
      <w:pPr>
        <w:ind w:left="540" w:hanging="316"/>
        <w:spacing w:after="0"/>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maintain an election to be treated as a BDC under the 1940 Act at all times during each taxable year;</w:t>
      </w:r>
    </w:p>
    <w:p>
      <w:pPr>
        <w:spacing w:after="0" w:line="55" w:lineRule="exact"/>
        <w:rPr>
          <w:rFonts w:ascii="Arial" w:cs="Arial" w:eastAsia="Arial" w:hAnsi="Arial"/>
          <w:sz w:val="14"/>
          <w:szCs w:val="14"/>
          <w:color w:val="auto"/>
        </w:rPr>
      </w:pPr>
    </w:p>
    <w:p>
      <w:pPr>
        <w:ind w:left="540" w:right="100" w:hanging="316"/>
        <w:spacing w:after="0" w:line="317" w:lineRule="auto"/>
        <w:tabs>
          <w:tab w:leader="none" w:pos="540" w:val="left"/>
        </w:tabs>
        <w:numPr>
          <w:ilvl w:val="0"/>
          <w:numId w:val="69"/>
        </w:numPr>
        <w:rPr>
          <w:rFonts w:ascii="Arial" w:cs="Arial" w:eastAsia="Arial" w:hAnsi="Arial"/>
          <w:sz w:val="12"/>
          <w:szCs w:val="12"/>
          <w:color w:val="auto"/>
        </w:rPr>
      </w:pPr>
      <w:r>
        <w:rPr>
          <w:rFonts w:ascii="Arial" w:cs="Arial" w:eastAsia="Arial" w:hAnsi="Arial"/>
          <w:sz w:val="12"/>
          <w:szCs w:val="12"/>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ind w:left="540" w:hanging="316"/>
        <w:spacing w:after="0"/>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diversify our holdings, or the Diversification Tests, so that at the end of each quarter of the taxable year:</w:t>
      </w:r>
    </w:p>
    <w:p>
      <w:pPr>
        <w:spacing w:after="0" w:line="55" w:lineRule="exact"/>
        <w:rPr>
          <w:rFonts w:ascii="Arial" w:cs="Arial" w:eastAsia="Arial" w:hAnsi="Arial"/>
          <w:sz w:val="14"/>
          <w:szCs w:val="14"/>
          <w:color w:val="auto"/>
        </w:rPr>
      </w:pPr>
    </w:p>
    <w:p>
      <w:pPr>
        <w:ind w:left="1380" w:right="280" w:hanging="346"/>
        <w:spacing w:after="0" w:line="317" w:lineRule="auto"/>
        <w:tabs>
          <w:tab w:leader="none" w:pos="1380" w:val="left"/>
        </w:tabs>
        <w:numPr>
          <w:ilvl w:val="1"/>
          <w:numId w:val="69"/>
        </w:numPr>
        <w:rPr>
          <w:rFonts w:ascii="Arial" w:cs="Arial" w:eastAsia="Arial" w:hAnsi="Arial"/>
          <w:sz w:val="12"/>
          <w:szCs w:val="12"/>
          <w:color w:val="auto"/>
        </w:rPr>
      </w:pPr>
      <w:r>
        <w:rPr>
          <w:rFonts w:ascii="Arial" w:cs="Arial" w:eastAsia="Arial" w:hAnsi="Arial"/>
          <w:sz w:val="12"/>
          <w:szCs w:val="12"/>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ind w:left="1380" w:hanging="346"/>
        <w:spacing w:after="0" w:line="318" w:lineRule="auto"/>
        <w:tabs>
          <w:tab w:leader="none" w:pos="1380" w:val="left"/>
        </w:tabs>
        <w:numPr>
          <w:ilvl w:val="1"/>
          <w:numId w:val="69"/>
        </w:numPr>
        <w:rPr>
          <w:rFonts w:ascii="Arial" w:cs="Arial" w:eastAsia="Arial" w:hAnsi="Arial"/>
          <w:sz w:val="12"/>
          <w:szCs w:val="12"/>
          <w:color w:val="auto"/>
        </w:rPr>
      </w:pPr>
      <w:r>
        <w:rPr>
          <w:rFonts w:ascii="Arial" w:cs="Arial" w:eastAsia="Arial" w:hAnsi="Arial"/>
          <w:sz w:val="12"/>
          <w:szCs w:val="12"/>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as a RIC</w:t>
      </w:r>
    </w:p>
    <w:p>
      <w:pPr>
        <w:spacing w:after="0" w:line="71"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39" w:lineRule="exact"/>
        <w:rPr>
          <w:sz w:val="20"/>
          <w:szCs w:val="20"/>
          <w:color w:val="auto"/>
        </w:rPr>
      </w:pPr>
    </w:p>
    <w:p>
      <w:pPr>
        <w:ind w:right="140" w:firstLine="456"/>
        <w:spacing w:after="0" w:line="278" w:lineRule="auto"/>
        <w:rPr>
          <w:sz w:val="20"/>
          <w:szCs w:val="20"/>
          <w:color w:val="auto"/>
        </w:rPr>
      </w:pPr>
      <w:r>
        <w:rPr>
          <w:rFonts w:ascii="Arial" w:cs="Arial" w:eastAsia="Arial" w:hAnsi="Arial"/>
          <w:sz w:val="12"/>
          <w:szCs w:val="12"/>
          <w:color w:val="auto"/>
        </w:rPr>
        <w:t>We may be required to recognize taxable income in circumstances in which we do not receive cash. For example, if we hold debt obligations that are treated under applicable tax rules as having OID (such as debt instruments with PIK interest or, in certain cases, increasing interest rates or issued with warrants), we must include in income each year a portion of the OID that accrues over the life of the obligation, regardless of whether cash representing such income is received by us in the same taxable year. Because any OID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17"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3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17" w:lineRule="exact"/>
        <w:rPr>
          <w:sz w:val="20"/>
          <w:szCs w:val="20"/>
          <w:color w:val="auto"/>
        </w:rPr>
      </w:pPr>
    </w:p>
    <w:p>
      <w:pPr>
        <w:ind w:right="180" w:firstLine="456"/>
        <w:spacing w:after="0" w:line="230"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Failure to Qualify as a RIC</w:t>
      </w:r>
    </w:p>
    <w:p>
      <w:pPr>
        <w:spacing w:after="0" w:line="71"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3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If we are unable to maintain our status as a RIC, we would be subject to tax on all of our taxable income at regular corporate rates. We would not be able to deduct distributions to stockholders, nor would distributions be required to be made. Distributions would generally be taxable to our stockholders as ordinary distribution income eligible for the preferential maximum rate to the extent of our current and accumulated earnings and profits. Subject to certain limitations under the Code, dividends paid by us to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remainder of this discussion assumes that we qualify as a RIC and have satisfied the Annual Distribution Requirement.</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of U.S. Stockholders</w:t>
      </w:r>
    </w:p>
    <w:p>
      <w:pPr>
        <w:spacing w:after="0" w:line="71" w:lineRule="exact"/>
        <w:rPr>
          <w:sz w:val="20"/>
          <w:szCs w:val="20"/>
          <w:color w:val="auto"/>
        </w:rPr>
      </w:pPr>
    </w:p>
    <w:p>
      <w:pPr>
        <w:ind w:right="40" w:firstLine="456"/>
        <w:spacing w:after="0" w:line="265" w:lineRule="auto"/>
        <w:rPr>
          <w:sz w:val="20"/>
          <w:szCs w:val="20"/>
          <w:color w:val="auto"/>
        </w:rPr>
      </w:pPr>
      <w:r>
        <w:rPr>
          <w:rFonts w:ascii="Arial" w:cs="Arial" w:eastAsia="Arial" w:hAnsi="Arial"/>
          <w:sz w:val="12"/>
          <w:szCs w:val="12"/>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8" w:lineRule="exact"/>
        <w:rPr>
          <w:sz w:val="20"/>
          <w:szCs w:val="20"/>
          <w:color w:val="auto"/>
        </w:rPr>
      </w:pPr>
    </w:p>
    <w:p>
      <w:pPr>
        <w:ind w:right="40" w:firstLine="456"/>
        <w:spacing w:after="0" w:line="265" w:lineRule="auto"/>
        <w:rPr>
          <w:sz w:val="20"/>
          <w:szCs w:val="20"/>
          <w:color w:val="auto"/>
        </w:rPr>
      </w:pPr>
      <w:r>
        <w:rPr>
          <w:rFonts w:ascii="Arial" w:cs="Arial" w:eastAsia="Arial" w:hAnsi="Arial"/>
          <w:sz w:val="12"/>
          <w:szCs w:val="12"/>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8"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0"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39"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20"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In general, individual U.S. stockholders currently are subject to a maximum federal income tax rate of either 15% or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22"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For taxable years beginning after December 31, 2012, an additional 3.8% Medicare tax will be imposed on certain net investment income (including ordinary dividends and capital gain distributions received from us and net gains from redemptions or other taxable dispositions of our shares) of U.S. individuals, estates and trusts to the extent that such person’s “modified adjusted gross income” (in the case of an individual) or “adjusted gross income” (in the case of an estate or trust) exceeds certain threshold amounts.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preferential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7"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Recent legislation requires reporting of adjusted cost basis information for covered securities, which generally include shares of a RIC acquired after January 1, 2012, to the Internal Revenue Service and to taxpayers. Stockholders should contact their financial intermediaries with respect to reporting of cost basis and available elections for their accounts.</w:t>
      </w:r>
    </w:p>
    <w:p>
      <w:pPr>
        <w:spacing w:after="0" w:line="13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U.S. stockholders may be subject to federal income tax withholding (“backup withholding”) currently at a rate of 28%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of Non-U.S. Stockholders</w:t>
      </w:r>
    </w:p>
    <w:p>
      <w:pPr>
        <w:spacing w:after="0" w:line="71"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39"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w:t>
      </w:r>
    </w:p>
    <w:p>
      <w:pPr>
        <w:spacing w:after="0" w:line="140" w:lineRule="exact"/>
        <w:rPr>
          <w:sz w:val="20"/>
          <w:szCs w:val="20"/>
          <w:color w:val="auto"/>
        </w:rPr>
      </w:pPr>
    </w:p>
    <w:p>
      <w:pPr>
        <w:jc w:val="both"/>
        <w:ind w:right="80" w:firstLine="456"/>
        <w:spacing w:after="0" w:line="230" w:lineRule="auto"/>
        <w:rPr>
          <w:sz w:val="20"/>
          <w:szCs w:val="20"/>
          <w:color w:val="auto"/>
        </w:rPr>
      </w:pPr>
      <w:r>
        <w:rPr>
          <w:rFonts w:ascii="Arial" w:cs="Arial" w:eastAsia="Arial" w:hAnsi="Arial"/>
          <w:sz w:val="14"/>
          <w:szCs w:val="14"/>
          <w:color w:val="auto"/>
        </w:rPr>
        <w:t>In addition, with respect to certain distributions made by RICs to Non-U.S. stockholders in taxable years beginning before January 1, 2014,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No assurance can be given as to whether legislation will be enacted to extend the application of this provision to taxable years of RICs beginning on or after January 1, 2014.</w:t>
      </w:r>
    </w:p>
    <w:p>
      <w:pPr>
        <w:spacing w:after="0" w:line="139" w:lineRule="exact"/>
        <w:rPr>
          <w:sz w:val="20"/>
          <w:szCs w:val="20"/>
          <w:color w:val="auto"/>
        </w:rPr>
      </w:pPr>
    </w:p>
    <w:p>
      <w:pPr>
        <w:ind w:right="260" w:firstLine="456"/>
        <w:spacing w:after="0" w:line="278" w:lineRule="auto"/>
        <w:rPr>
          <w:sz w:val="20"/>
          <w:szCs w:val="20"/>
          <w:color w:val="auto"/>
        </w:rPr>
      </w:pPr>
      <w:r>
        <w:rPr>
          <w:rFonts w:ascii="Arial" w:cs="Arial" w:eastAsia="Arial" w:hAnsi="Arial"/>
          <w:sz w:val="12"/>
          <w:szCs w:val="12"/>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17"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Effective January 1, 2014, withholding agents will be required to withhold U.S. tax (at a 30% rate) on payments of taxable dividends and (effective January 1, 2017) redemption proceeds made to certain non-U.S. entities that fail to comply (or be deemed compliant) with extensive new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w:t>
      </w:r>
    </w:p>
    <w:p>
      <w:pPr>
        <w:spacing w:after="0" w:line="111" w:lineRule="exact"/>
        <w:rPr>
          <w:sz w:val="20"/>
          <w:szCs w:val="20"/>
          <w:color w:val="auto"/>
        </w:rPr>
      </w:pPr>
    </w:p>
    <w:p>
      <w:pPr>
        <w:ind w:right="40" w:firstLine="456"/>
        <w:spacing w:after="0" w:line="227" w:lineRule="auto"/>
        <w:rPr>
          <w:sz w:val="20"/>
          <w:szCs w:val="20"/>
          <w:color w:val="auto"/>
        </w:rPr>
      </w:pPr>
      <w:r>
        <w:rPr>
          <w:rFonts w:ascii="Arial" w:cs="Arial" w:eastAsia="Arial" w:hAnsi="Arial"/>
          <w:sz w:val="14"/>
          <w:szCs w:val="14"/>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40" w:lineRule="exact"/>
        <w:rPr>
          <w:sz w:val="20"/>
          <w:szCs w:val="20"/>
          <w:color w:val="auto"/>
        </w:rPr>
      </w:pPr>
    </w:p>
    <w:p>
      <w:pPr>
        <w:jc w:val="both"/>
        <w:ind w:right="180" w:firstLine="456"/>
        <w:spacing w:after="0" w:line="288" w:lineRule="auto"/>
        <w:rPr>
          <w:sz w:val="20"/>
          <w:szCs w:val="20"/>
          <w:color w:val="auto"/>
        </w:rPr>
      </w:pPr>
      <w:r>
        <w:rPr>
          <w:rFonts w:ascii="Arial" w:cs="Arial" w:eastAsia="Arial" w:hAnsi="Arial"/>
          <w:sz w:val="12"/>
          <w:szCs w:val="12"/>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Non-U.S. stockholders may also be subject to U.S. estate tax with respect to their investment in our common shares.</w:t>
      </w:r>
    </w:p>
    <w:p>
      <w:pPr>
        <w:spacing w:after="0" w:line="150" w:lineRule="exact"/>
        <w:rPr>
          <w:sz w:val="20"/>
          <w:szCs w:val="20"/>
          <w:color w:val="auto"/>
        </w:rPr>
      </w:pPr>
    </w:p>
    <w:p>
      <w:pPr>
        <w:jc w:val="center"/>
        <w:ind w:left="380" w:right="320"/>
        <w:spacing w:after="0" w:line="459" w:lineRule="auto"/>
        <w:rPr>
          <w:sz w:val="20"/>
          <w:szCs w:val="20"/>
          <w:color w:val="auto"/>
        </w:rPr>
      </w:pPr>
      <w:r>
        <w:rPr>
          <w:rFonts w:ascii="Arial" w:cs="Arial" w:eastAsia="Arial" w:hAnsi="Arial"/>
          <w:sz w:val="14"/>
          <w:szCs w:val="14"/>
          <w:color w:val="auto"/>
        </w:rPr>
        <w:t>Non-U.S. persons should consult their own tax advisors with respect to the U.S. federal income tax and withholding tax, and state, local and foreign tax consequences of an investment in the shares. 101</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PLAN OF DISTRIBUTION</w:t>
      </w:r>
    </w:p>
    <w:p>
      <w:pPr>
        <w:spacing w:after="0" w:line="152" w:lineRule="exact"/>
        <w:rPr>
          <w:sz w:val="20"/>
          <w:szCs w:val="20"/>
          <w:color w:val="auto"/>
        </w:rPr>
      </w:pPr>
    </w:p>
    <w:p>
      <w:pPr>
        <w:jc w:val="both"/>
        <w:ind w:right="80" w:firstLine="456"/>
        <w:spacing w:after="0" w:line="233" w:lineRule="auto"/>
        <w:rPr>
          <w:sz w:val="20"/>
          <w:szCs w:val="20"/>
          <w:color w:val="auto"/>
        </w:rPr>
      </w:pPr>
      <w:r>
        <w:rPr>
          <w:rFonts w:ascii="Arial" w:cs="Arial" w:eastAsia="Arial" w:hAnsi="Arial"/>
          <w:sz w:val="14"/>
          <w:szCs w:val="14"/>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58" w:lineRule="exact"/>
        <w:rPr>
          <w:sz w:val="20"/>
          <w:szCs w:val="20"/>
          <w:color w:val="auto"/>
        </w:rPr>
      </w:pPr>
    </w:p>
    <w:p>
      <w:pPr>
        <w:ind w:left="540" w:hanging="316"/>
        <w:spacing w:after="0"/>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name or names of any underwriters, dealers or agents and the amounts of securities underwritten or purchased by each of them;</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offering price of the securities and the proceeds to us and any discounts, commissions or concessions allowed or reallowed or paid to dealers;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any securities exchanges on which the securities may be listed.</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Any offering price and any discounts or concessions allowed or reallowed or paid to dealers may be changed from time to time.</w:t>
      </w:r>
    </w:p>
    <w:p>
      <w:pPr>
        <w:spacing w:after="0" w:line="150" w:lineRule="exact"/>
        <w:rPr>
          <w:sz w:val="20"/>
          <w:szCs w:val="20"/>
          <w:color w:val="auto"/>
        </w:rPr>
      </w:pPr>
    </w:p>
    <w:p>
      <w:pPr>
        <w:ind w:right="340" w:firstLine="456"/>
        <w:spacing w:after="0" w:line="239" w:lineRule="auto"/>
        <w:rPr>
          <w:sz w:val="20"/>
          <w:szCs w:val="20"/>
          <w:color w:val="auto"/>
        </w:rPr>
      </w:pPr>
      <w:r>
        <w:rPr>
          <w:rFonts w:ascii="Arial" w:cs="Arial" w:eastAsia="Arial" w:hAnsi="Arial"/>
          <w:sz w:val="14"/>
          <w:szCs w:val="14"/>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139"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39" w:lineRule="exact"/>
        <w:rPr>
          <w:sz w:val="20"/>
          <w:szCs w:val="20"/>
          <w:color w:val="auto"/>
        </w:rPr>
      </w:pPr>
    </w:p>
    <w:p>
      <w:pPr>
        <w:ind w:right="200" w:firstLine="456"/>
        <w:spacing w:after="0" w:line="318" w:lineRule="auto"/>
        <w:rPr>
          <w:sz w:val="20"/>
          <w:szCs w:val="20"/>
          <w:color w:val="auto"/>
        </w:rPr>
      </w:pPr>
      <w:r>
        <w:rPr>
          <w:rFonts w:ascii="Arial" w:cs="Arial" w:eastAsia="Arial" w:hAnsi="Arial"/>
          <w:sz w:val="12"/>
          <w:szCs w:val="12"/>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may sell the securities through agents from time to time. The prospectus supplement will name any agent involved in the offer or sale of the securities and any commissions we pay to them.</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Generally, any agent will be acting on a best efforts basis for the period of its appointment.</w:t>
      </w:r>
    </w:p>
    <w:p>
      <w:pPr>
        <w:spacing w:after="0" w:line="13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2"/>
          <w:szCs w:val="12"/>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23"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SUB-ADMINISTRATOR, CUSTODIAN, TRANSFER AGENT AND TRUSTEE</w:t>
      </w:r>
    </w:p>
    <w:p>
      <w:pPr>
        <w:spacing w:after="0" w:line="152" w:lineRule="exact"/>
        <w:rPr>
          <w:sz w:val="20"/>
          <w:szCs w:val="20"/>
          <w:color w:val="auto"/>
        </w:rPr>
      </w:pPr>
    </w:p>
    <w:p>
      <w:pPr>
        <w:ind w:firstLine="456"/>
        <w:spacing w:after="0" w:line="205" w:lineRule="auto"/>
        <w:rPr>
          <w:sz w:val="20"/>
          <w:szCs w:val="20"/>
          <w:color w:val="auto"/>
        </w:rPr>
      </w:pPr>
      <w:r>
        <w:rPr>
          <w:rFonts w:ascii="Arial" w:cs="Arial" w:eastAsia="Arial" w:hAnsi="Arial"/>
          <w:sz w:val="14"/>
          <w:szCs w:val="14"/>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One Wall Street, New York, NY 10286. American Stock Transfer &amp; Trust Company, LLC acts as our transfer agent, distribution paying agent and registrar. The principal business address of American Stock Transfer &amp; Trust Company, LLC is 6201 15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Avenue, 3</w:t>
      </w:r>
      <w:r>
        <w:rPr>
          <w:rFonts w:ascii="Arial" w:cs="Arial" w:eastAsia="Arial" w:hAnsi="Arial"/>
          <w:sz w:val="22"/>
          <w:szCs w:val="22"/>
          <w:color w:val="auto"/>
          <w:vertAlign w:val="superscript"/>
        </w:rPr>
        <w:t>rd</w:t>
      </w:r>
      <w:r>
        <w:rPr>
          <w:rFonts w:ascii="Arial" w:cs="Arial" w:eastAsia="Arial" w:hAnsi="Arial"/>
          <w:sz w:val="14"/>
          <w:szCs w:val="14"/>
          <w:color w:val="auto"/>
        </w:rPr>
        <w:t xml:space="preserve"> floor, Brooklyn, NY 11219, telephone number: (800) 937-5449. American Stock Transfer &amp; Trust Company, LLC may also serve as trustee for offerings of our debt securities.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LEGAL MATTERS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Certain legal matters regarding the securities offered by this prospectus will be passed upon for us by Dechert LLP, Washington, D.C., and by Venable LLP, as special Maryland counsel.</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INDEPENDENT REGISTERED PUBLIC ACCOUNTING FIRM</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KPMG LLP, our independent registered public accounting firm, is located at 345 Park Avenue, New York, New York 10154.</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720" w:type="dxa"/>
            <w:vAlign w:val="bottom"/>
            <w:gridSpan w:val="12"/>
          </w:tcPr>
          <w:p>
            <w:pPr>
              <w:jc w:val="center"/>
              <w:ind w:right="2640"/>
              <w:spacing w:after="0"/>
              <w:rPr>
                <w:sz w:val="20"/>
                <w:szCs w:val="20"/>
                <w:color w:val="auto"/>
              </w:rPr>
            </w:pPr>
            <w:r>
              <w:rPr>
                <w:rFonts w:ascii="Arial" w:cs="Arial" w:eastAsia="Arial" w:hAnsi="Arial"/>
                <w:sz w:val="14"/>
                <w:szCs w:val="14"/>
                <w:b w:val="1"/>
                <w:bCs w:val="1"/>
                <w:color w:val="auto"/>
                <w:w w:val="97"/>
              </w:rPr>
              <w:t>INDEX TO CONSOLIDATED FINANCIAL STATEMENTS</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3"/>
        </w:trPr>
        <w:tc>
          <w:tcPr>
            <w:tcW w:w="10400" w:type="dxa"/>
            <w:vAlign w:val="bottom"/>
            <w:gridSpan w:val="17"/>
          </w:tcPr>
          <w:p>
            <w:pPr>
              <w:spacing w:after="0"/>
              <w:rPr>
                <w:sz w:val="20"/>
                <w:szCs w:val="20"/>
                <w:color w:val="auto"/>
              </w:rPr>
            </w:pPr>
            <w:r>
              <w:rPr>
                <w:rFonts w:ascii="Arial" w:cs="Arial" w:eastAsia="Arial" w:hAnsi="Arial"/>
                <w:sz w:val="14"/>
                <w:szCs w:val="14"/>
                <w:b w:val="1"/>
                <w:bCs w:val="1"/>
                <w:color w:val="auto"/>
              </w:rPr>
              <w:t>PennantPark Floating Rate Capital Ltd. and subsidiary</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400" w:type="dxa"/>
            <w:vAlign w:val="bottom"/>
            <w:gridSpan w:val="17"/>
          </w:tcPr>
          <w:p>
            <w:pPr>
              <w:spacing w:after="0"/>
              <w:rPr>
                <w:sz w:val="20"/>
                <w:szCs w:val="20"/>
                <w:color w:val="auto"/>
              </w:rPr>
            </w:pPr>
            <w:r>
              <w:rPr>
                <w:rFonts w:ascii="Arial" w:cs="Arial" w:eastAsia="Arial" w:hAnsi="Arial"/>
                <w:sz w:val="14"/>
                <w:szCs w:val="14"/>
                <w:b w:val="1"/>
                <w:bCs w:val="1"/>
                <w:color w:val="auto"/>
              </w:rPr>
              <w:t>Annual Financial Statements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0" w:type="dxa"/>
            <w:vAlign w:val="bottom"/>
            <w:gridSpan w:val="17"/>
          </w:tcPr>
          <w:p>
            <w:pPr>
              <w:spacing w:after="0"/>
              <w:rPr>
                <w:rFonts w:ascii="Arial" w:cs="Arial" w:eastAsia="Arial" w:hAnsi="Arial"/>
                <w:sz w:val="14"/>
                <w:szCs w:val="14"/>
                <w:color w:val="0000EE"/>
              </w:rPr>
            </w:pPr>
            <w:hyperlink w:anchor="page110">
              <w:r>
                <w:rPr>
                  <w:rFonts w:ascii="Arial" w:cs="Arial" w:eastAsia="Arial" w:hAnsi="Arial"/>
                  <w:sz w:val="14"/>
                  <w:szCs w:val="14"/>
                  <w:color w:val="0000EE"/>
                </w:rPr>
                <w:t>Management’s Report on Internal Control Over Financial Reporting</w:t>
              </w:r>
            </w:hyperlink>
          </w:p>
        </w:tc>
        <w:tc>
          <w:tcPr>
            <w:tcW w:w="960" w:type="dxa"/>
            <w:vAlign w:val="bottom"/>
          </w:tcPr>
          <w:p>
            <w:pPr>
              <w:jc w:val="right"/>
              <w:spacing w:after="0"/>
              <w:rPr>
                <w:sz w:val="20"/>
                <w:szCs w:val="20"/>
                <w:color w:val="auto"/>
              </w:rPr>
            </w:pPr>
            <w:r>
              <w:rPr>
                <w:rFonts w:ascii="Arial" w:cs="Arial" w:eastAsia="Arial" w:hAnsi="Arial"/>
                <w:sz w:val="14"/>
                <w:szCs w:val="14"/>
                <w:color w:val="auto"/>
              </w:rPr>
              <w:t>F-2</w:t>
            </w:r>
          </w:p>
        </w:tc>
        <w:tc>
          <w:tcPr>
            <w:tcW w:w="0" w:type="dxa"/>
            <w:vAlign w:val="bottom"/>
          </w:tcPr>
          <w:p>
            <w:pPr>
              <w:spacing w:after="0"/>
              <w:rPr>
                <w:sz w:val="1"/>
                <w:szCs w:val="1"/>
                <w:color w:val="auto"/>
              </w:rPr>
            </w:pPr>
          </w:p>
        </w:tc>
      </w:tr>
      <w:tr>
        <w:trPr>
          <w:trHeight w:val="345"/>
        </w:trPr>
        <w:tc>
          <w:tcPr>
            <w:tcW w:w="3180" w:type="dxa"/>
            <w:vAlign w:val="bottom"/>
            <w:tcBorders>
              <w:top w:val="single" w:sz="8" w:color="0000EE"/>
              <w:bottom w:val="single" w:sz="8" w:color="0000EE"/>
            </w:tcBorders>
            <w:gridSpan w:val="4"/>
          </w:tcPr>
          <w:p>
            <w:pPr>
              <w:spacing w:after="0"/>
              <w:rPr>
                <w:rFonts w:ascii="Arial" w:cs="Arial" w:eastAsia="Arial" w:hAnsi="Arial"/>
                <w:sz w:val="14"/>
                <w:szCs w:val="14"/>
                <w:color w:val="0000EE"/>
                <w:w w:val="88"/>
              </w:rPr>
            </w:pPr>
            <w:hyperlink w:anchor="page111">
              <w:r>
                <w:rPr>
                  <w:rFonts w:ascii="Arial" w:cs="Arial" w:eastAsia="Arial" w:hAnsi="Arial"/>
                  <w:sz w:val="14"/>
                  <w:szCs w:val="14"/>
                  <w:color w:val="0000EE"/>
                  <w:w w:val="88"/>
                </w:rPr>
                <w:t>Report of Independent Registered Public Accounting Firm</w:t>
              </w:r>
            </w:hyperlink>
          </w:p>
        </w:tc>
        <w:tc>
          <w:tcPr>
            <w:tcW w:w="500" w:type="dxa"/>
            <w:vAlign w:val="bottom"/>
            <w:tcBorders>
              <w:top w:val="single" w:sz="8" w:color="0000EE"/>
            </w:tcBorders>
          </w:tcPr>
          <w:p>
            <w:pPr>
              <w:spacing w:after="0"/>
              <w:rPr>
                <w:sz w:val="24"/>
                <w:szCs w:val="24"/>
                <w:color w:val="auto"/>
              </w:rPr>
            </w:pPr>
          </w:p>
        </w:tc>
        <w:tc>
          <w:tcPr>
            <w:tcW w:w="6720" w:type="dxa"/>
            <w:vAlign w:val="bottom"/>
            <w:gridSpan w:val="1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F-3</w:t>
            </w:r>
          </w:p>
        </w:tc>
        <w:tc>
          <w:tcPr>
            <w:tcW w:w="0" w:type="dxa"/>
            <w:vAlign w:val="bottom"/>
          </w:tcPr>
          <w:p>
            <w:pPr>
              <w:spacing w:after="0"/>
              <w:rPr>
                <w:sz w:val="1"/>
                <w:szCs w:val="1"/>
                <w:color w:val="auto"/>
              </w:rPr>
            </w:pPr>
          </w:p>
        </w:tc>
      </w:tr>
      <w:tr>
        <w:trPr>
          <w:trHeight w:val="345"/>
        </w:trPr>
        <w:tc>
          <w:tcPr>
            <w:tcW w:w="10400" w:type="dxa"/>
            <w:vAlign w:val="bottom"/>
            <w:gridSpan w:val="17"/>
          </w:tcPr>
          <w:p>
            <w:pPr>
              <w:spacing w:after="0"/>
              <w:rPr>
                <w:rFonts w:ascii="Arial" w:cs="Arial" w:eastAsia="Arial" w:hAnsi="Arial"/>
                <w:sz w:val="14"/>
                <w:szCs w:val="14"/>
                <w:color w:val="0000EE"/>
              </w:rPr>
            </w:pPr>
            <w:hyperlink w:anchor="page112">
              <w:r>
                <w:rPr>
                  <w:rFonts w:ascii="Arial" w:cs="Arial" w:eastAsia="Arial" w:hAnsi="Arial"/>
                  <w:sz w:val="14"/>
                  <w:szCs w:val="14"/>
                  <w:color w:val="0000EE"/>
                </w:rPr>
                <w:t>Report of Independent Registered Public Accounting Firm On Internal Control Over Financial Reporting</w:t>
              </w:r>
            </w:hyperlink>
          </w:p>
        </w:tc>
        <w:tc>
          <w:tcPr>
            <w:tcW w:w="960" w:type="dxa"/>
            <w:vAlign w:val="bottom"/>
          </w:tcPr>
          <w:p>
            <w:pPr>
              <w:jc w:val="right"/>
              <w:spacing w:after="0"/>
              <w:rPr>
                <w:sz w:val="20"/>
                <w:szCs w:val="20"/>
                <w:color w:val="auto"/>
              </w:rPr>
            </w:pPr>
            <w:r>
              <w:rPr>
                <w:rFonts w:ascii="Arial" w:cs="Arial" w:eastAsia="Arial" w:hAnsi="Arial"/>
                <w:sz w:val="14"/>
                <w:szCs w:val="14"/>
                <w:color w:val="auto"/>
              </w:rPr>
              <w:t>F-4</w:t>
            </w:r>
          </w:p>
        </w:tc>
        <w:tc>
          <w:tcPr>
            <w:tcW w:w="0" w:type="dxa"/>
            <w:vAlign w:val="bottom"/>
          </w:tcPr>
          <w:p>
            <w:pPr>
              <w:spacing w:after="0"/>
              <w:rPr>
                <w:sz w:val="1"/>
                <w:szCs w:val="1"/>
                <w:color w:val="auto"/>
              </w:rPr>
            </w:pPr>
          </w:p>
        </w:tc>
      </w:tr>
      <w:tr>
        <w:trPr>
          <w:trHeight w:val="345"/>
        </w:trPr>
        <w:tc>
          <w:tcPr>
            <w:tcW w:w="5680" w:type="dxa"/>
            <w:vAlign w:val="bottom"/>
            <w:tcBorders>
              <w:top w:val="single" w:sz="8" w:color="0000EE"/>
            </w:tcBorders>
            <w:gridSpan w:val="10"/>
          </w:tcPr>
          <w:p>
            <w:pPr>
              <w:spacing w:after="0"/>
              <w:rPr>
                <w:rFonts w:ascii="Arial" w:cs="Arial" w:eastAsia="Arial" w:hAnsi="Arial"/>
                <w:sz w:val="14"/>
                <w:szCs w:val="14"/>
                <w:color w:val="0000EE"/>
              </w:rPr>
            </w:pPr>
            <w:hyperlink w:anchor="page113">
              <w:r>
                <w:rPr>
                  <w:rFonts w:ascii="Arial" w:cs="Arial" w:eastAsia="Arial" w:hAnsi="Arial"/>
                  <w:sz w:val="14"/>
                  <w:szCs w:val="14"/>
                  <w:color w:val="0000EE"/>
                </w:rPr>
                <w:t>Consolidated Statements of Assets and Liabilities as of September 30, 2012 and 2011</w:t>
              </w:r>
            </w:hyperlink>
          </w:p>
        </w:tc>
        <w:tc>
          <w:tcPr>
            <w:tcW w:w="4720" w:type="dxa"/>
            <w:vAlign w:val="bottom"/>
            <w:gridSpan w:val="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F-5</w:t>
            </w: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0" w:type="dxa"/>
            <w:vAlign w:val="bottom"/>
            <w:gridSpan w:val="17"/>
          </w:tcPr>
          <w:p>
            <w:pPr>
              <w:spacing w:after="0"/>
              <w:rPr>
                <w:rFonts w:ascii="Arial" w:cs="Arial" w:eastAsia="Arial" w:hAnsi="Arial"/>
                <w:sz w:val="14"/>
                <w:szCs w:val="14"/>
                <w:color w:val="0000EE"/>
              </w:rPr>
            </w:pPr>
            <w:hyperlink w:anchor="page114">
              <w:r>
                <w:rPr>
                  <w:rFonts w:ascii="Arial" w:cs="Arial" w:eastAsia="Arial" w:hAnsi="Arial"/>
                  <w:sz w:val="14"/>
                  <w:szCs w:val="14"/>
                  <w:color w:val="0000EE"/>
                </w:rPr>
                <w:t>Consolidated Statements of Operations for the year ended September 30, 2012 and for the period March 4, 2011 (commencement of operations) to</w:t>
              </w:r>
            </w:hyperlink>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F-6</w:t>
            </w:r>
          </w:p>
        </w:tc>
        <w:tc>
          <w:tcPr>
            <w:tcW w:w="0" w:type="dxa"/>
            <w:vAlign w:val="bottom"/>
          </w:tcPr>
          <w:p>
            <w:pPr>
              <w:spacing w:after="0"/>
              <w:rPr>
                <w:sz w:val="1"/>
                <w:szCs w:val="1"/>
                <w:color w:val="auto"/>
              </w:rPr>
            </w:pPr>
          </w:p>
        </w:tc>
      </w:tr>
      <w:tr>
        <w:trPr>
          <w:trHeight w:val="129"/>
        </w:trPr>
        <w:tc>
          <w:tcPr>
            <w:tcW w:w="7960" w:type="dxa"/>
            <w:vAlign w:val="bottom"/>
            <w:tcBorders>
              <w:top w:val="single" w:sz="8" w:color="0000EE"/>
            </w:tcBorders>
            <w:gridSpan w:val="14"/>
          </w:tcPr>
          <w:p>
            <w:pPr>
              <w:spacing w:after="0" w:line="129" w:lineRule="exact"/>
              <w:rPr>
                <w:rFonts w:ascii="Arial" w:cs="Arial" w:eastAsia="Arial" w:hAnsi="Arial"/>
                <w:sz w:val="14"/>
                <w:szCs w:val="14"/>
                <w:color w:val="0000EE"/>
              </w:rPr>
            </w:pPr>
            <w:hyperlink w:anchor="page114">
              <w:r>
                <w:rPr>
                  <w:rFonts w:ascii="Arial" w:cs="Arial" w:eastAsia="Arial" w:hAnsi="Arial"/>
                  <w:sz w:val="14"/>
                  <w:szCs w:val="14"/>
                  <w:color w:val="0000EE"/>
                </w:rPr>
                <w:t>September 30, 2011</w:t>
              </w:r>
            </w:hyperlink>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0" w:type="dxa"/>
            <w:vAlign w:val="bottom"/>
            <w:gridSpan w:val="17"/>
          </w:tcPr>
          <w:p>
            <w:pPr>
              <w:spacing w:after="0"/>
              <w:rPr>
                <w:rFonts w:ascii="Arial" w:cs="Arial" w:eastAsia="Arial" w:hAnsi="Arial"/>
                <w:sz w:val="14"/>
                <w:szCs w:val="14"/>
                <w:color w:val="0000EE"/>
                <w:w w:val="92"/>
              </w:rPr>
            </w:pPr>
            <w:hyperlink w:anchor="page115">
              <w:r>
                <w:rPr>
                  <w:rFonts w:ascii="Arial" w:cs="Arial" w:eastAsia="Arial" w:hAnsi="Arial"/>
                  <w:sz w:val="14"/>
                  <w:szCs w:val="14"/>
                  <w:color w:val="0000EE"/>
                  <w:w w:val="92"/>
                </w:rPr>
                <w:t>Consolidated Statements of Changes in Net Assets for the year ended September 30, 2012 and for the period March 4, 2011 (commencement of operations) to September 30, 2011</w:t>
              </w:r>
            </w:hyperlink>
          </w:p>
        </w:tc>
        <w:tc>
          <w:tcPr>
            <w:tcW w:w="960" w:type="dxa"/>
            <w:vAlign w:val="bottom"/>
          </w:tcPr>
          <w:p>
            <w:pPr>
              <w:jc w:val="right"/>
              <w:spacing w:after="0"/>
              <w:rPr>
                <w:sz w:val="20"/>
                <w:szCs w:val="20"/>
                <w:color w:val="auto"/>
              </w:rPr>
            </w:pPr>
            <w:r>
              <w:rPr>
                <w:rFonts w:ascii="Arial" w:cs="Arial" w:eastAsia="Arial" w:hAnsi="Arial"/>
                <w:sz w:val="14"/>
                <w:szCs w:val="14"/>
                <w:color w:val="auto"/>
              </w:rPr>
              <w:t>F-7</w:t>
            </w:r>
          </w:p>
        </w:tc>
        <w:tc>
          <w:tcPr>
            <w:tcW w:w="0" w:type="dxa"/>
            <w:vAlign w:val="bottom"/>
          </w:tcPr>
          <w:p>
            <w:pPr>
              <w:spacing w:after="0"/>
              <w:rPr>
                <w:sz w:val="1"/>
                <w:szCs w:val="1"/>
                <w:color w:val="auto"/>
              </w:rPr>
            </w:pPr>
          </w:p>
        </w:tc>
      </w:tr>
      <w:tr>
        <w:trPr>
          <w:trHeight w:val="345"/>
        </w:trPr>
        <w:tc>
          <w:tcPr>
            <w:tcW w:w="9700" w:type="dxa"/>
            <w:vAlign w:val="bottom"/>
            <w:tcBorders>
              <w:top w:val="single" w:sz="8" w:color="0000EE"/>
            </w:tcBorders>
            <w:gridSpan w:val="16"/>
          </w:tcPr>
          <w:p>
            <w:pPr>
              <w:spacing w:after="0"/>
              <w:rPr>
                <w:rFonts w:ascii="Arial" w:cs="Arial" w:eastAsia="Arial" w:hAnsi="Arial"/>
                <w:sz w:val="14"/>
                <w:szCs w:val="14"/>
                <w:color w:val="0000EE"/>
              </w:rPr>
            </w:pPr>
            <w:hyperlink w:anchor="page116">
              <w:r>
                <w:rPr>
                  <w:rFonts w:ascii="Arial" w:cs="Arial" w:eastAsia="Arial" w:hAnsi="Arial"/>
                  <w:sz w:val="14"/>
                  <w:szCs w:val="14"/>
                  <w:color w:val="0000EE"/>
                </w:rPr>
                <w:t>Consolidated Statements of Cash Flows for the year ended September 30, 2012 and for the period March 4, 2011 (commencement of operations) to</w:t>
              </w:r>
            </w:hyperlink>
          </w:p>
        </w:tc>
        <w:tc>
          <w:tcPr>
            <w:tcW w:w="70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F-8</w:t>
            </w:r>
          </w:p>
        </w:tc>
        <w:tc>
          <w:tcPr>
            <w:tcW w:w="0" w:type="dxa"/>
            <w:vAlign w:val="bottom"/>
          </w:tcPr>
          <w:p>
            <w:pPr>
              <w:spacing w:after="0"/>
              <w:rPr>
                <w:sz w:val="1"/>
                <w:szCs w:val="1"/>
                <w:color w:val="auto"/>
              </w:rPr>
            </w:pPr>
          </w:p>
        </w:tc>
      </w:tr>
      <w:tr>
        <w:trPr>
          <w:trHeight w:val="129"/>
        </w:trPr>
        <w:tc>
          <w:tcPr>
            <w:tcW w:w="8000" w:type="dxa"/>
            <w:vAlign w:val="bottom"/>
            <w:tcBorders>
              <w:top w:val="single" w:sz="8" w:color="0000EE"/>
            </w:tcBorders>
            <w:gridSpan w:val="15"/>
          </w:tcPr>
          <w:p>
            <w:pPr>
              <w:spacing w:after="0" w:line="129" w:lineRule="exact"/>
              <w:rPr>
                <w:rFonts w:ascii="Arial" w:cs="Arial" w:eastAsia="Arial" w:hAnsi="Arial"/>
                <w:sz w:val="14"/>
                <w:szCs w:val="14"/>
                <w:color w:val="0000EE"/>
              </w:rPr>
            </w:pPr>
            <w:hyperlink w:anchor="page116">
              <w:r>
                <w:rPr>
                  <w:rFonts w:ascii="Arial" w:cs="Arial" w:eastAsia="Arial" w:hAnsi="Arial"/>
                  <w:sz w:val="14"/>
                  <w:szCs w:val="14"/>
                  <w:color w:val="0000EE"/>
                </w:rPr>
                <w:t>September 30, 2011</w:t>
              </w:r>
            </w:hyperlink>
          </w:p>
        </w:tc>
        <w:tc>
          <w:tcPr>
            <w:tcW w:w="2400" w:type="dxa"/>
            <w:vAlign w:val="bottom"/>
            <w:gridSpan w:val="2"/>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0" w:type="dxa"/>
            <w:vAlign w:val="bottom"/>
            <w:gridSpan w:val="17"/>
          </w:tcPr>
          <w:p>
            <w:pPr>
              <w:spacing w:after="0"/>
              <w:rPr>
                <w:rFonts w:ascii="Arial" w:cs="Arial" w:eastAsia="Arial" w:hAnsi="Arial"/>
                <w:sz w:val="14"/>
                <w:szCs w:val="14"/>
                <w:color w:val="0000EE"/>
              </w:rPr>
            </w:pPr>
            <w:hyperlink w:anchor="page117">
              <w:r>
                <w:rPr>
                  <w:rFonts w:ascii="Arial" w:cs="Arial" w:eastAsia="Arial" w:hAnsi="Arial"/>
                  <w:sz w:val="14"/>
                  <w:szCs w:val="14"/>
                  <w:color w:val="0000EE"/>
                </w:rPr>
                <w:t>Consolidated Schedules of Investments as of September 30, 2012 and September 30, 2011</w:t>
              </w:r>
            </w:hyperlink>
          </w:p>
        </w:tc>
        <w:tc>
          <w:tcPr>
            <w:tcW w:w="960" w:type="dxa"/>
            <w:vAlign w:val="bottom"/>
          </w:tcPr>
          <w:p>
            <w:pPr>
              <w:jc w:val="right"/>
              <w:spacing w:after="0"/>
              <w:rPr>
                <w:sz w:val="20"/>
                <w:szCs w:val="20"/>
                <w:color w:val="auto"/>
              </w:rPr>
            </w:pPr>
            <w:r>
              <w:rPr>
                <w:rFonts w:ascii="Arial" w:cs="Arial" w:eastAsia="Arial" w:hAnsi="Arial"/>
                <w:sz w:val="14"/>
                <w:szCs w:val="14"/>
                <w:color w:val="auto"/>
              </w:rPr>
              <w:t>F-9</w:t>
            </w:r>
          </w:p>
        </w:tc>
        <w:tc>
          <w:tcPr>
            <w:tcW w:w="0" w:type="dxa"/>
            <w:vAlign w:val="bottom"/>
          </w:tcPr>
          <w:p>
            <w:pPr>
              <w:spacing w:after="0"/>
              <w:rPr>
                <w:sz w:val="1"/>
                <w:szCs w:val="1"/>
                <w:color w:val="auto"/>
              </w:rPr>
            </w:pPr>
          </w:p>
        </w:tc>
      </w:tr>
      <w:tr>
        <w:trPr>
          <w:trHeight w:val="345"/>
        </w:trPr>
        <w:tc>
          <w:tcPr>
            <w:tcW w:w="4880" w:type="dxa"/>
            <w:vAlign w:val="bottom"/>
            <w:tcBorders>
              <w:top w:val="single" w:sz="8" w:color="0000EE"/>
            </w:tcBorders>
            <w:gridSpan w:val="7"/>
          </w:tcPr>
          <w:p>
            <w:pPr>
              <w:spacing w:after="0"/>
              <w:rPr>
                <w:rFonts w:ascii="Arial" w:cs="Arial" w:eastAsia="Arial" w:hAnsi="Arial"/>
                <w:sz w:val="14"/>
                <w:szCs w:val="14"/>
                <w:color w:val="0000EE"/>
              </w:rPr>
            </w:pPr>
            <w:hyperlink w:anchor="page121">
              <w:r>
                <w:rPr>
                  <w:rFonts w:ascii="Arial" w:cs="Arial" w:eastAsia="Arial" w:hAnsi="Arial"/>
                  <w:sz w:val="14"/>
                  <w:szCs w:val="14"/>
                  <w:color w:val="0000EE"/>
                </w:rPr>
                <w:t>Notes to the Consolidated Financial Statements</w:t>
              </w:r>
            </w:hyperlink>
          </w:p>
        </w:tc>
        <w:tc>
          <w:tcPr>
            <w:tcW w:w="5520" w:type="dxa"/>
            <w:vAlign w:val="bottom"/>
            <w:gridSpan w:val="10"/>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F-13</w:t>
            </w:r>
          </w:p>
        </w:tc>
        <w:tc>
          <w:tcPr>
            <w:tcW w:w="0" w:type="dxa"/>
            <w:vAlign w:val="bottom"/>
          </w:tcPr>
          <w:p>
            <w:pPr>
              <w:spacing w:after="0"/>
              <w:rPr>
                <w:sz w:val="1"/>
                <w:szCs w:val="1"/>
                <w:color w:val="auto"/>
              </w:rPr>
            </w:pPr>
          </w:p>
        </w:tc>
      </w:tr>
      <w:tr>
        <w:trPr>
          <w:trHeight w:val="371"/>
        </w:trPr>
        <w:tc>
          <w:tcPr>
            <w:tcW w:w="256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Interim Financial Statements</w:t>
            </w:r>
          </w:p>
        </w:tc>
        <w:tc>
          <w:tcPr>
            <w:tcW w:w="7840" w:type="dxa"/>
            <w:vAlign w:val="bottom"/>
            <w:gridSpan w:val="15"/>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180" w:type="dxa"/>
            <w:vAlign w:val="bottom"/>
            <w:tcBorders>
              <w:bottom w:val="single" w:sz="8" w:color="0000EE"/>
            </w:tcBorders>
            <w:gridSpan w:val="4"/>
          </w:tcPr>
          <w:p>
            <w:pPr>
              <w:spacing w:after="0"/>
              <w:rPr>
                <w:rFonts w:ascii="Arial" w:cs="Arial" w:eastAsia="Arial" w:hAnsi="Arial"/>
                <w:sz w:val="14"/>
                <w:szCs w:val="14"/>
                <w:color w:val="0000EE"/>
                <w:w w:val="88"/>
              </w:rPr>
            </w:pPr>
            <w:hyperlink w:anchor="page134">
              <w:r>
                <w:rPr>
                  <w:rFonts w:ascii="Arial" w:cs="Arial" w:eastAsia="Arial" w:hAnsi="Arial"/>
                  <w:sz w:val="14"/>
                  <w:szCs w:val="14"/>
                  <w:color w:val="0000EE"/>
                  <w:w w:val="88"/>
                </w:rPr>
                <w:t>Report of Independent Registered Public Accounting Firm</w:t>
              </w:r>
            </w:hyperlink>
          </w:p>
        </w:tc>
        <w:tc>
          <w:tcPr>
            <w:tcW w:w="7220" w:type="dxa"/>
            <w:vAlign w:val="bottom"/>
            <w:gridSpan w:val="1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F-26</w:t>
            </w:r>
          </w:p>
        </w:tc>
        <w:tc>
          <w:tcPr>
            <w:tcW w:w="0" w:type="dxa"/>
            <w:vAlign w:val="bottom"/>
          </w:tcPr>
          <w:p>
            <w:pPr>
              <w:spacing w:after="0"/>
              <w:rPr>
                <w:sz w:val="1"/>
                <w:szCs w:val="1"/>
                <w:color w:val="auto"/>
              </w:rPr>
            </w:pPr>
          </w:p>
        </w:tc>
      </w:tr>
      <w:tr>
        <w:trPr>
          <w:trHeight w:val="345"/>
        </w:trPr>
        <w:tc>
          <w:tcPr>
            <w:tcW w:w="5780" w:type="dxa"/>
            <w:vAlign w:val="bottom"/>
            <w:tcBorders>
              <w:bottom w:val="single" w:sz="8" w:color="0000EE"/>
            </w:tcBorders>
            <w:gridSpan w:val="11"/>
          </w:tcPr>
          <w:p>
            <w:pPr>
              <w:spacing w:after="0"/>
              <w:rPr>
                <w:rFonts w:ascii="Arial" w:cs="Arial" w:eastAsia="Arial" w:hAnsi="Arial"/>
                <w:sz w:val="14"/>
                <w:szCs w:val="14"/>
                <w:color w:val="0000EE"/>
                <w:w w:val="86"/>
              </w:rPr>
            </w:pPr>
            <w:hyperlink w:anchor="page135">
              <w:r>
                <w:rPr>
                  <w:rFonts w:ascii="Arial" w:cs="Arial" w:eastAsia="Arial" w:hAnsi="Arial"/>
                  <w:sz w:val="14"/>
                  <w:szCs w:val="14"/>
                  <w:color w:val="0000EE"/>
                  <w:w w:val="86"/>
                </w:rPr>
                <w:t>Consolidated Statements of Assets and Liabilities as of June 30, 2013 (unaudited) and September 30, 2012</w:t>
              </w:r>
            </w:hyperlink>
          </w:p>
        </w:tc>
        <w:tc>
          <w:tcPr>
            <w:tcW w:w="4620" w:type="dxa"/>
            <w:vAlign w:val="bottom"/>
            <w:gridSpan w:val="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F-27</w:t>
            </w:r>
          </w:p>
        </w:tc>
        <w:tc>
          <w:tcPr>
            <w:tcW w:w="0" w:type="dxa"/>
            <w:vAlign w:val="bottom"/>
          </w:tcPr>
          <w:p>
            <w:pPr>
              <w:spacing w:after="0"/>
              <w:rPr>
                <w:sz w:val="1"/>
                <w:szCs w:val="1"/>
                <w:color w:val="auto"/>
              </w:rPr>
            </w:pPr>
          </w:p>
        </w:tc>
      </w:tr>
      <w:tr>
        <w:trPr>
          <w:trHeight w:val="345"/>
        </w:trPr>
        <w:tc>
          <w:tcPr>
            <w:tcW w:w="6080" w:type="dxa"/>
            <w:vAlign w:val="bottom"/>
            <w:tcBorders>
              <w:bottom w:val="single" w:sz="8" w:color="0000EE"/>
            </w:tcBorders>
            <w:gridSpan w:val="12"/>
          </w:tcPr>
          <w:p>
            <w:pPr>
              <w:spacing w:after="0"/>
              <w:rPr>
                <w:rFonts w:ascii="Arial" w:cs="Arial" w:eastAsia="Arial" w:hAnsi="Arial"/>
                <w:sz w:val="14"/>
                <w:szCs w:val="14"/>
                <w:color w:val="0000EE"/>
                <w:w w:val="86"/>
              </w:rPr>
            </w:pPr>
            <w:hyperlink w:anchor="page136">
              <w:r>
                <w:rPr>
                  <w:rFonts w:ascii="Arial" w:cs="Arial" w:eastAsia="Arial" w:hAnsi="Arial"/>
                  <w:sz w:val="14"/>
                  <w:szCs w:val="14"/>
                  <w:color w:val="0000EE"/>
                  <w:w w:val="86"/>
                </w:rPr>
                <w:t>Consolidated Statements of Operations for the three and nine months ended June 30, 2013 and 2012 (unaudited)</w:t>
              </w:r>
            </w:hyperlink>
          </w:p>
        </w:tc>
        <w:tc>
          <w:tcPr>
            <w:tcW w:w="4320" w:type="dxa"/>
            <w:vAlign w:val="bottom"/>
            <w:gridSpan w:val="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F-28</w:t>
            </w:r>
          </w:p>
        </w:tc>
        <w:tc>
          <w:tcPr>
            <w:tcW w:w="0" w:type="dxa"/>
            <w:vAlign w:val="bottom"/>
          </w:tcPr>
          <w:p>
            <w:pPr>
              <w:spacing w:after="0"/>
              <w:rPr>
                <w:sz w:val="1"/>
                <w:szCs w:val="1"/>
                <w:color w:val="auto"/>
              </w:rPr>
            </w:pPr>
          </w:p>
        </w:tc>
      </w:tr>
      <w:tr>
        <w:trPr>
          <w:trHeight w:val="345"/>
        </w:trPr>
        <w:tc>
          <w:tcPr>
            <w:tcW w:w="10400" w:type="dxa"/>
            <w:vAlign w:val="bottom"/>
            <w:gridSpan w:val="17"/>
          </w:tcPr>
          <w:p>
            <w:pPr>
              <w:spacing w:after="0"/>
              <w:rPr>
                <w:rFonts w:ascii="Arial" w:cs="Arial" w:eastAsia="Arial" w:hAnsi="Arial"/>
                <w:sz w:val="14"/>
                <w:szCs w:val="14"/>
                <w:color w:val="0000EE"/>
              </w:rPr>
            </w:pPr>
            <w:hyperlink w:anchor="page137">
              <w:r>
                <w:rPr>
                  <w:rFonts w:ascii="Arial" w:cs="Arial" w:eastAsia="Arial" w:hAnsi="Arial"/>
                  <w:sz w:val="14"/>
                  <w:szCs w:val="14"/>
                  <w:color w:val="0000EE"/>
                </w:rPr>
                <w:t>Consolidated Statements of Changes in Net Assets for the nine months ended June 30, 2013 and 2012 (unaudited)</w:t>
              </w:r>
            </w:hyperlink>
          </w:p>
        </w:tc>
        <w:tc>
          <w:tcPr>
            <w:tcW w:w="960" w:type="dxa"/>
            <w:vAlign w:val="bottom"/>
          </w:tcPr>
          <w:p>
            <w:pPr>
              <w:jc w:val="right"/>
              <w:spacing w:after="0"/>
              <w:rPr>
                <w:sz w:val="20"/>
                <w:szCs w:val="20"/>
                <w:color w:val="auto"/>
              </w:rPr>
            </w:pPr>
            <w:r>
              <w:rPr>
                <w:rFonts w:ascii="Arial" w:cs="Arial" w:eastAsia="Arial" w:hAnsi="Arial"/>
                <w:sz w:val="14"/>
                <w:szCs w:val="14"/>
                <w:color w:val="auto"/>
              </w:rPr>
              <w:t>F-29</w:t>
            </w:r>
          </w:p>
        </w:tc>
        <w:tc>
          <w:tcPr>
            <w:tcW w:w="0" w:type="dxa"/>
            <w:vAlign w:val="bottom"/>
          </w:tcPr>
          <w:p>
            <w:pPr>
              <w:spacing w:after="0"/>
              <w:rPr>
                <w:sz w:val="1"/>
                <w:szCs w:val="1"/>
                <w:color w:val="auto"/>
              </w:rPr>
            </w:pPr>
          </w:p>
        </w:tc>
      </w:tr>
      <w:tr>
        <w:trPr>
          <w:trHeight w:val="345"/>
        </w:trPr>
        <w:tc>
          <w:tcPr>
            <w:tcW w:w="6160" w:type="dxa"/>
            <w:vAlign w:val="bottom"/>
            <w:tcBorders>
              <w:top w:val="single" w:sz="8" w:color="0000EE"/>
            </w:tcBorders>
            <w:gridSpan w:val="13"/>
          </w:tcPr>
          <w:p>
            <w:pPr>
              <w:spacing w:after="0"/>
              <w:rPr>
                <w:rFonts w:ascii="Arial" w:cs="Arial" w:eastAsia="Arial" w:hAnsi="Arial"/>
                <w:sz w:val="14"/>
                <w:szCs w:val="14"/>
                <w:color w:val="0000EE"/>
                <w:w w:val="95"/>
              </w:rPr>
            </w:pPr>
            <w:hyperlink w:anchor="page138">
              <w:r>
                <w:rPr>
                  <w:rFonts w:ascii="Arial" w:cs="Arial" w:eastAsia="Arial" w:hAnsi="Arial"/>
                  <w:sz w:val="14"/>
                  <w:szCs w:val="14"/>
                  <w:color w:val="0000EE"/>
                  <w:w w:val="95"/>
                </w:rPr>
                <w:t>Consolidated Statements of Cash Flows for the nine months ended June 30, 2013 and 2012 (unaudited)</w:t>
              </w:r>
            </w:hyperlink>
          </w:p>
        </w:tc>
        <w:tc>
          <w:tcPr>
            <w:tcW w:w="4240" w:type="dxa"/>
            <w:vAlign w:val="bottom"/>
            <w:gridSpan w:val="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F-30</w:t>
            </w:r>
          </w:p>
        </w:tc>
        <w:tc>
          <w:tcPr>
            <w:tcW w:w="0" w:type="dxa"/>
            <w:vAlign w:val="bottom"/>
          </w:tcPr>
          <w:p>
            <w:pPr>
              <w:spacing w:after="0"/>
              <w:rPr>
                <w:sz w:val="1"/>
                <w:szCs w:val="1"/>
                <w:color w:val="auto"/>
              </w:rPr>
            </w:pPr>
          </w:p>
        </w:tc>
      </w:tr>
      <w:tr>
        <w:trPr>
          <w:trHeight w:val="345"/>
        </w:trPr>
        <w:tc>
          <w:tcPr>
            <w:tcW w:w="5220" w:type="dxa"/>
            <w:vAlign w:val="bottom"/>
            <w:tcBorders>
              <w:top w:val="single" w:sz="8" w:color="0000EE"/>
              <w:bottom w:val="single" w:sz="8" w:color="0000EE"/>
            </w:tcBorders>
            <w:gridSpan w:val="8"/>
          </w:tcPr>
          <w:p>
            <w:pPr>
              <w:spacing w:after="0"/>
              <w:rPr>
                <w:rFonts w:ascii="Arial" w:cs="Arial" w:eastAsia="Arial" w:hAnsi="Arial"/>
                <w:sz w:val="14"/>
                <w:szCs w:val="14"/>
                <w:color w:val="0000EE"/>
                <w:w w:val="85"/>
              </w:rPr>
            </w:pPr>
            <w:hyperlink w:anchor="page139">
              <w:r>
                <w:rPr>
                  <w:rFonts w:ascii="Arial" w:cs="Arial" w:eastAsia="Arial" w:hAnsi="Arial"/>
                  <w:sz w:val="14"/>
                  <w:szCs w:val="14"/>
                  <w:color w:val="0000EE"/>
                  <w:w w:val="85"/>
                </w:rPr>
                <w:t>Consolidated Schedules of Investments as of June 30, 2013 (unaudited) and September 30, 2012</w:t>
              </w:r>
            </w:hyperlink>
          </w:p>
        </w:tc>
        <w:tc>
          <w:tcPr>
            <w:tcW w:w="360" w:type="dxa"/>
            <w:vAlign w:val="bottom"/>
            <w:tcBorders>
              <w:top w:val="single" w:sz="8" w:color="0000EE"/>
            </w:tcBorders>
          </w:tcPr>
          <w:p>
            <w:pPr>
              <w:spacing w:after="0"/>
              <w:rPr>
                <w:sz w:val="24"/>
                <w:szCs w:val="24"/>
                <w:color w:val="auto"/>
              </w:rPr>
            </w:pPr>
          </w:p>
        </w:tc>
        <w:tc>
          <w:tcPr>
            <w:tcW w:w="4820" w:type="dxa"/>
            <w:vAlign w:val="bottom"/>
            <w:gridSpan w:val="8"/>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F-31</w:t>
            </w:r>
          </w:p>
        </w:tc>
        <w:tc>
          <w:tcPr>
            <w:tcW w:w="0" w:type="dxa"/>
            <w:vAlign w:val="bottom"/>
          </w:tcPr>
          <w:p>
            <w:pPr>
              <w:spacing w:after="0"/>
              <w:rPr>
                <w:sz w:val="1"/>
                <w:szCs w:val="1"/>
                <w:color w:val="auto"/>
              </w:rPr>
            </w:pPr>
          </w:p>
        </w:tc>
      </w:tr>
      <w:tr>
        <w:trPr>
          <w:trHeight w:val="345"/>
        </w:trPr>
        <w:tc>
          <w:tcPr>
            <w:tcW w:w="10400" w:type="dxa"/>
            <w:vAlign w:val="bottom"/>
            <w:gridSpan w:val="17"/>
          </w:tcPr>
          <w:p>
            <w:pPr>
              <w:spacing w:after="0"/>
              <w:rPr>
                <w:rFonts w:ascii="Arial" w:cs="Arial" w:eastAsia="Arial" w:hAnsi="Arial"/>
                <w:sz w:val="14"/>
                <w:szCs w:val="14"/>
                <w:color w:val="0000EE"/>
              </w:rPr>
            </w:pPr>
            <w:hyperlink w:anchor="page143">
              <w:r>
                <w:rPr>
                  <w:rFonts w:ascii="Arial" w:cs="Arial" w:eastAsia="Arial" w:hAnsi="Arial"/>
                  <w:sz w:val="14"/>
                  <w:szCs w:val="14"/>
                  <w:color w:val="0000EE"/>
                </w:rPr>
                <w:t>Notes to Consolidated Financial Statements (unaudited)</w:t>
              </w:r>
            </w:hyperlink>
          </w:p>
        </w:tc>
        <w:tc>
          <w:tcPr>
            <w:tcW w:w="960" w:type="dxa"/>
            <w:vAlign w:val="bottom"/>
          </w:tcPr>
          <w:p>
            <w:pPr>
              <w:jc w:val="right"/>
              <w:spacing w:after="0"/>
              <w:rPr>
                <w:sz w:val="20"/>
                <w:szCs w:val="20"/>
                <w:color w:val="auto"/>
              </w:rPr>
            </w:pPr>
            <w:r>
              <w:rPr>
                <w:rFonts w:ascii="Arial" w:cs="Arial" w:eastAsia="Arial" w:hAnsi="Arial"/>
                <w:sz w:val="14"/>
                <w:szCs w:val="14"/>
                <w:color w:val="auto"/>
              </w:rPr>
              <w:t>F-35</w:t>
            </w:r>
          </w:p>
        </w:tc>
        <w:tc>
          <w:tcPr>
            <w:tcW w:w="0" w:type="dxa"/>
            <w:vAlign w:val="bottom"/>
          </w:tcPr>
          <w:p>
            <w:pPr>
              <w:spacing w:after="0"/>
              <w:rPr>
                <w:sz w:val="1"/>
                <w:szCs w:val="1"/>
                <w:color w:val="auto"/>
              </w:rPr>
            </w:pPr>
          </w:p>
        </w:tc>
      </w:tr>
      <w:tr>
        <w:trPr>
          <w:trHeight w:val="304"/>
        </w:trPr>
        <w:tc>
          <w:tcPr>
            <w:tcW w:w="108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20" w:type="dxa"/>
            <w:vAlign w:val="bottom"/>
            <w:gridSpan w:val="8"/>
          </w:tcPr>
          <w:p>
            <w:pPr>
              <w:jc w:val="center"/>
              <w:ind w:right="4560"/>
              <w:spacing w:after="0"/>
              <w:rPr>
                <w:sz w:val="20"/>
                <w:szCs w:val="20"/>
                <w:color w:val="auto"/>
              </w:rPr>
            </w:pPr>
            <w:r>
              <w:rPr>
                <w:rFonts w:ascii="Arial" w:cs="Arial" w:eastAsia="Arial" w:hAnsi="Arial"/>
                <w:sz w:val="14"/>
                <w:szCs w:val="14"/>
                <w:color w:val="auto"/>
                <w:w w:val="85"/>
              </w:rPr>
              <w:t>F-1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25" w:lineRule="exact"/>
        <w:rPr>
          <w:sz w:val="20"/>
          <w:szCs w:val="20"/>
          <w:color w:val="auto"/>
        </w:rPr>
      </w:pPr>
    </w:p>
    <w:p>
      <w:pPr>
        <w:ind w:right="40" w:firstLine="456"/>
        <w:spacing w:after="0" w:line="318" w:lineRule="auto"/>
        <w:rPr>
          <w:sz w:val="20"/>
          <w:szCs w:val="20"/>
          <w:color w:val="auto"/>
        </w:rPr>
      </w:pPr>
      <w:r>
        <w:rPr>
          <w:rFonts w:ascii="Arial" w:cs="Arial" w:eastAsia="Arial" w:hAnsi="Arial"/>
          <w:sz w:val="12"/>
          <w:szCs w:val="12"/>
          <w:color w:val="auto"/>
        </w:rPr>
        <w:t>The management of PennantPark Floating Rate Capital, Ltd., or “we,” “us,” “our” and “Company,” is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66"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90" w:lineRule="exact"/>
        <w:rPr>
          <w:sz w:val="20"/>
          <w:szCs w:val="20"/>
          <w:color w:val="auto"/>
        </w:rPr>
      </w:pPr>
    </w:p>
    <w:p>
      <w:pPr>
        <w:ind w:right="320" w:firstLine="456"/>
        <w:spacing w:after="0" w:line="233" w:lineRule="auto"/>
        <w:rPr>
          <w:sz w:val="20"/>
          <w:szCs w:val="20"/>
          <w:color w:val="auto"/>
        </w:rPr>
      </w:pPr>
      <w:r>
        <w:rPr>
          <w:rFonts w:ascii="Arial" w:cs="Arial" w:eastAsia="Arial" w:hAnsi="Arial"/>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2"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 xml:space="preserve">Management assessed the effectiveness of the Company’s internal control over financial reporting as of September 30, 2012. In making this assessment, we used the criteria set forth by the Committee of Sponsoring Organizations of the Treadway Commission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Based on the assessment management believes that, as of September 30, 2012, our internal control over financial reporting is effective based on those criteria.</w:t>
      </w:r>
    </w:p>
    <w:p>
      <w:pPr>
        <w:spacing w:after="0" w:line="112" w:lineRule="exact"/>
        <w:rPr>
          <w:sz w:val="20"/>
          <w:szCs w:val="20"/>
          <w:color w:val="auto"/>
        </w:rPr>
      </w:pPr>
    </w:p>
    <w:p>
      <w:pPr>
        <w:ind w:right="240" w:firstLine="456"/>
        <w:spacing w:after="0" w:line="239" w:lineRule="auto"/>
        <w:rPr>
          <w:sz w:val="20"/>
          <w:szCs w:val="20"/>
          <w:color w:val="auto"/>
        </w:rPr>
      </w:pPr>
      <w:r>
        <w:rPr>
          <w:rFonts w:ascii="Arial" w:cs="Arial" w:eastAsia="Arial" w:hAnsi="Arial"/>
          <w:sz w:val="14"/>
          <w:szCs w:val="14"/>
          <w:color w:val="auto"/>
        </w:rPr>
        <w:t>The Company’s independent registered public accounting firm that audited the financial statements has issued an audit report on the effectiveness of our internal control over financial reporting as of September 30, 2012. This report appears on page F-4.</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11"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We have audited the accompanying consolidated statements of assets and liabilities of PennantPark Floating Rate Capital Ltd. and its Subsidiary (collectively referred to as the “Company”), including the consolidated schedules of investments as of September 30, 2012 and 2011, and the related consolidated statements of operations, changes in net assets, and cash flows for the year ended September 30, 2012 and for the period March 4, 2011 (commencement of operations) to September 30, 2011. These consolidated financial statements are the responsibility of the Company’s management. Our responsibility is to express an opinion on these consolidated financial statements based on our audit.</w:t>
      </w:r>
    </w:p>
    <w:p>
      <w:pPr>
        <w:spacing w:after="0" w:line="112" w:lineRule="exact"/>
        <w:rPr>
          <w:sz w:val="20"/>
          <w:szCs w:val="20"/>
          <w:color w:val="auto"/>
        </w:rPr>
      </w:pPr>
    </w:p>
    <w:p>
      <w:pPr>
        <w:ind w:right="160" w:firstLine="456"/>
        <w:spacing w:after="0" w:line="228" w:lineRule="auto"/>
        <w:rPr>
          <w:sz w:val="20"/>
          <w:szCs w:val="20"/>
          <w:color w:val="auto"/>
        </w:rPr>
      </w:pPr>
      <w:r>
        <w:rPr>
          <w:rFonts w:ascii="Arial" w:cs="Arial" w:eastAsia="Arial" w:hAnsi="Arial"/>
          <w:sz w:val="14"/>
          <w:szCs w:val="14"/>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2012 by correspondence with the custodians and portfolio companies or by other appropriate auditing procedures.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13" w:lineRule="exact"/>
        <w:rPr>
          <w:sz w:val="20"/>
          <w:szCs w:val="20"/>
          <w:color w:val="auto"/>
        </w:rPr>
      </w:pPr>
    </w:p>
    <w:p>
      <w:pPr>
        <w:ind w:right="140" w:firstLine="456"/>
        <w:spacing w:after="0" w:line="233"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Floating Rate Capital Ltd. and its Subsidiary as of September 30, 2012 and 2011, and the results of their operations and their cash flows for the year ended September 30, 2012 and for the period March 4, 2011 (commencement of operations) to September 30, 2011, in conformity with U.S. generally accepted accounting principles.</w:t>
      </w:r>
    </w:p>
    <w:p>
      <w:pPr>
        <w:spacing w:after="0" w:line="112"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 xml:space="preserve">We also have audited, in accordance with the standards of the Public Company Accounting Oversight Board (United States), PennantPark Floating Rate Capital, Ltd. and its Subsidiary’s, internal control over financial reporting as of September 30, 2012, based on criteria established in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issued by the Committee of Sponsoring Organizations of the Treadway Commission (COSO), and our report dated November 14, 2012 expressed an unqualified opinion on the effectiveness of the Company’s internal control over financial reporting.</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14, 2012</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On Internal Control Over Financial Reporting</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11" w:lineRule="exact"/>
        <w:rPr>
          <w:sz w:val="20"/>
          <w:szCs w:val="20"/>
          <w:color w:val="auto"/>
        </w:rPr>
      </w:pPr>
    </w:p>
    <w:p>
      <w:pPr>
        <w:ind w:right="140" w:firstLine="456"/>
        <w:spacing w:after="0" w:line="278" w:lineRule="auto"/>
        <w:rPr>
          <w:sz w:val="20"/>
          <w:szCs w:val="20"/>
          <w:color w:val="auto"/>
        </w:rPr>
      </w:pPr>
      <w:r>
        <w:rPr>
          <w:rFonts w:ascii="Arial" w:cs="Arial" w:eastAsia="Arial" w:hAnsi="Arial"/>
          <w:sz w:val="12"/>
          <w:szCs w:val="12"/>
          <w:color w:val="auto"/>
        </w:rPr>
        <w:t xml:space="preserve">We have audited PennantPark Floating Rate Capital Ltd. and its Subsidiary (the “Company”) internal control over financial reporting as of September 30, 2012, based on criteria established in </w:t>
      </w:r>
      <w:r>
        <w:rPr>
          <w:rFonts w:ascii="Arial" w:cs="Arial" w:eastAsia="Arial" w:hAnsi="Arial"/>
          <w:sz w:val="12"/>
          <w:szCs w:val="12"/>
          <w:i w:val="1"/>
          <w:iCs w:val="1"/>
          <w:color w:val="auto"/>
        </w:rPr>
        <w:t>Internal</w:t>
      </w:r>
      <w:r>
        <w:rPr>
          <w:rFonts w:ascii="Arial" w:cs="Arial" w:eastAsia="Arial" w:hAnsi="Arial"/>
          <w:sz w:val="12"/>
          <w:szCs w:val="12"/>
          <w:color w:val="auto"/>
        </w:rPr>
        <w:t xml:space="preserve"> </w:t>
      </w:r>
      <w:r>
        <w:rPr>
          <w:rFonts w:ascii="Arial" w:cs="Arial" w:eastAsia="Arial" w:hAnsi="Arial"/>
          <w:sz w:val="12"/>
          <w:szCs w:val="12"/>
          <w:i w:val="1"/>
          <w:iCs w:val="1"/>
          <w:color w:val="auto"/>
        </w:rPr>
        <w:t>Control—Integrated Framework</w:t>
      </w:r>
      <w:r>
        <w:rPr>
          <w:rFonts w:ascii="Arial" w:cs="Arial" w:eastAsia="Arial" w:hAnsi="Arial"/>
          <w:sz w:val="12"/>
          <w:szCs w:val="12"/>
          <w:color w:val="auto"/>
        </w:rPr>
        <w:t>, issued by the Committee of Sponsoring Organizations of the Treadway Commission (COSO). Management of the Company is responsible for maintaining effective internal</w:t>
      </w:r>
      <w:r>
        <w:rPr>
          <w:rFonts w:ascii="Arial" w:cs="Arial" w:eastAsia="Arial" w:hAnsi="Arial"/>
          <w:sz w:val="12"/>
          <w:szCs w:val="12"/>
          <w:i w:val="1"/>
          <w:iCs w:val="1"/>
          <w:color w:val="auto"/>
        </w:rPr>
        <w:t xml:space="preserve"> </w:t>
      </w:r>
      <w:r>
        <w:rPr>
          <w:rFonts w:ascii="Arial" w:cs="Arial" w:eastAsia="Arial" w:hAnsi="Arial"/>
          <w:sz w:val="12"/>
          <w:szCs w:val="12"/>
          <w:color w:val="auto"/>
        </w:rPr>
        <w:t>control over financial reporting and for its assessment of the effectiveness of internal control over financial reporting, included on page 53 of the Annual Report on Form 10-K, and Item 9A., Controls and Procedures—Management’s Report on Internal Control Over Financial Reporting. Our responsibility is to express an opinion on the Company’s internal control over financial reporting based on our audit.</w:t>
      </w:r>
    </w:p>
    <w:p>
      <w:pPr>
        <w:spacing w:after="0" w:line="90" w:lineRule="exact"/>
        <w:rPr>
          <w:sz w:val="20"/>
          <w:szCs w:val="20"/>
          <w:color w:val="auto"/>
        </w:rPr>
      </w:pPr>
    </w:p>
    <w:p>
      <w:pPr>
        <w:ind w:right="260" w:firstLine="456"/>
        <w:spacing w:after="0" w:line="278" w:lineRule="auto"/>
        <w:rPr>
          <w:sz w:val="20"/>
          <w:szCs w:val="20"/>
          <w:color w:val="auto"/>
        </w:rPr>
      </w:pPr>
      <w:r>
        <w:rPr>
          <w:rFonts w:ascii="Arial" w:cs="Arial" w:eastAsia="Arial" w:hAnsi="Arial"/>
          <w:sz w:val="12"/>
          <w:szCs w:val="12"/>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90" w:lineRule="exact"/>
        <w:rPr>
          <w:sz w:val="20"/>
          <w:szCs w:val="20"/>
          <w:color w:val="auto"/>
        </w:rPr>
      </w:pPr>
    </w:p>
    <w:p>
      <w:pPr>
        <w:ind w:right="60" w:firstLine="456"/>
        <w:spacing w:after="0" w:line="270"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5" w:lineRule="exact"/>
        <w:rPr>
          <w:sz w:val="20"/>
          <w:szCs w:val="20"/>
          <w:color w:val="auto"/>
        </w:rPr>
      </w:pPr>
    </w:p>
    <w:p>
      <w:pPr>
        <w:ind w:right="160" w:firstLine="456"/>
        <w:spacing w:after="0" w:line="318"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6" w:lineRule="exact"/>
        <w:rPr>
          <w:sz w:val="20"/>
          <w:szCs w:val="20"/>
          <w:color w:val="auto"/>
        </w:rPr>
      </w:pPr>
    </w:p>
    <w:p>
      <w:pPr>
        <w:ind w:right="360" w:firstLine="456"/>
        <w:spacing w:after="0" w:line="239" w:lineRule="auto"/>
        <w:rPr>
          <w:sz w:val="20"/>
          <w:szCs w:val="20"/>
          <w:color w:val="auto"/>
        </w:rPr>
      </w:pPr>
      <w:r>
        <w:rPr>
          <w:rFonts w:ascii="Arial" w:cs="Arial" w:eastAsia="Arial" w:hAnsi="Arial"/>
          <w:sz w:val="14"/>
          <w:szCs w:val="14"/>
          <w:color w:val="auto"/>
        </w:rPr>
        <w:t xml:space="preserve">In our opinion, PennantPark Floating Rate Capital, Ltd. and its Subsidiary maintained, in all material respects, effective internal control over financial reporting as of September 30, 2012,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COSO.</w:t>
      </w:r>
    </w:p>
    <w:p>
      <w:pPr>
        <w:spacing w:after="0" w:line="112"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the statements of assets and liabilities of PennantPark Floating Rate Capital Ltd. and its Subsidiary, including the schedules of investments as of September 30, 2012 and 2011, and the related statements of operations, changes in net assets, and cash flows for the year ended September 30, 2012 and for the period March 4, 2011 (commencement of operations) to September 30, 2011 and our report dated November 14, 2012 expressed an unqualified opinion on those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14, 2012</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8"/>
              </w:rPr>
              <w:t>September 30, 2012</w:t>
            </w:r>
          </w:p>
        </w:tc>
        <w:tc>
          <w:tcPr>
            <w:tcW w:w="160" w:type="dxa"/>
            <w:vAlign w:val="bottom"/>
          </w:tcPr>
          <w:p>
            <w:pPr>
              <w:spacing w:after="0"/>
              <w:rPr>
                <w:sz w:val="14"/>
                <w:szCs w:val="14"/>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8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Investments at fair value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Non-controlled, non-affiliated investments, at fair value</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(cost—$171,578,009 and $114,829,621, respectively)</w:t>
            </w:r>
          </w:p>
        </w:tc>
        <w:tc>
          <w:tcPr>
            <w:tcW w:w="1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171,834,400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110,724,241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Cash equivalents (See Note 7)</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3,845,803</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6,987,450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receivable</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1,388,867</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732,695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Receivable for investments sold</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986,278</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2,467,500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311,313</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163,374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Total assets</w:t>
            </w:r>
          </w:p>
        </w:tc>
        <w:tc>
          <w:tcPr>
            <w:tcW w:w="1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00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178,366,661</w:t>
            </w:r>
          </w:p>
        </w:tc>
        <w:tc>
          <w:tcPr>
            <w:tcW w:w="160" w:type="dxa"/>
            <w:vAlign w:val="bottom"/>
          </w:tcPr>
          <w:p>
            <w:pPr>
              <w:spacing w:after="0"/>
              <w:rPr>
                <w:sz w:val="14"/>
                <w:szCs w:val="14"/>
                <w:color w:val="auto"/>
              </w:rPr>
            </w:pPr>
          </w:p>
        </w:tc>
        <w:tc>
          <w:tcPr>
            <w:tcW w:w="1500" w:type="dxa"/>
            <w:vAlign w:val="bottom"/>
          </w:tcPr>
          <w:p>
            <w:pPr>
              <w:jc w:val="right"/>
              <w:spacing w:after="0" w:line="155" w:lineRule="exact"/>
              <w:rPr>
                <w:sz w:val="20"/>
                <w:szCs w:val="20"/>
                <w:color w:val="auto"/>
              </w:rPr>
            </w:pPr>
            <w:r>
              <w:rPr>
                <w:rFonts w:ascii="Arial" w:cs="Arial" w:eastAsia="Arial" w:hAnsi="Arial"/>
                <w:sz w:val="14"/>
                <w:szCs w:val="14"/>
                <w:color w:val="auto"/>
              </w:rPr>
              <w:t>121,075,260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8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Distributions payable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548,053</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479,547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3,357,500</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Unfunded investments</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2,323,250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Credit Facility payable</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(cost—$75,500,000 and $24,650,000, respectively) (See Notes 5 and 10)</w:t>
            </w: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75,122,500</w:t>
            </w:r>
          </w:p>
        </w:tc>
        <w:tc>
          <w:tcPr>
            <w:tcW w:w="1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24,650,000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Interest payable on Credit Facility</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161,550</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150,246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424,747</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266,432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Performance-based incentive fees payable (See Note 3)</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506,314</w:t>
            </w:r>
          </w:p>
        </w:tc>
        <w:tc>
          <w:tcPr>
            <w:tcW w:w="160" w:type="dxa"/>
            <w:vAlign w:val="bottom"/>
          </w:tcPr>
          <w:p>
            <w:pPr>
              <w:spacing w:after="0"/>
              <w:rPr>
                <w:sz w:val="12"/>
                <w:szCs w:val="12"/>
                <w:color w:val="auto"/>
              </w:rPr>
            </w:pPr>
          </w:p>
        </w:tc>
        <w:tc>
          <w:tcPr>
            <w:tcW w:w="1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other expenses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447,120</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143,680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Accrued sales load charges (See Note 3)</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2,055,000</w:t>
            </w:r>
          </w:p>
        </w:tc>
        <w:tc>
          <w:tcPr>
            <w:tcW w:w="160" w:type="dxa"/>
            <w:vAlign w:val="bottom"/>
          </w:tcPr>
          <w:p>
            <w:pPr>
              <w:spacing w:after="0"/>
              <w:rPr>
                <w:sz w:val="12"/>
                <w:szCs w:val="12"/>
                <w:color w:val="auto"/>
              </w:rPr>
            </w:pPr>
          </w:p>
        </w:tc>
        <w:tc>
          <w:tcPr>
            <w:tcW w:w="1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b w:val="1"/>
                <w:bCs w:val="1"/>
                <w:color w:val="auto"/>
              </w:rPr>
              <w:t>Total liabilities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82,622,784</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29,003,155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0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18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Common stock, 6,850,667 shares are issued and outstanding.</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Par value $0.001 per share and 100,000,000 shares authorized.</w:t>
            </w: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6,851</w:t>
            </w:r>
          </w:p>
        </w:tc>
        <w:tc>
          <w:tcPr>
            <w:tcW w:w="1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6,851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95,192,222</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97,251,174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in excess of net investment income</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(1,313,000)</w:t>
            </w:r>
          </w:p>
        </w:tc>
        <w:tc>
          <w:tcPr>
            <w:tcW w:w="1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(1,392,528)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Accumulated net realized gain on investments</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1,223,913</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311,988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appreciation (depreciation) on investments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256,391</w:t>
            </w:r>
          </w:p>
        </w:tc>
        <w:tc>
          <w:tcPr>
            <w:tcW w:w="1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(4,105,380)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Net unrealized appreciation on Credit Facility</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377,500</w:t>
            </w:r>
          </w:p>
        </w:tc>
        <w:tc>
          <w:tcPr>
            <w:tcW w:w="160" w:type="dxa"/>
            <w:vAlign w:val="bottom"/>
          </w:tcPr>
          <w:p>
            <w:pPr>
              <w:spacing w:after="0"/>
              <w:rPr>
                <w:sz w:val="12"/>
                <w:szCs w:val="12"/>
                <w:color w:val="auto"/>
              </w:rPr>
            </w:pPr>
          </w:p>
        </w:tc>
        <w:tc>
          <w:tcPr>
            <w:tcW w:w="1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b w:val="1"/>
                <w:bCs w:val="1"/>
                <w:color w:val="auto"/>
              </w:rPr>
              <w:t>Total net assets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95,743,877</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92,072,105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Total liabilities and net assets</w:t>
            </w:r>
          </w:p>
        </w:tc>
        <w:tc>
          <w:tcPr>
            <w:tcW w:w="1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000" w:type="dxa"/>
            <w:vAlign w:val="bottom"/>
            <w:vMerge w:val="continue"/>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6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178,366,661</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line="155" w:lineRule="exact"/>
              <w:rPr>
                <w:sz w:val="20"/>
                <w:szCs w:val="20"/>
                <w:color w:val="auto"/>
              </w:rPr>
            </w:pPr>
            <w:r>
              <w:rPr>
                <w:rFonts w:ascii="Arial" w:cs="Arial" w:eastAsia="Arial" w:hAnsi="Arial"/>
                <w:sz w:val="14"/>
                <w:szCs w:val="14"/>
                <w:color w:val="auto"/>
              </w:rPr>
              <w:t>121,075,260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0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19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320"/>
              <w:spacing w:after="0" w:line="143" w:lineRule="exact"/>
              <w:rPr>
                <w:sz w:val="20"/>
                <w:szCs w:val="20"/>
                <w:color w:val="auto"/>
              </w:rPr>
            </w:pPr>
            <w:r>
              <w:rPr>
                <w:rFonts w:ascii="Arial" w:cs="Arial" w:eastAsia="Arial" w:hAnsi="Arial"/>
                <w:sz w:val="14"/>
                <w:szCs w:val="14"/>
                <w:color w:val="auto"/>
              </w:rPr>
              <w:t>13.98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13.44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For the period 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8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Year Ended September 30,</w:t>
            </w:r>
          </w:p>
        </w:tc>
        <w:tc>
          <w:tcPr>
            <w:tcW w:w="2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92"/>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3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w:t>
            </w:r>
          </w:p>
        </w:tc>
        <w:tc>
          <w:tcPr>
            <w:tcW w:w="3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11,856,483</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2,946,599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tcPr>
          <w:p>
            <w:pPr>
              <w:ind w:left="420"/>
              <w:spacing w:after="0" w:line="149" w:lineRule="exact"/>
              <w:rPr>
                <w:sz w:val="20"/>
                <w:szCs w:val="20"/>
                <w:color w:val="auto"/>
              </w:rPr>
            </w:pPr>
            <w:r>
              <w:rPr>
                <w:rFonts w:ascii="Arial" w:cs="Arial" w:eastAsia="Arial" w:hAnsi="Arial"/>
                <w:sz w:val="14"/>
                <w:szCs w:val="14"/>
                <w:color w:val="auto"/>
              </w:rPr>
              <w:t>Other income</w:t>
            </w:r>
          </w:p>
        </w:tc>
        <w:tc>
          <w:tcPr>
            <w:tcW w:w="380" w:type="dxa"/>
            <w:vAlign w:val="bottom"/>
          </w:tcPr>
          <w:p>
            <w:pPr>
              <w:spacing w:after="0"/>
              <w:rPr>
                <w:sz w:val="13"/>
                <w:szCs w:val="13"/>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242,065</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income</w:t>
            </w:r>
          </w:p>
        </w:tc>
        <w:tc>
          <w:tcPr>
            <w:tcW w:w="380" w:type="dxa"/>
            <w:vAlign w:val="bottom"/>
            <w:tcBorders>
              <w:top w:val="single" w:sz="8" w:color="auto"/>
              <w:bottom w:val="single" w:sz="8" w:color="auto"/>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12,098,548</w:t>
            </w:r>
          </w:p>
        </w:tc>
        <w:tc>
          <w:tcPr>
            <w:tcW w:w="28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2,946,599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4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Base management fee (See Note 3)</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1,494,616</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365,433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420"/>
              <w:spacing w:after="0" w:line="149" w:lineRule="exact"/>
              <w:rPr>
                <w:sz w:val="20"/>
                <w:szCs w:val="20"/>
                <w:color w:val="auto"/>
              </w:rPr>
            </w:pPr>
            <w:r>
              <w:rPr>
                <w:rFonts w:ascii="Arial" w:cs="Arial" w:eastAsia="Arial" w:hAnsi="Arial"/>
                <w:sz w:val="14"/>
                <w:szCs w:val="14"/>
                <w:color w:val="auto"/>
              </w:rPr>
              <w:t>Performance-based incentive fees (Note 3)</w:t>
            </w: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564,540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and expenses on the Credit Facility (See Note 10)</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1,482,339</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155,913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42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583,613</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jc w:val="right"/>
              <w:spacing w:after="0" w:line="149" w:lineRule="exact"/>
              <w:rPr>
                <w:sz w:val="20"/>
                <w:szCs w:val="20"/>
                <w:color w:val="auto"/>
              </w:rPr>
            </w:pPr>
            <w:r>
              <w:rPr>
                <w:rFonts w:ascii="Arial" w:cs="Arial" w:eastAsia="Arial" w:hAnsi="Arial"/>
                <w:sz w:val="14"/>
                <w:szCs w:val="14"/>
                <w:color w:val="auto"/>
              </w:rPr>
              <w:t>182,995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38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1,310,084</w:t>
            </w:r>
          </w:p>
        </w:tc>
        <w:tc>
          <w:tcPr>
            <w:tcW w:w="2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556,076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Expenses before Credit Facility costs and excise tax expense</w:t>
            </w:r>
          </w:p>
        </w:tc>
        <w:tc>
          <w:tcPr>
            <w:tcW w:w="38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5,435,192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jc w:val="right"/>
              <w:spacing w:after="0" w:line="155" w:lineRule="exact"/>
              <w:rPr>
                <w:sz w:val="20"/>
                <w:szCs w:val="20"/>
                <w:color w:val="auto"/>
              </w:rPr>
            </w:pPr>
            <w:r>
              <w:rPr>
                <w:rFonts w:ascii="Arial" w:cs="Arial" w:eastAsia="Arial" w:hAnsi="Arial"/>
                <w:sz w:val="14"/>
                <w:szCs w:val="14"/>
                <w:color w:val="auto"/>
              </w:rPr>
              <w:t>1,260,417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Credit Facility issuance costs (See Note 10)</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311,648</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1,366,043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tcPr>
          <w:p>
            <w:pPr>
              <w:ind w:left="420"/>
              <w:spacing w:after="0" w:line="149" w:lineRule="exact"/>
              <w:rPr>
                <w:sz w:val="20"/>
                <w:szCs w:val="20"/>
                <w:color w:val="auto"/>
              </w:rPr>
            </w:pPr>
            <w:r>
              <w:rPr>
                <w:rFonts w:ascii="Arial" w:cs="Arial" w:eastAsia="Arial" w:hAnsi="Arial"/>
                <w:sz w:val="14"/>
                <w:szCs w:val="14"/>
                <w:color w:val="auto"/>
              </w:rPr>
              <w:t>Excise tax</w:t>
            </w:r>
          </w:p>
        </w:tc>
        <w:tc>
          <w:tcPr>
            <w:tcW w:w="380" w:type="dxa"/>
            <w:vAlign w:val="bottom"/>
          </w:tcPr>
          <w:p>
            <w:pPr>
              <w:spacing w:after="0"/>
              <w:rPr>
                <w:sz w:val="13"/>
                <w:szCs w:val="13"/>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42,027</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expenses</w:t>
            </w:r>
          </w:p>
        </w:tc>
        <w:tc>
          <w:tcPr>
            <w:tcW w:w="380" w:type="dxa"/>
            <w:vAlign w:val="bottom"/>
            <w:tcBorders>
              <w:top w:val="single" w:sz="8" w:color="auto"/>
              <w:bottom w:val="single" w:sz="8" w:color="auto"/>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5,788,867</w:t>
            </w:r>
          </w:p>
        </w:tc>
        <w:tc>
          <w:tcPr>
            <w:tcW w:w="28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2,626,460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6,309,681</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320,139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gain (loss) on investments and Credit Facility:</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color w:val="auto"/>
              </w:rPr>
              <w:t>Net realized gain on non-controlled, non-affiliated investments</w:t>
            </w: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911,925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jc w:val="right"/>
              <w:spacing w:after="0" w:line="149" w:lineRule="exact"/>
              <w:rPr>
                <w:sz w:val="20"/>
                <w:szCs w:val="20"/>
                <w:color w:val="auto"/>
              </w:rPr>
            </w:pPr>
            <w:r>
              <w:rPr>
                <w:rFonts w:ascii="Arial" w:cs="Arial" w:eastAsia="Arial" w:hAnsi="Arial"/>
                <w:sz w:val="14"/>
                <w:szCs w:val="14"/>
                <w:color w:val="auto"/>
              </w:rPr>
              <w:t>311,988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appreciation (depreciation) on:</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420"/>
              <w:spacing w:after="0" w:line="149" w:lineRule="exact"/>
              <w:rPr>
                <w:sz w:val="20"/>
                <w:szCs w:val="20"/>
                <w:color w:val="auto"/>
              </w:rPr>
            </w:pPr>
            <w:r>
              <w:rPr>
                <w:rFonts w:ascii="Arial" w:cs="Arial" w:eastAsia="Arial" w:hAnsi="Arial"/>
                <w:sz w:val="14"/>
                <w:szCs w:val="14"/>
                <w:color w:val="auto"/>
              </w:rPr>
              <w:t>Non-controlled, non-affiliated investments</w:t>
            </w: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4,361,772</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(4,105,380)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Credit Facility appreciation (See Note 5)</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377,500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Net change in unrealized appreciation (depreciation) on investments and Credit Facility</w:t>
            </w: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4,739,272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(4,105,380)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realized and unrealized gain (loss) from investments and Credit Facility</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5,651,197</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(3,793,392)</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increase (decrease) in net assets resulting from operations</w:t>
            </w: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00" w:type="dxa"/>
            <w:vAlign w:val="bottom"/>
            <w:gridSpan w:val="2"/>
            <w:vMerge w:val="continue"/>
          </w:tcPr>
          <w:p>
            <w:pPr>
              <w:spacing w:after="0"/>
              <w:rPr>
                <w:sz w:val="13"/>
                <w:szCs w:val="13"/>
                <w:color w:val="auto"/>
              </w:rPr>
            </w:pPr>
          </w:p>
        </w:tc>
        <w:tc>
          <w:tcPr>
            <w:tcW w:w="380" w:type="dxa"/>
            <w:vAlign w:val="bottom"/>
          </w:tcPr>
          <w:p>
            <w:pPr>
              <w:jc w:val="right"/>
              <w:ind w:right="232"/>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11,960,878</w:t>
            </w:r>
          </w:p>
        </w:tc>
        <w:tc>
          <w:tcPr>
            <w:tcW w:w="28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20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(3,473,253)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 per common share (See Note 6)</w:t>
            </w:r>
          </w:p>
        </w:tc>
        <w:tc>
          <w:tcPr>
            <w:tcW w:w="3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56"/>
        </w:trPr>
        <w:tc>
          <w:tcPr>
            <w:tcW w:w="7400" w:type="dxa"/>
            <w:vAlign w:val="bottom"/>
            <w:gridSpan w:val="2"/>
          </w:tcPr>
          <w:p>
            <w:pPr>
              <w:spacing w:after="0" w:line="155" w:lineRule="exact"/>
              <w:rPr>
                <w:sz w:val="20"/>
                <w:szCs w:val="20"/>
                <w:color w:val="auto"/>
              </w:rPr>
            </w:pPr>
            <w:r>
              <w:rPr>
                <w:rFonts w:ascii="Arial" w:cs="Arial" w:eastAsia="Arial" w:hAnsi="Arial"/>
                <w:sz w:val="14"/>
                <w:szCs w:val="14"/>
                <w:color w:val="auto"/>
              </w:rPr>
              <w:t>Net investment income per common share</w:t>
            </w:r>
          </w:p>
        </w:tc>
        <w:tc>
          <w:tcPr>
            <w:tcW w:w="38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0.92</w:t>
            </w:r>
          </w:p>
        </w:tc>
        <w:tc>
          <w:tcPr>
            <w:tcW w:w="2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For the period March 04,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(commencement of operations)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September 30, 2012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to September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1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Net investment income</w:t>
            </w:r>
          </w:p>
        </w:tc>
        <w:tc>
          <w:tcPr>
            <w:tcW w:w="14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580" w:type="dxa"/>
            <w:vAlign w:val="bottom"/>
          </w:tcPr>
          <w:p>
            <w:pPr>
              <w:jc w:val="right"/>
              <w:spacing w:after="0" w:line="149" w:lineRule="exact"/>
              <w:rPr>
                <w:sz w:val="20"/>
                <w:szCs w:val="20"/>
                <w:color w:val="auto"/>
              </w:rPr>
            </w:pPr>
            <w:r>
              <w:rPr>
                <w:rFonts w:ascii="Arial" w:cs="Arial" w:eastAsia="Arial" w:hAnsi="Arial"/>
                <w:sz w:val="14"/>
                <w:szCs w:val="14"/>
                <w:color w:val="auto"/>
              </w:rPr>
              <w:t>6,309,681</w:t>
            </w:r>
          </w:p>
        </w:tc>
        <w:tc>
          <w:tcPr>
            <w:tcW w:w="220" w:type="dxa"/>
            <w:vAlign w:val="bottom"/>
          </w:tcPr>
          <w:p>
            <w:pPr>
              <w:spacing w:after="0"/>
              <w:rPr>
                <w:sz w:val="12"/>
                <w:szCs w:val="12"/>
                <w:color w:val="auto"/>
              </w:rPr>
            </w:pPr>
          </w:p>
        </w:tc>
        <w:tc>
          <w:tcPr>
            <w:tcW w:w="3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320,139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realized gain on investments</w:t>
            </w: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911,925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311,988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Arial" w:cs="Arial" w:eastAsia="Arial" w:hAnsi="Arial"/>
                <w:sz w:val="14"/>
                <w:szCs w:val="14"/>
                <w:color w:val="auto"/>
              </w:rPr>
              <w:t>4,361,772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(4,105,380)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change in unrealized appreciation on Credit Facility</w:t>
            </w:r>
          </w:p>
        </w:tc>
        <w:tc>
          <w:tcPr>
            <w:tcW w:w="1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377,500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72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right"/>
              <w:spacing w:after="0" w:line="155" w:lineRule="exact"/>
              <w:rPr>
                <w:sz w:val="20"/>
                <w:szCs w:val="20"/>
                <w:color w:val="auto"/>
              </w:rPr>
            </w:pPr>
            <w:r>
              <w:rPr>
                <w:rFonts w:ascii="Arial" w:cs="Arial" w:eastAsia="Arial" w:hAnsi="Arial"/>
                <w:sz w:val="14"/>
                <w:szCs w:val="14"/>
                <w:color w:val="auto"/>
              </w:rPr>
              <w:t>11,960,878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(3,473,253)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1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Distributions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(6,234,106)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(1,712,667)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Capital Transactions:</w:t>
            </w:r>
          </w:p>
        </w:tc>
        <w:tc>
          <w:tcPr>
            <w:tcW w:w="1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issuance of common stock</w:t>
            </w: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102,760,000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sales load charges (See Notes 1 and 3)</w:t>
            </w: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(2,055,000)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(5,501,975)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Net (decrease) increase in net assets resulting from capital transactions</w:t>
            </w: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72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(2,055,000)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97,258,025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in net assets</w:t>
            </w: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3,671,772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92,072,105</w:t>
            </w: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Net assets:</w:t>
            </w:r>
          </w:p>
        </w:tc>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Beginning of period</w:t>
            </w: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92,072,105</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vMerge w:val="restart"/>
          </w:tcPr>
          <w:p>
            <w:pPr>
              <w:ind w:left="420"/>
              <w:spacing w:after="0"/>
              <w:rPr>
                <w:sz w:val="20"/>
                <w:szCs w:val="20"/>
                <w:color w:val="auto"/>
              </w:rPr>
            </w:pPr>
            <w:r>
              <w:rPr>
                <w:rFonts w:ascii="Arial" w:cs="Arial" w:eastAsia="Arial" w:hAnsi="Arial"/>
                <w:sz w:val="14"/>
                <w:szCs w:val="14"/>
                <w:color w:val="auto"/>
              </w:rPr>
              <w:t>End of period</w:t>
            </w: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72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jc w:val="right"/>
              <w:ind w:right="52"/>
              <w:spacing w:after="0" w:line="155" w:lineRule="exact"/>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line="155" w:lineRule="exact"/>
              <w:rPr>
                <w:sz w:val="20"/>
                <w:szCs w:val="20"/>
                <w:color w:val="auto"/>
              </w:rPr>
            </w:pPr>
            <w:r>
              <w:rPr>
                <w:rFonts w:ascii="Arial" w:cs="Arial" w:eastAsia="Arial" w:hAnsi="Arial"/>
                <w:sz w:val="14"/>
                <w:szCs w:val="14"/>
                <w:color w:val="auto"/>
              </w:rPr>
              <w:t>95,743,877</w:t>
            </w:r>
          </w:p>
        </w:tc>
        <w:tc>
          <w:tcPr>
            <w:tcW w:w="220" w:type="dxa"/>
            <w:vAlign w:val="bottom"/>
          </w:tcPr>
          <w:p>
            <w:pPr>
              <w:spacing w:after="0"/>
              <w:rPr>
                <w:sz w:val="13"/>
                <w:szCs w:val="13"/>
                <w:color w:val="auto"/>
              </w:rPr>
            </w:pPr>
          </w:p>
        </w:tc>
        <w:tc>
          <w:tcPr>
            <w:tcW w:w="3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21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92,072,105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Distributions in excess of net investment income, end of period</w:t>
            </w:r>
          </w:p>
        </w:tc>
        <w:tc>
          <w:tcPr>
            <w:tcW w:w="14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(1,313,000)</w:t>
            </w: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(1,392,528)</w:t>
            </w:r>
          </w:p>
        </w:tc>
        <w:tc>
          <w:tcPr>
            <w:tcW w:w="0" w:type="dxa"/>
            <w:vAlign w:val="bottom"/>
          </w:tcPr>
          <w:p>
            <w:pPr>
              <w:spacing w:after="0"/>
              <w:rPr>
                <w:sz w:val="1"/>
                <w:szCs w:val="1"/>
                <w:color w:val="auto"/>
              </w:rPr>
            </w:pPr>
          </w:p>
        </w:tc>
      </w:tr>
      <w:tr>
        <w:trPr>
          <w:trHeight w:val="264"/>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Capital Share Activity:</w:t>
            </w:r>
          </w:p>
        </w:tc>
        <w:tc>
          <w:tcPr>
            <w:tcW w:w="12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shares from offerings</w:t>
            </w:r>
          </w:p>
        </w:tc>
        <w:tc>
          <w:tcPr>
            <w:tcW w:w="1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6,850,667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For the period March 04, 2011</w:t>
            </w:r>
          </w:p>
        </w:tc>
      </w:tr>
      <w:tr>
        <w:trPr>
          <w:trHeight w:val="149"/>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2"/>
                <w:szCs w:val="12"/>
                <w:color w:val="auto"/>
              </w:rPr>
            </w:pPr>
          </w:p>
        </w:tc>
        <w:tc>
          <w:tcPr>
            <w:tcW w:w="2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(commencement of operations)</w:t>
            </w:r>
          </w:p>
        </w:tc>
      </w:t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September 30, 2012</w:t>
            </w:r>
          </w:p>
        </w:tc>
        <w:tc>
          <w:tcPr>
            <w:tcW w:w="180" w:type="dxa"/>
            <w:vAlign w:val="bottom"/>
          </w:tcPr>
          <w:p>
            <w:pPr>
              <w:spacing w:after="0"/>
              <w:rPr>
                <w:sz w:val="14"/>
                <w:szCs w:val="14"/>
                <w:color w:val="auto"/>
              </w:rPr>
            </w:pPr>
          </w:p>
        </w:tc>
        <w:tc>
          <w:tcPr>
            <w:tcW w:w="2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to September 30, 2011</w:t>
            </w:r>
          </w:p>
        </w:tc>
      </w:tr>
      <w:tr>
        <w:trPr>
          <w:trHeight w:val="129"/>
        </w:trPr>
        <w:tc>
          <w:tcPr>
            <w:tcW w:w="20" w:type="dxa"/>
            <w:vAlign w:val="bottom"/>
          </w:tcPr>
          <w:p>
            <w:pPr>
              <w:spacing w:after="0"/>
              <w:rPr>
                <w:sz w:val="11"/>
                <w:szCs w:val="11"/>
                <w:color w:val="auto"/>
              </w:rPr>
            </w:pPr>
          </w:p>
        </w:tc>
        <w:tc>
          <w:tcPr>
            <w:tcW w:w="69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420"/>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11,960,878</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2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(3,473,253)</w:t>
            </w:r>
          </w:p>
        </w:tc>
      </w:tr>
      <w:tr>
        <w:trPr>
          <w:trHeight w:val="138"/>
        </w:trPr>
        <w:tc>
          <w:tcPr>
            <w:tcW w:w="20" w:type="dxa"/>
            <w:vAlign w:val="bottom"/>
          </w:tcPr>
          <w:p>
            <w:pPr>
              <w:spacing w:after="0"/>
              <w:rPr>
                <w:sz w:val="11"/>
                <w:szCs w:val="11"/>
                <w:color w:val="auto"/>
              </w:rPr>
            </w:pPr>
          </w:p>
        </w:tc>
        <w:tc>
          <w:tcPr>
            <w:tcW w:w="6940" w:type="dxa"/>
            <w:vAlign w:val="bottom"/>
            <w:shd w:val="clear" w:color="auto" w:fill="CCEEFF"/>
          </w:tcPr>
          <w:p>
            <w:pPr>
              <w:ind w:left="520"/>
              <w:spacing w:after="0" w:line="138" w:lineRule="exact"/>
              <w:rPr>
                <w:sz w:val="20"/>
                <w:szCs w:val="20"/>
                <w:color w:val="auto"/>
              </w:rPr>
            </w:pPr>
            <w:r>
              <w:rPr>
                <w:rFonts w:ascii="Arial" w:cs="Arial" w:eastAsia="Arial" w:hAnsi="Arial"/>
                <w:sz w:val="14"/>
                <w:szCs w:val="14"/>
                <w:color w:val="auto"/>
                <w:w w:val="87"/>
              </w:rPr>
              <w:t>Adjustments to reconcile net increase (decrease) in net assets resulting from operations to net cash used by operating</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6940" w:type="dxa"/>
            <w:vAlign w:val="bottom"/>
            <w:shd w:val="clear" w:color="auto" w:fill="CCEEFF"/>
          </w:tcPr>
          <w:p>
            <w:pPr>
              <w:ind w:left="800"/>
              <w:spacing w:after="0" w:line="159" w:lineRule="exact"/>
              <w:rPr>
                <w:sz w:val="20"/>
                <w:szCs w:val="20"/>
                <w:color w:val="auto"/>
              </w:rPr>
            </w:pPr>
            <w:r>
              <w:rPr>
                <w:rFonts w:ascii="Arial" w:cs="Arial" w:eastAsia="Arial" w:hAnsi="Arial"/>
                <w:sz w:val="14"/>
                <w:szCs w:val="14"/>
                <w:color w:val="auto"/>
              </w:rPr>
              <w:t>activities:</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(4,361,772)</w:t>
            </w:r>
          </w:p>
        </w:tc>
        <w:tc>
          <w:tcPr>
            <w:tcW w:w="18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4,105,380</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change in unrealized appreciation on Credit Facility</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(377,500)</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Net realized gain on investments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(911,925)</w:t>
            </w:r>
          </w:p>
        </w:tc>
        <w:tc>
          <w:tcPr>
            <w:tcW w:w="180" w:type="dxa"/>
            <w:vAlign w:val="bottom"/>
          </w:tcPr>
          <w:p>
            <w:pPr>
              <w:spacing w:after="0"/>
              <w:rPr>
                <w:sz w:val="12"/>
                <w:szCs w:val="12"/>
                <w:color w:val="auto"/>
              </w:rPr>
            </w:pPr>
          </w:p>
        </w:tc>
        <w:tc>
          <w:tcPr>
            <w:tcW w:w="2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(311,988)</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(704,452)</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(136,975)</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Purchase of investments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(128,673,695)</w:t>
            </w:r>
          </w:p>
        </w:tc>
        <w:tc>
          <w:tcPr>
            <w:tcW w:w="180" w:type="dxa"/>
            <w:vAlign w:val="bottom"/>
          </w:tcPr>
          <w:p>
            <w:pPr>
              <w:spacing w:after="0"/>
              <w:rPr>
                <w:sz w:val="12"/>
                <w:szCs w:val="12"/>
                <w:color w:val="auto"/>
              </w:rPr>
            </w:pPr>
          </w:p>
        </w:tc>
        <w:tc>
          <w:tcPr>
            <w:tcW w:w="2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(147,545,077)</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Payment-in-kind interest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(119,552)</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(42,074)</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71,499,356</w:t>
            </w:r>
          </w:p>
        </w:tc>
        <w:tc>
          <w:tcPr>
            <w:tcW w:w="18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33,206,493</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Decrease (increase) in receivable for investments sold</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1,481,222</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(2,467,500)</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(Increase) in interest receivable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(656,172)</w:t>
            </w:r>
          </w:p>
        </w:tc>
        <w:tc>
          <w:tcPr>
            <w:tcW w:w="180" w:type="dxa"/>
            <w:vAlign w:val="bottom"/>
          </w:tcPr>
          <w:p>
            <w:pPr>
              <w:spacing w:after="0"/>
              <w:rPr>
                <w:sz w:val="12"/>
                <w:szCs w:val="12"/>
                <w:color w:val="auto"/>
              </w:rPr>
            </w:pPr>
          </w:p>
        </w:tc>
        <w:tc>
          <w:tcPr>
            <w:tcW w:w="2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(732,695)</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in prepaid expenses and other assets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(147,939)</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(163,374)</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Increase in payable for investments purchased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2,367,500</w:t>
            </w:r>
          </w:p>
        </w:tc>
        <w:tc>
          <w:tcPr>
            <w:tcW w:w="18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990,000</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(Decrease) increase in unfunded investments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(161,370)</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2,323,250</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Increase in interest payable on Credit Facility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11,304</w:t>
            </w:r>
          </w:p>
        </w:tc>
        <w:tc>
          <w:tcPr>
            <w:tcW w:w="18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150,246</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in management fee payable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158,315</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266,432</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Increase in performance-based incentive fees payable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506,314</w:t>
            </w:r>
          </w:p>
        </w:tc>
        <w:tc>
          <w:tcPr>
            <w:tcW w:w="18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in accrued expenses</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303,440</w:t>
            </w:r>
          </w:p>
        </w:tc>
        <w:tc>
          <w:tcPr>
            <w:tcW w:w="2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143,680</w:t>
            </w:r>
          </w:p>
        </w:tc>
        <w:tc>
          <w:tcPr>
            <w:tcW w:w="10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6940" w:type="dxa"/>
            <w:vAlign w:val="bottom"/>
          </w:tcPr>
          <w:p>
            <w:pPr>
              <w:ind w:left="1280"/>
              <w:spacing w:after="0" w:line="155" w:lineRule="exact"/>
              <w:rPr>
                <w:sz w:val="20"/>
                <w:szCs w:val="20"/>
                <w:color w:val="auto"/>
              </w:rPr>
            </w:pPr>
            <w:r>
              <w:rPr>
                <w:rFonts w:ascii="Arial" w:cs="Arial" w:eastAsia="Arial" w:hAnsi="Arial"/>
                <w:sz w:val="14"/>
                <w:szCs w:val="14"/>
                <w:color w:val="auto"/>
              </w:rPr>
              <w:t>Net cash used by operating activities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(47,826,048)</w:t>
            </w:r>
          </w:p>
        </w:tc>
        <w:tc>
          <w:tcPr>
            <w:tcW w:w="180" w:type="dxa"/>
            <w:vAlign w:val="bottom"/>
          </w:tcPr>
          <w:p>
            <w:pPr>
              <w:spacing w:after="0"/>
              <w:rPr>
                <w:sz w:val="14"/>
                <w:szCs w:val="14"/>
                <w:color w:val="auto"/>
              </w:rPr>
            </w:pPr>
          </w:p>
        </w:tc>
        <w:tc>
          <w:tcPr>
            <w:tcW w:w="23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(113,687,455)</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2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Proceeds from offerings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102,760,000</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Offering costs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(5,501,975)</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Distributions paid to stockholders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(6,165,599)</w:t>
            </w:r>
          </w:p>
        </w:tc>
        <w:tc>
          <w:tcPr>
            <w:tcW w:w="180" w:type="dxa"/>
            <w:vAlign w:val="bottom"/>
          </w:tcPr>
          <w:p>
            <w:pPr>
              <w:spacing w:after="0"/>
              <w:rPr>
                <w:sz w:val="12"/>
                <w:szCs w:val="12"/>
                <w:color w:val="auto"/>
              </w:rPr>
            </w:pPr>
          </w:p>
        </w:tc>
        <w:tc>
          <w:tcPr>
            <w:tcW w:w="2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(1,233,120)</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Borrowings under Credit Facility (See Notes 5 and 10)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97,650,000</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29,000,000</w:t>
            </w:r>
          </w:p>
        </w:tc>
      </w:tr>
      <w:tr>
        <w:trPr>
          <w:trHeight w:val="156"/>
        </w:trPr>
        <w:tc>
          <w:tcPr>
            <w:tcW w:w="20" w:type="dxa"/>
            <w:vAlign w:val="bottom"/>
          </w:tcPr>
          <w:p>
            <w:pPr>
              <w:spacing w:after="0"/>
              <w:rPr>
                <w:sz w:val="13"/>
                <w:szCs w:val="13"/>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Repayments under Credit Facility (See Notes 5 and 10)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(46,800,000)</w:t>
            </w:r>
          </w:p>
        </w:tc>
        <w:tc>
          <w:tcPr>
            <w:tcW w:w="180" w:type="dxa"/>
            <w:vAlign w:val="bottom"/>
          </w:tcPr>
          <w:p>
            <w:pPr>
              <w:spacing w:after="0"/>
              <w:rPr>
                <w:sz w:val="13"/>
                <w:szCs w:val="13"/>
                <w:color w:val="auto"/>
              </w:rPr>
            </w:pPr>
          </w:p>
        </w:tc>
        <w:tc>
          <w:tcPr>
            <w:tcW w:w="2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(4,350,000)</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44,684,401</w:t>
            </w: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2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120,674,905</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b w:val="1"/>
                <w:bCs w:val="1"/>
                <w:color w:val="auto"/>
              </w:rPr>
              <w:t>Net (decrease) increase in cash equivalents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(3,141,647)</w:t>
            </w:r>
          </w:p>
        </w:tc>
        <w:tc>
          <w:tcPr>
            <w:tcW w:w="180" w:type="dxa"/>
            <w:vAlign w:val="bottom"/>
          </w:tcPr>
          <w:p>
            <w:pPr>
              <w:spacing w:after="0"/>
              <w:rPr>
                <w:sz w:val="13"/>
                <w:szCs w:val="13"/>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6,987,450</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 beginning of period</w:t>
            </w: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6,987,450</w:t>
            </w: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2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b w:val="1"/>
                <w:bCs w:val="1"/>
                <w:color w:val="auto"/>
              </w:rPr>
              <w:t>Cash equivalents, end of period</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3,845,803</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6,987,450</w:t>
            </w: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420"/>
              <w:spacing w:after="0" w:line="149" w:lineRule="exact"/>
              <w:rPr>
                <w:sz w:val="20"/>
                <w:szCs w:val="20"/>
                <w:color w:val="auto"/>
              </w:rPr>
            </w:pPr>
            <w:r>
              <w:rPr>
                <w:rFonts w:ascii="Arial" w:cs="Arial" w:eastAsia="Arial" w:hAnsi="Arial"/>
                <w:sz w:val="14"/>
                <w:szCs w:val="14"/>
                <w:color w:val="auto"/>
              </w:rPr>
              <w:t>Interest paid</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1,471,035</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5,556</w:t>
            </w: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Taxes paid</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3,952</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700" w:type="dxa"/>
            <w:vAlign w:val="bottom"/>
            <w:vMerge w:val="restart"/>
          </w:tcPr>
          <w:p>
            <w:pPr>
              <w:jc w:val="center"/>
              <w:ind w:left="872"/>
              <w:spacing w:after="0"/>
              <w:rPr>
                <w:sz w:val="20"/>
                <w:szCs w:val="20"/>
                <w:color w:val="auto"/>
              </w:rPr>
            </w:pPr>
            <w:r>
              <w:rPr>
                <w:rFonts w:ascii="Arial" w:cs="Arial" w:eastAsia="Arial" w:hAnsi="Arial"/>
                <w:sz w:val="14"/>
                <w:szCs w:val="14"/>
                <w:b w:val="1"/>
                <w:bCs w:val="1"/>
                <w:color w:val="auto"/>
                <w:w w:val="95"/>
              </w:rPr>
              <w:t>Maturity</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920" w:type="dxa"/>
            <w:vAlign w:val="bottom"/>
          </w:tcPr>
          <w:p>
            <w:pPr>
              <w:ind w:left="100"/>
              <w:spacing w:after="0"/>
              <w:rPr>
                <w:sz w:val="20"/>
                <w:szCs w:val="20"/>
                <w:color w:val="auto"/>
              </w:rPr>
            </w:pPr>
            <w:r>
              <w:rPr>
                <w:rFonts w:ascii="Arial" w:cs="Arial" w:eastAsia="Arial" w:hAnsi="Arial"/>
                <w:sz w:val="14"/>
                <w:szCs w:val="14"/>
                <w:b w:val="1"/>
                <w:bCs w:val="1"/>
                <w:color w:val="auto"/>
              </w:rPr>
              <w:t>Current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Above</w:t>
            </w: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Par/</w:t>
            </w:r>
          </w:p>
        </w:tc>
        <w:tc>
          <w:tcPr>
            <w:tcW w:w="7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Cost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9"/>
        </w:trPr>
        <w:tc>
          <w:tcPr>
            <w:tcW w:w="350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9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Coupon</w:t>
            </w:r>
          </w:p>
        </w:tc>
        <w:tc>
          <w:tcPr>
            <w:tcW w:w="8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Shares</w:t>
            </w:r>
          </w:p>
        </w:tc>
        <w:tc>
          <w:tcPr>
            <w:tcW w:w="780" w:type="dxa"/>
            <w:vAlign w:val="bottom"/>
            <w:vMerge w:val="continue"/>
          </w:tcPr>
          <w:p>
            <w:pPr>
              <w:spacing w:after="0"/>
              <w:rPr>
                <w:sz w:val="12"/>
                <w:szCs w:val="12"/>
                <w:color w:val="auto"/>
              </w:rPr>
            </w:pPr>
          </w:p>
        </w:tc>
        <w:tc>
          <w:tcPr>
            <w:tcW w:w="720" w:type="dxa"/>
            <w:vAlign w:val="bottom"/>
          </w:tcPr>
          <w:p>
            <w:pPr>
              <w:jc w:val="right"/>
              <w:ind w:right="193"/>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0"/>
                <w:szCs w:val="10"/>
                <w:b w:val="1"/>
                <w:bCs w:val="1"/>
                <w:color w:val="auto"/>
              </w:rPr>
              <w:t>Investments in Non-Controlled, Non-Affiliated Portfolio Companies—179.5%</w:t>
            </w:r>
            <w:r>
              <w:rPr>
                <w:rFonts w:ascii="Arial" w:cs="Arial" w:eastAsia="Arial" w:hAnsi="Arial"/>
                <w:sz w:val="14"/>
                <w:szCs w:val="14"/>
                <w:b w:val="1"/>
                <w:bCs w:val="1"/>
                <w:color w:val="auto"/>
                <w:vertAlign w:val="superscript"/>
              </w:rPr>
              <w:t>(3),(4)</w:t>
            </w:r>
          </w:p>
        </w:tc>
        <w:tc>
          <w:tcPr>
            <w:tcW w:w="20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First Lien Secured Debt—156.9%</w:t>
            </w:r>
          </w:p>
        </w:tc>
        <w:tc>
          <w:tcPr>
            <w:tcW w:w="17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4"/>
                <w:szCs w:val="14"/>
                <w:color w:val="auto"/>
              </w:rPr>
              <w:t>Airvana Network Solutions Inc.</w:t>
            </w:r>
          </w:p>
        </w:tc>
        <w:tc>
          <w:tcPr>
            <w:tcW w:w="1700" w:type="dxa"/>
            <w:vAlign w:val="bottom"/>
          </w:tcPr>
          <w:p>
            <w:pPr>
              <w:jc w:val="center"/>
              <w:ind w:left="852"/>
              <w:spacing w:after="0"/>
              <w:rPr>
                <w:sz w:val="20"/>
                <w:szCs w:val="20"/>
                <w:color w:val="auto"/>
              </w:rPr>
            </w:pPr>
            <w:r>
              <w:rPr>
                <w:rFonts w:ascii="Arial" w:cs="Arial" w:eastAsia="Arial" w:hAnsi="Arial"/>
                <w:sz w:val="14"/>
                <w:szCs w:val="14"/>
                <w:color w:val="auto"/>
                <w:w w:val="88"/>
              </w:rPr>
              <w:t>03/25/2015</w:t>
            </w:r>
          </w:p>
        </w:tc>
        <w:tc>
          <w:tcPr>
            <w:tcW w:w="2060" w:type="dxa"/>
            <w:vAlign w:val="bottom"/>
          </w:tcPr>
          <w:p>
            <w:pPr>
              <w:jc w:val="center"/>
              <w:spacing w:after="0"/>
              <w:rPr>
                <w:sz w:val="20"/>
                <w:szCs w:val="20"/>
                <w:color w:val="auto"/>
              </w:rPr>
            </w:pPr>
            <w:r>
              <w:rPr>
                <w:rFonts w:ascii="Arial" w:cs="Arial" w:eastAsia="Arial" w:hAnsi="Arial"/>
                <w:sz w:val="14"/>
                <w:szCs w:val="14"/>
                <w:color w:val="auto"/>
                <w:w w:val="87"/>
              </w:rPr>
              <w:t>Telecommunications</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10.00%</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L+800</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214,286</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  214,838</w:t>
            </w:r>
          </w:p>
        </w:tc>
        <w:tc>
          <w:tcPr>
            <w:tcW w:w="720" w:type="dxa"/>
            <w:vAlign w:val="bottom"/>
          </w:tcPr>
          <w:p>
            <w:pPr>
              <w:jc w:val="right"/>
              <w:spacing w:after="0"/>
              <w:rPr>
                <w:sz w:val="20"/>
                <w:szCs w:val="20"/>
                <w:color w:val="auto"/>
              </w:rPr>
            </w:pPr>
            <w:r>
              <w:rPr>
                <w:rFonts w:ascii="Arial" w:cs="Arial" w:eastAsia="Arial" w:hAnsi="Arial"/>
                <w:sz w:val="14"/>
                <w:szCs w:val="14"/>
                <w:color w:val="auto"/>
              </w:rPr>
              <w:t>$  214,018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Archipelago Learning, Inc.</w:t>
            </w:r>
          </w:p>
        </w:tc>
        <w:tc>
          <w:tcPr>
            <w:tcW w:w="1700" w:type="dxa"/>
            <w:vAlign w:val="bottom"/>
            <w:shd w:val="clear" w:color="auto" w:fill="CCEEFF"/>
          </w:tcPr>
          <w:p>
            <w:pPr>
              <w:jc w:val="center"/>
              <w:ind w:left="852"/>
              <w:spacing w:after="0" w:line="138" w:lineRule="exact"/>
              <w:rPr>
                <w:sz w:val="20"/>
                <w:szCs w:val="20"/>
                <w:color w:val="auto"/>
              </w:rPr>
            </w:pPr>
            <w:r>
              <w:rPr>
                <w:rFonts w:ascii="Arial" w:cs="Arial" w:eastAsia="Arial" w:hAnsi="Arial"/>
                <w:sz w:val="14"/>
                <w:szCs w:val="14"/>
                <w:color w:val="auto"/>
                <w:w w:val="88"/>
              </w:rPr>
              <w:t>05/17/2018</w:t>
            </w:r>
          </w:p>
        </w:tc>
        <w:tc>
          <w:tcPr>
            <w:tcW w:w="20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Media, Broadcasting and</w:t>
            </w:r>
          </w:p>
        </w:tc>
        <w:tc>
          <w:tcPr>
            <w:tcW w:w="920" w:type="dxa"/>
            <w:vAlign w:val="bottom"/>
            <w:shd w:val="clear" w:color="auto" w:fill="CCEEFF"/>
          </w:tcPr>
          <w:p>
            <w:pPr>
              <w:jc w:val="right"/>
              <w:ind w:right="113"/>
              <w:spacing w:after="0" w:line="138" w:lineRule="exact"/>
              <w:rPr>
                <w:sz w:val="20"/>
                <w:szCs w:val="20"/>
                <w:color w:val="auto"/>
              </w:rPr>
            </w:pPr>
            <w:r>
              <w:rPr>
                <w:rFonts w:ascii="Arial" w:cs="Arial" w:eastAsia="Arial" w:hAnsi="Arial"/>
                <w:sz w:val="14"/>
                <w:szCs w:val="14"/>
                <w:color w:val="auto"/>
              </w:rPr>
              <w:t>7.50%</w:t>
            </w:r>
          </w:p>
        </w:tc>
        <w:tc>
          <w:tcPr>
            <w:tcW w:w="8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4"/>
                <w:szCs w:val="14"/>
                <w:color w:val="auto"/>
              </w:rPr>
              <w:t>L+600</w:t>
            </w:r>
          </w:p>
        </w:tc>
        <w:tc>
          <w:tcPr>
            <w:tcW w:w="7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987,500</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959,574</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987,500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Subscription</w:t>
            </w: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4"/>
                <w:szCs w:val="14"/>
                <w:color w:val="auto"/>
              </w:rPr>
              <w:t>Aspen Dental Management, Inc.</w:t>
            </w:r>
          </w:p>
        </w:tc>
        <w:tc>
          <w:tcPr>
            <w:tcW w:w="1700" w:type="dxa"/>
            <w:vAlign w:val="bottom"/>
          </w:tcPr>
          <w:p>
            <w:pPr>
              <w:jc w:val="center"/>
              <w:ind w:left="852"/>
              <w:spacing w:after="0"/>
              <w:rPr>
                <w:sz w:val="20"/>
                <w:szCs w:val="20"/>
                <w:color w:val="auto"/>
              </w:rPr>
            </w:pPr>
            <w:r>
              <w:rPr>
                <w:rFonts w:ascii="Arial" w:cs="Arial" w:eastAsia="Arial" w:hAnsi="Arial"/>
                <w:sz w:val="14"/>
                <w:szCs w:val="14"/>
                <w:color w:val="auto"/>
                <w:w w:val="88"/>
              </w:rPr>
              <w:t>10/06/2016</w:t>
            </w:r>
          </w:p>
        </w:tc>
        <w:tc>
          <w:tcPr>
            <w:tcW w:w="2060" w:type="dxa"/>
            <w:vAlign w:val="bottom"/>
          </w:tcPr>
          <w:p>
            <w:pPr>
              <w:jc w:val="center"/>
              <w:spacing w:after="0"/>
              <w:rPr>
                <w:sz w:val="20"/>
                <w:szCs w:val="20"/>
                <w:color w:val="auto"/>
              </w:rPr>
            </w:pPr>
            <w:r>
              <w:rPr>
                <w:rFonts w:ascii="Arial" w:cs="Arial" w:eastAsia="Arial" w:hAnsi="Arial"/>
                <w:sz w:val="14"/>
                <w:szCs w:val="14"/>
                <w:color w:val="auto"/>
                <w:w w:val="85"/>
              </w:rPr>
              <w:t>Consumer Services</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7.00%</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L+550</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w w:val="99"/>
              </w:rPr>
              <w:t>2,977,500</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2,937,079</w:t>
            </w:r>
          </w:p>
        </w:tc>
        <w:tc>
          <w:tcPr>
            <w:tcW w:w="720" w:type="dxa"/>
            <w:vAlign w:val="bottom"/>
          </w:tcPr>
          <w:p>
            <w:pPr>
              <w:jc w:val="right"/>
              <w:spacing w:after="0"/>
              <w:rPr>
                <w:sz w:val="20"/>
                <w:szCs w:val="20"/>
                <w:color w:val="auto"/>
              </w:rPr>
            </w:pPr>
            <w:r>
              <w:rPr>
                <w:rFonts w:ascii="Arial" w:cs="Arial" w:eastAsia="Arial" w:hAnsi="Arial"/>
                <w:sz w:val="14"/>
                <w:szCs w:val="14"/>
                <w:color w:val="auto"/>
              </w:rPr>
              <w:t>2,962,613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Attachmate Corporation</w:t>
            </w:r>
          </w:p>
        </w:tc>
        <w:tc>
          <w:tcPr>
            <w:tcW w:w="1700" w:type="dxa"/>
            <w:vAlign w:val="bottom"/>
            <w:shd w:val="clear" w:color="auto" w:fill="CCEEFF"/>
          </w:tcPr>
          <w:p>
            <w:pPr>
              <w:jc w:val="center"/>
              <w:ind w:left="872"/>
              <w:spacing w:after="0" w:line="149" w:lineRule="exact"/>
              <w:rPr>
                <w:sz w:val="20"/>
                <w:szCs w:val="20"/>
                <w:color w:val="auto"/>
              </w:rPr>
            </w:pPr>
            <w:r>
              <w:rPr>
                <w:rFonts w:ascii="Arial" w:cs="Arial" w:eastAsia="Arial" w:hAnsi="Arial"/>
                <w:sz w:val="14"/>
                <w:szCs w:val="14"/>
                <w:color w:val="auto"/>
                <w:w w:val="85"/>
              </w:rPr>
              <w:t>11/22/2017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7.25%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2,943,750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2,888,381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2,960,309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Autoparts Holdings Limited</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07/28/2017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6.50%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990,000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985,747</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987,525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Blue Coat Systems,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02/15/2018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7.50%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L+600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3,975,000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3,902,979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4,014,750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C.H.I. Overhead Doors,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08/17/2017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7"/>
              </w:rPr>
              <w:t>Consumer Goods: Durable</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7.25%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3,866,119</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3,801,408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3,859,675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DCS Business Services,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03/19/2018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7.25%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3,733,125</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3,673,063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3,677,128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Document Technologies,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12/01/2016</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6.50%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990,000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981,827</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987,525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DS Waters of America,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08/29/2017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10.50%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L+900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3,980,000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3,904,846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4,109,350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EAG,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07/28/2017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6.75%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P+350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950,104</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946,081</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945,353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EIG Investors Corp.</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04/20/2018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7.75%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L+625</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3,990,000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3,952,867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4,009,950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05/18/2018</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6.75%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1,995,000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1,975,762</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2,004,975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eResearchtechnology,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05/02/2018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8.00%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L+650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3,000,000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2,884,003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2,962,500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Fundtech (US FT HOLDCO, INC.)</w:t>
            </w:r>
          </w:p>
        </w:tc>
        <w:tc>
          <w:tcPr>
            <w:tcW w:w="1700" w:type="dxa"/>
            <w:vAlign w:val="bottom"/>
          </w:tcPr>
          <w:p>
            <w:pPr>
              <w:jc w:val="center"/>
              <w:ind w:left="872"/>
              <w:spacing w:after="0" w:line="149" w:lineRule="exact"/>
              <w:rPr>
                <w:sz w:val="20"/>
                <w:szCs w:val="20"/>
                <w:color w:val="auto"/>
              </w:rPr>
            </w:pPr>
            <w:r>
              <w:rPr>
                <w:rFonts w:ascii="Arial" w:cs="Arial" w:eastAsia="Arial" w:hAnsi="Arial"/>
                <w:sz w:val="14"/>
                <w:szCs w:val="14"/>
                <w:color w:val="auto"/>
                <w:w w:val="85"/>
              </w:rPr>
              <w:t>11/30/2017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7.50%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L+600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2,977,500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2,898,672</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2,977,500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GFA Brands,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07/02/2018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1,995,000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1,956,496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2,012,456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1"/>
                <w:szCs w:val="11"/>
                <w:color w:val="auto"/>
              </w:rPr>
              <w:t>Graton Economic Development Authority</w:t>
            </w:r>
            <w:r>
              <w:rPr>
                <w:rFonts w:ascii="Arial" w:cs="Arial" w:eastAsia="Arial" w:hAnsi="Arial"/>
                <w:sz w:val="17"/>
                <w:szCs w:val="17"/>
                <w:color w:val="auto"/>
                <w:vertAlign w:val="superscript"/>
              </w:rPr>
              <w:t>(8)</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09/02/2019</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9.63%</w:t>
            </w:r>
          </w:p>
        </w:tc>
        <w:tc>
          <w:tcPr>
            <w:tcW w:w="8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3,000,000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3,120,000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Gundle/SLT Environmental,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05/27/2016</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Environmental Industries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2,956,829</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2,933,351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2,934,653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Healogics, Inc. (f/k/a National Healing Corp.)</w:t>
            </w:r>
          </w:p>
        </w:tc>
        <w:tc>
          <w:tcPr>
            <w:tcW w:w="1700" w:type="dxa"/>
            <w:vAlign w:val="bottom"/>
          </w:tcPr>
          <w:p>
            <w:pPr>
              <w:jc w:val="center"/>
              <w:ind w:left="872"/>
              <w:spacing w:after="0" w:line="149" w:lineRule="exact"/>
              <w:rPr>
                <w:sz w:val="20"/>
                <w:szCs w:val="20"/>
                <w:color w:val="auto"/>
              </w:rPr>
            </w:pPr>
            <w:r>
              <w:rPr>
                <w:rFonts w:ascii="Arial" w:cs="Arial" w:eastAsia="Arial" w:hAnsi="Arial"/>
                <w:sz w:val="14"/>
                <w:szCs w:val="14"/>
                <w:color w:val="auto"/>
                <w:w w:val="85"/>
              </w:rPr>
              <w:t>11/30/2017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8.25%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L+675</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4,962,500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4,742,008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4,925,281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04/01/2019</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Retail</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7.25%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L+600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2,985,000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2,929,228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2,992,463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4"/>
                <w:szCs w:val="14"/>
                <w:color w:val="auto"/>
              </w:rPr>
              <w:t>Howard Berger Co. LLC</w:t>
            </w:r>
          </w:p>
        </w:tc>
        <w:tc>
          <w:tcPr>
            <w:tcW w:w="1700" w:type="dxa"/>
            <w:vAlign w:val="bottom"/>
          </w:tcPr>
          <w:p>
            <w:pPr>
              <w:jc w:val="center"/>
              <w:ind w:left="852"/>
              <w:spacing w:after="0"/>
              <w:rPr>
                <w:sz w:val="20"/>
                <w:szCs w:val="20"/>
                <w:color w:val="auto"/>
              </w:rPr>
            </w:pPr>
            <w:r>
              <w:rPr>
                <w:rFonts w:ascii="Arial" w:cs="Arial" w:eastAsia="Arial" w:hAnsi="Arial"/>
                <w:sz w:val="14"/>
                <w:szCs w:val="14"/>
                <w:color w:val="auto"/>
                <w:w w:val="88"/>
              </w:rPr>
              <w:t>08/03/2017</w:t>
            </w:r>
          </w:p>
        </w:tc>
        <w:tc>
          <w:tcPr>
            <w:tcW w:w="2060" w:type="dxa"/>
            <w:vAlign w:val="bottom"/>
          </w:tcPr>
          <w:p>
            <w:pPr>
              <w:jc w:val="center"/>
              <w:spacing w:after="0"/>
              <w:rPr>
                <w:sz w:val="20"/>
                <w:szCs w:val="20"/>
                <w:color w:val="auto"/>
              </w:rPr>
            </w:pPr>
            <w:r>
              <w:rPr>
                <w:rFonts w:ascii="Arial" w:cs="Arial" w:eastAsia="Arial" w:hAnsi="Arial"/>
                <w:sz w:val="14"/>
                <w:szCs w:val="14"/>
                <w:color w:val="auto"/>
                <w:w w:val="88"/>
              </w:rPr>
              <w:t>Wholesale</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7.00%</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L+575</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w w:val="99"/>
              </w:rPr>
              <w:t>2,743,125</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2,702,953</w:t>
            </w:r>
          </w:p>
        </w:tc>
        <w:tc>
          <w:tcPr>
            <w:tcW w:w="720" w:type="dxa"/>
            <w:vAlign w:val="bottom"/>
          </w:tcPr>
          <w:p>
            <w:pPr>
              <w:jc w:val="right"/>
              <w:spacing w:after="0"/>
              <w:rPr>
                <w:sz w:val="20"/>
                <w:szCs w:val="20"/>
                <w:color w:val="auto"/>
              </w:rPr>
            </w:pPr>
            <w:r>
              <w:rPr>
                <w:rFonts w:ascii="Arial" w:cs="Arial" w:eastAsia="Arial" w:hAnsi="Arial"/>
                <w:sz w:val="14"/>
                <w:szCs w:val="14"/>
                <w:color w:val="auto"/>
              </w:rPr>
              <w:t>2,715,694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03/30/2017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11.50%</w:t>
            </w:r>
          </w:p>
        </w:tc>
        <w:tc>
          <w:tcPr>
            <w:tcW w:w="80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2,000,000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1,963,159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2,125,000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Ikaria,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06/22/2016</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7.75%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L+650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1,700,000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1,691,500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1,649,000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Instant Web, Inc.</w:t>
            </w:r>
          </w:p>
        </w:tc>
        <w:tc>
          <w:tcPr>
            <w:tcW w:w="1700" w:type="dxa"/>
            <w:vAlign w:val="bottom"/>
            <w:shd w:val="clear" w:color="auto" w:fill="CCEEFF"/>
          </w:tcPr>
          <w:p>
            <w:pPr>
              <w:jc w:val="center"/>
              <w:ind w:left="852"/>
              <w:spacing w:after="0" w:line="138" w:lineRule="exact"/>
              <w:rPr>
                <w:sz w:val="20"/>
                <w:szCs w:val="20"/>
                <w:color w:val="auto"/>
              </w:rPr>
            </w:pPr>
            <w:r>
              <w:rPr>
                <w:rFonts w:ascii="Arial" w:cs="Arial" w:eastAsia="Arial" w:hAnsi="Arial"/>
                <w:sz w:val="14"/>
                <w:szCs w:val="14"/>
                <w:color w:val="auto"/>
                <w:w w:val="88"/>
              </w:rPr>
              <w:t>08/07/2014</w:t>
            </w:r>
          </w:p>
        </w:tc>
        <w:tc>
          <w:tcPr>
            <w:tcW w:w="20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Advertising, Printing and</w:t>
            </w:r>
          </w:p>
        </w:tc>
        <w:tc>
          <w:tcPr>
            <w:tcW w:w="920" w:type="dxa"/>
            <w:vAlign w:val="bottom"/>
            <w:shd w:val="clear" w:color="auto" w:fill="CCEEFF"/>
          </w:tcPr>
          <w:p>
            <w:pPr>
              <w:jc w:val="right"/>
              <w:spacing w:after="0" w:line="138" w:lineRule="exact"/>
              <w:rPr>
                <w:sz w:val="20"/>
                <w:szCs w:val="20"/>
                <w:color w:val="auto"/>
              </w:rPr>
            </w:pPr>
            <w:r>
              <w:rPr>
                <w:rFonts w:ascii="Arial" w:cs="Arial" w:eastAsia="Arial" w:hAnsi="Arial"/>
                <w:sz w:val="10"/>
                <w:szCs w:val="10"/>
                <w:color w:val="auto"/>
              </w:rPr>
              <w:t>3.59%</w:t>
            </w:r>
            <w:r>
              <w:rPr>
                <w:rFonts w:ascii="Arial" w:cs="Arial" w:eastAsia="Arial" w:hAnsi="Arial"/>
                <w:sz w:val="15"/>
                <w:szCs w:val="15"/>
                <w:color w:val="auto"/>
                <w:vertAlign w:val="superscript"/>
              </w:rPr>
              <w:t>(9)</w:t>
            </w:r>
          </w:p>
        </w:tc>
        <w:tc>
          <w:tcPr>
            <w:tcW w:w="8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4"/>
                <w:szCs w:val="14"/>
                <w:color w:val="auto"/>
              </w:rPr>
              <w:t>L+338</w:t>
            </w:r>
          </w:p>
        </w:tc>
        <w:tc>
          <w:tcPr>
            <w:tcW w:w="7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9"/>
              </w:rPr>
              <w:t>6,836,508</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6,534,349</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5,247,020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Arial" w:cs="Arial" w:eastAsia="Arial" w:hAnsi="Arial"/>
                <w:sz w:val="14"/>
                <w:szCs w:val="14"/>
                <w:color w:val="auto"/>
              </w:rPr>
              <w:t>K2 Pure Solutions NoCal, L.P.</w:t>
            </w:r>
          </w:p>
        </w:tc>
        <w:tc>
          <w:tcPr>
            <w:tcW w:w="1700" w:type="dxa"/>
            <w:vAlign w:val="bottom"/>
          </w:tcPr>
          <w:p>
            <w:pPr>
              <w:jc w:val="center"/>
              <w:ind w:left="852"/>
              <w:spacing w:after="0"/>
              <w:rPr>
                <w:sz w:val="20"/>
                <w:szCs w:val="20"/>
                <w:color w:val="auto"/>
              </w:rPr>
            </w:pPr>
            <w:r>
              <w:rPr>
                <w:rFonts w:ascii="Arial" w:cs="Arial" w:eastAsia="Arial" w:hAnsi="Arial"/>
                <w:sz w:val="14"/>
                <w:szCs w:val="14"/>
                <w:color w:val="auto"/>
                <w:w w:val="88"/>
              </w:rPr>
              <w:t>09/10/2015</w:t>
            </w:r>
          </w:p>
        </w:tc>
        <w:tc>
          <w:tcPr>
            <w:tcW w:w="2060" w:type="dxa"/>
            <w:vAlign w:val="bottom"/>
          </w:tcPr>
          <w:p>
            <w:pPr>
              <w:jc w:val="center"/>
              <w:spacing w:after="0"/>
              <w:rPr>
                <w:sz w:val="20"/>
                <w:szCs w:val="20"/>
                <w:color w:val="auto"/>
              </w:rPr>
            </w:pPr>
            <w:r>
              <w:rPr>
                <w:rFonts w:ascii="Arial" w:cs="Arial" w:eastAsia="Arial" w:hAnsi="Arial"/>
                <w:sz w:val="14"/>
                <w:szCs w:val="14"/>
                <w:color w:val="auto"/>
                <w:w w:val="85"/>
              </w:rPr>
              <w:t>Chemicals, Plastics and Rubber</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10.00%</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L+775</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w w:val="99"/>
              </w:rPr>
              <w:t>5,476,250</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5,512,699</w:t>
            </w:r>
          </w:p>
        </w:tc>
        <w:tc>
          <w:tcPr>
            <w:tcW w:w="720" w:type="dxa"/>
            <w:vAlign w:val="bottom"/>
          </w:tcPr>
          <w:p>
            <w:pPr>
              <w:jc w:val="right"/>
              <w:spacing w:after="0"/>
              <w:rPr>
                <w:sz w:val="20"/>
                <w:szCs w:val="20"/>
                <w:color w:val="auto"/>
              </w:rPr>
            </w:pPr>
            <w:r>
              <w:rPr>
                <w:rFonts w:ascii="Arial" w:cs="Arial" w:eastAsia="Arial" w:hAnsi="Arial"/>
                <w:sz w:val="14"/>
                <w:szCs w:val="14"/>
                <w:color w:val="auto"/>
              </w:rPr>
              <w:t>5,558,394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34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(6), (8)</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06/02/2014</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Consumer Goods: Non-Durable</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8.50%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L+700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4,937,500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4,845,282</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4,863,438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Medpace Intermediateco,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06/19/2017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6.50%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1,844,649</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1,821,373</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1,766,252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MModal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08/16/2019</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6.75%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3,400,000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3,349,374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3,351,125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line="217" w:lineRule="exact"/>
              <w:rPr>
                <w:sz w:val="20"/>
                <w:szCs w:val="20"/>
                <w:color w:val="auto"/>
              </w:rPr>
            </w:pPr>
            <w:r>
              <w:rPr>
                <w:rFonts w:ascii="Arial" w:cs="Arial" w:eastAsia="Arial" w:hAnsi="Arial"/>
                <w:sz w:val="14"/>
                <w:szCs w:val="14"/>
                <w:color w:val="auto"/>
              </w:rPr>
              <w:t xml:space="preserve">Mood Media Corporation </w:t>
            </w:r>
            <w:r>
              <w:rPr>
                <w:rFonts w:ascii="Arial" w:cs="Arial" w:eastAsia="Arial" w:hAnsi="Arial"/>
                <w:sz w:val="22"/>
                <w:szCs w:val="22"/>
                <w:color w:val="auto"/>
                <w:vertAlign w:val="superscript"/>
              </w:rPr>
              <w:t>(6)</w:t>
            </w:r>
          </w:p>
        </w:tc>
        <w:tc>
          <w:tcPr>
            <w:tcW w:w="1700" w:type="dxa"/>
            <w:vAlign w:val="bottom"/>
          </w:tcPr>
          <w:p>
            <w:pPr>
              <w:jc w:val="center"/>
              <w:ind w:left="852"/>
              <w:spacing w:after="0"/>
              <w:rPr>
                <w:sz w:val="20"/>
                <w:szCs w:val="20"/>
                <w:color w:val="auto"/>
              </w:rPr>
            </w:pPr>
            <w:r>
              <w:rPr>
                <w:rFonts w:ascii="Arial" w:cs="Arial" w:eastAsia="Arial" w:hAnsi="Arial"/>
                <w:sz w:val="14"/>
                <w:szCs w:val="14"/>
                <w:color w:val="auto"/>
                <w:w w:val="88"/>
              </w:rPr>
              <w:t>05/07/2018</w:t>
            </w:r>
          </w:p>
        </w:tc>
        <w:tc>
          <w:tcPr>
            <w:tcW w:w="2060" w:type="dxa"/>
            <w:vAlign w:val="bottom"/>
          </w:tcPr>
          <w:p>
            <w:pPr>
              <w:jc w:val="center"/>
              <w:spacing w:after="0"/>
              <w:rPr>
                <w:sz w:val="20"/>
                <w:szCs w:val="20"/>
                <w:color w:val="auto"/>
              </w:rPr>
            </w:pPr>
            <w:r>
              <w:rPr>
                <w:rFonts w:ascii="Arial" w:cs="Arial" w:eastAsia="Arial" w:hAnsi="Arial"/>
                <w:sz w:val="14"/>
                <w:szCs w:val="14"/>
                <w:color w:val="auto"/>
                <w:w w:val="89"/>
              </w:rPr>
              <w:t>Media: Diversified and Production</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7.00%</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L+550</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w w:val="99"/>
              </w:rPr>
              <w:t>3,950,000</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3,916,596</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3,921,611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MOSAID Technologies Incorporated </w:t>
            </w:r>
            <w:r>
              <w:rPr>
                <w:rFonts w:ascii="Arial" w:cs="Arial" w:eastAsia="Arial" w:hAnsi="Arial"/>
                <w:sz w:val="17"/>
                <w:szCs w:val="17"/>
                <w:color w:val="auto"/>
                <w:vertAlign w:val="superscript"/>
              </w:rPr>
              <w:t>(6)</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12/23/2016</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8.50%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L+700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2,887,500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2,826,368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2,887,500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MX USA, INC and KAN-DI-KI, LLC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05/01/2017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6.50%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L+525</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2,985,000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2,943,607</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2,955,150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NAB Holdings, LLC</w:t>
            </w:r>
          </w:p>
        </w:tc>
        <w:tc>
          <w:tcPr>
            <w:tcW w:w="1700" w:type="dxa"/>
            <w:vAlign w:val="bottom"/>
            <w:shd w:val="clear" w:color="auto" w:fill="CCEEFF"/>
          </w:tcPr>
          <w:p>
            <w:pPr>
              <w:jc w:val="center"/>
              <w:ind w:left="852"/>
              <w:spacing w:after="0" w:line="138" w:lineRule="exact"/>
              <w:rPr>
                <w:sz w:val="20"/>
                <w:szCs w:val="20"/>
                <w:color w:val="auto"/>
              </w:rPr>
            </w:pPr>
            <w:r>
              <w:rPr>
                <w:rFonts w:ascii="Arial" w:cs="Arial" w:eastAsia="Arial" w:hAnsi="Arial"/>
                <w:sz w:val="14"/>
                <w:szCs w:val="14"/>
                <w:color w:val="auto"/>
                <w:w w:val="88"/>
              </w:rPr>
              <w:t>04/24/2018</w:t>
            </w:r>
          </w:p>
        </w:tc>
        <w:tc>
          <w:tcPr>
            <w:tcW w:w="20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Banking, Finance, Insurance and</w:t>
            </w:r>
          </w:p>
        </w:tc>
        <w:tc>
          <w:tcPr>
            <w:tcW w:w="920" w:type="dxa"/>
            <w:vAlign w:val="bottom"/>
            <w:shd w:val="clear" w:color="auto" w:fill="CCEEFF"/>
          </w:tcPr>
          <w:p>
            <w:pPr>
              <w:jc w:val="right"/>
              <w:ind w:right="113"/>
              <w:spacing w:after="0" w:line="138"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987,500</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973,817</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997,375</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Real Estate</w:t>
            </w: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Pelican Products, Inc.</w:t>
            </w:r>
          </w:p>
        </w:tc>
        <w:tc>
          <w:tcPr>
            <w:tcW w:w="1700" w:type="dxa"/>
            <w:vAlign w:val="bottom"/>
          </w:tcPr>
          <w:p>
            <w:pPr>
              <w:jc w:val="center"/>
              <w:ind w:left="872"/>
              <w:spacing w:after="0" w:line="149" w:lineRule="exact"/>
              <w:rPr>
                <w:sz w:val="20"/>
                <w:szCs w:val="20"/>
                <w:color w:val="auto"/>
              </w:rPr>
            </w:pPr>
            <w:r>
              <w:rPr>
                <w:rFonts w:ascii="Arial" w:cs="Arial" w:eastAsia="Arial" w:hAnsi="Arial"/>
                <w:sz w:val="14"/>
                <w:szCs w:val="14"/>
                <w:color w:val="auto"/>
                <w:w w:val="85"/>
              </w:rPr>
              <w:t>07/11/2018</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1,496,250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1,467,389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1,492,509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Penton Media, Inc.</w:t>
            </w:r>
          </w:p>
        </w:tc>
        <w:tc>
          <w:tcPr>
            <w:tcW w:w="1700" w:type="dxa"/>
            <w:vAlign w:val="bottom"/>
            <w:shd w:val="clear" w:color="auto" w:fill="CCEEFF"/>
          </w:tcPr>
          <w:p>
            <w:pPr>
              <w:jc w:val="center"/>
              <w:ind w:left="852"/>
              <w:spacing w:after="0" w:line="138" w:lineRule="exact"/>
              <w:rPr>
                <w:sz w:val="20"/>
                <w:szCs w:val="20"/>
                <w:color w:val="auto"/>
              </w:rPr>
            </w:pPr>
            <w:r>
              <w:rPr>
                <w:rFonts w:ascii="Arial" w:cs="Arial" w:eastAsia="Arial" w:hAnsi="Arial"/>
                <w:sz w:val="14"/>
                <w:szCs w:val="14"/>
                <w:color w:val="auto"/>
                <w:w w:val="88"/>
              </w:rPr>
              <w:t>08/01/2014</w:t>
            </w:r>
          </w:p>
        </w:tc>
        <w:tc>
          <w:tcPr>
            <w:tcW w:w="20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Media: Diversified and Production</w:t>
            </w:r>
          </w:p>
        </w:tc>
        <w:tc>
          <w:tcPr>
            <w:tcW w:w="920" w:type="dxa"/>
            <w:vAlign w:val="bottom"/>
            <w:shd w:val="clear" w:color="auto" w:fill="CCEEFF"/>
          </w:tcPr>
          <w:p>
            <w:pPr>
              <w:jc w:val="right"/>
              <w:ind w:right="113"/>
              <w:spacing w:after="0" w:line="138"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4"/>
                <w:szCs w:val="14"/>
                <w:color w:val="auto"/>
              </w:rPr>
              <w:t>L+400</w:t>
            </w:r>
          </w:p>
        </w:tc>
        <w:tc>
          <w:tcPr>
            <w:tcW w:w="7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9"/>
              </w:rPr>
              <w:t>5,497,407</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4,931,995</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4,439,156</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920" w:type="dxa"/>
            <w:vAlign w:val="bottom"/>
            <w:shd w:val="clear" w:color="auto" w:fill="CCEEFF"/>
          </w:tcPr>
          <w:p>
            <w:pPr>
              <w:ind w:left="80"/>
              <w:spacing w:after="0"/>
              <w:rPr>
                <w:sz w:val="20"/>
                <w:szCs w:val="20"/>
                <w:color w:val="auto"/>
              </w:rPr>
            </w:pPr>
            <w:r>
              <w:rPr>
                <w:rFonts w:ascii="Arial" w:cs="Arial" w:eastAsia="Arial" w:hAnsi="Arial"/>
                <w:sz w:val="14"/>
                <w:szCs w:val="14"/>
                <w:color w:val="auto"/>
              </w:rPr>
              <w:t>(PIK 1.00%)</w:t>
            </w:r>
          </w:p>
        </w:tc>
        <w:tc>
          <w:tcPr>
            <w:tcW w:w="8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Potter’s Holdings II, L.P.</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05/08/2017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L+450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1,975,000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1,958,715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1,967,594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Mach,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07/06/2017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Capital Equipment</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6.25%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L+475</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978,077</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970,036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967,889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tcPr>
          <w:p>
            <w:pPr>
              <w:spacing w:after="0" w:line="138" w:lineRule="exact"/>
              <w:rPr>
                <w:sz w:val="20"/>
                <w:szCs w:val="20"/>
                <w:color w:val="auto"/>
              </w:rPr>
            </w:pPr>
            <w:r>
              <w:rPr>
                <w:rFonts w:ascii="Arial" w:cs="Arial" w:eastAsia="Arial" w:hAnsi="Arial"/>
                <w:sz w:val="14"/>
                <w:szCs w:val="14"/>
                <w:color w:val="auto"/>
              </w:rPr>
              <w:t>Renaissance Learning, Inc.</w:t>
            </w:r>
          </w:p>
        </w:tc>
        <w:tc>
          <w:tcPr>
            <w:tcW w:w="1700" w:type="dxa"/>
            <w:vAlign w:val="bottom"/>
          </w:tcPr>
          <w:p>
            <w:pPr>
              <w:jc w:val="center"/>
              <w:ind w:left="852"/>
              <w:spacing w:after="0" w:line="138" w:lineRule="exact"/>
              <w:rPr>
                <w:sz w:val="20"/>
                <w:szCs w:val="20"/>
                <w:color w:val="auto"/>
              </w:rPr>
            </w:pPr>
            <w:r>
              <w:rPr>
                <w:rFonts w:ascii="Arial" w:cs="Arial" w:eastAsia="Arial" w:hAnsi="Arial"/>
                <w:sz w:val="14"/>
                <w:szCs w:val="14"/>
                <w:color w:val="auto"/>
                <w:w w:val="88"/>
              </w:rPr>
              <w:t>10/19/2017</w:t>
            </w:r>
          </w:p>
        </w:tc>
        <w:tc>
          <w:tcPr>
            <w:tcW w:w="2060" w:type="dxa"/>
            <w:vAlign w:val="bottom"/>
          </w:tcPr>
          <w:p>
            <w:pPr>
              <w:jc w:val="center"/>
              <w:spacing w:after="0" w:line="138" w:lineRule="exact"/>
              <w:rPr>
                <w:sz w:val="20"/>
                <w:szCs w:val="20"/>
                <w:color w:val="auto"/>
              </w:rPr>
            </w:pPr>
            <w:r>
              <w:rPr>
                <w:rFonts w:ascii="Arial" w:cs="Arial" w:eastAsia="Arial" w:hAnsi="Arial"/>
                <w:sz w:val="14"/>
                <w:szCs w:val="14"/>
                <w:color w:val="auto"/>
                <w:w w:val="87"/>
              </w:rPr>
              <w:t>Media: Broadcasting and</w:t>
            </w:r>
          </w:p>
        </w:tc>
        <w:tc>
          <w:tcPr>
            <w:tcW w:w="920" w:type="dxa"/>
            <w:vAlign w:val="bottom"/>
          </w:tcPr>
          <w:p>
            <w:pPr>
              <w:jc w:val="right"/>
              <w:ind w:right="113"/>
              <w:spacing w:after="0" w:line="138" w:lineRule="exact"/>
              <w:rPr>
                <w:sz w:val="20"/>
                <w:szCs w:val="20"/>
                <w:color w:val="auto"/>
              </w:rPr>
            </w:pPr>
            <w:r>
              <w:rPr>
                <w:rFonts w:ascii="Arial" w:cs="Arial" w:eastAsia="Arial" w:hAnsi="Arial"/>
                <w:sz w:val="14"/>
                <w:szCs w:val="14"/>
                <w:color w:val="auto"/>
              </w:rPr>
              <w:t>7.75%</w:t>
            </w:r>
          </w:p>
        </w:tc>
        <w:tc>
          <w:tcPr>
            <w:tcW w:w="800" w:type="dxa"/>
            <w:vAlign w:val="bottom"/>
          </w:tcPr>
          <w:p>
            <w:pPr>
              <w:jc w:val="right"/>
              <w:ind w:right="33"/>
              <w:spacing w:after="0" w:line="138" w:lineRule="exact"/>
              <w:rPr>
                <w:sz w:val="20"/>
                <w:szCs w:val="20"/>
                <w:color w:val="auto"/>
              </w:rPr>
            </w:pPr>
            <w:r>
              <w:rPr>
                <w:rFonts w:ascii="Arial" w:cs="Arial" w:eastAsia="Arial" w:hAnsi="Arial"/>
                <w:sz w:val="14"/>
                <w:szCs w:val="14"/>
                <w:color w:val="auto"/>
              </w:rPr>
              <w:t>L+625</w:t>
            </w:r>
          </w:p>
        </w:tc>
        <w:tc>
          <w:tcPr>
            <w:tcW w:w="72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9"/>
              </w:rPr>
              <w:t>1,980,000</w:t>
            </w:r>
          </w:p>
        </w:tc>
        <w:tc>
          <w:tcPr>
            <w:tcW w:w="7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1,909,788</w:t>
            </w: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1,994,850</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w w:val="88"/>
              </w:rPr>
              <w:t>Subscription</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Rocket Software,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02/08/2018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3,970,000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3,898,141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Sabre Industries,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08/24/2018</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90"/>
              </w:rPr>
              <w:t>Construction and Building</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3,000,000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2,955,509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2,973,126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Securus Technologies,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05/31/2017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6.50%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L+525</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2,962,500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2,938,182</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2,960,648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Seven Seas Cruises S. DE R.L.</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12/21/2018</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6.25%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1,500,000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1,485,300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1,505,625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04/21/2017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2,962,512</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2,939,052</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2,932,887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01/29/2018</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9.00%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L+750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150,000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147,935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01/29/2018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13.50%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L+1,200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1,875,000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1,823,914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1,914,375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Triple Point Technology,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10/27/2017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8.00%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L+650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992,500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958,036</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992,500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UniTek Global Services,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04/16/2018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9.00%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L+750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1,995,000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1,935,550</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1,950,113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Univita Health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06/19/2017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6.25%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L+475</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2,962,500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2,938,318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2,844,000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Valitas Health Services,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06/02/2017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5.75%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L+450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1,481,250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1,474,945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1,466,438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Vantage Specialties,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02/09/2018</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2,985,000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2,930,559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2,999,925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1700" w:type="dxa"/>
            <w:vAlign w:val="bottom"/>
            <w:shd w:val="clear" w:color="auto" w:fill="CCEEFF"/>
          </w:tcPr>
          <w:p>
            <w:pPr>
              <w:jc w:val="center"/>
              <w:ind w:left="852"/>
              <w:spacing w:after="0" w:line="138" w:lineRule="exact"/>
              <w:rPr>
                <w:sz w:val="20"/>
                <w:szCs w:val="20"/>
                <w:color w:val="auto"/>
              </w:rPr>
            </w:pPr>
            <w:r>
              <w:rPr>
                <w:rFonts w:ascii="Arial" w:cs="Arial" w:eastAsia="Arial" w:hAnsi="Arial"/>
                <w:sz w:val="14"/>
                <w:szCs w:val="14"/>
                <w:color w:val="auto"/>
                <w:w w:val="88"/>
              </w:rPr>
              <w:t>04/19/2016</w:t>
            </w:r>
          </w:p>
        </w:tc>
        <w:tc>
          <w:tcPr>
            <w:tcW w:w="20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Advertising, Printing and</w:t>
            </w:r>
          </w:p>
        </w:tc>
        <w:tc>
          <w:tcPr>
            <w:tcW w:w="920" w:type="dxa"/>
            <w:vAlign w:val="bottom"/>
            <w:shd w:val="clear" w:color="auto" w:fill="CCEEFF"/>
          </w:tcPr>
          <w:p>
            <w:pPr>
              <w:jc w:val="right"/>
              <w:ind w:right="113"/>
              <w:spacing w:after="0" w:line="138"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9"/>
              </w:rPr>
              <w:t>4,187,556</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4,147,483</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4,187,556</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500" w:type="dxa"/>
            <w:vAlign w:val="bottom"/>
            <w:gridSpan w:val="2"/>
          </w:tcPr>
          <w:p>
            <w:pPr>
              <w:spacing w:after="0"/>
              <w:rPr>
                <w:sz w:val="20"/>
                <w:szCs w:val="20"/>
                <w:color w:val="auto"/>
              </w:rPr>
            </w:pPr>
            <w:r>
              <w:rPr>
                <w:rFonts w:ascii="Arial" w:cs="Arial" w:eastAsia="Arial" w:hAnsi="Arial"/>
                <w:sz w:val="14"/>
                <w:szCs w:val="14"/>
                <w:color w:val="auto"/>
              </w:rPr>
              <w:t>Virtual Radiologic Corporation</w:t>
            </w:r>
          </w:p>
        </w:tc>
        <w:tc>
          <w:tcPr>
            <w:tcW w:w="1700" w:type="dxa"/>
            <w:vAlign w:val="bottom"/>
          </w:tcPr>
          <w:p>
            <w:pPr>
              <w:jc w:val="center"/>
              <w:ind w:left="852"/>
              <w:spacing w:after="0"/>
              <w:rPr>
                <w:sz w:val="20"/>
                <w:szCs w:val="20"/>
                <w:color w:val="auto"/>
              </w:rPr>
            </w:pPr>
            <w:r>
              <w:rPr>
                <w:rFonts w:ascii="Arial" w:cs="Arial" w:eastAsia="Arial" w:hAnsi="Arial"/>
                <w:sz w:val="14"/>
                <w:szCs w:val="14"/>
                <w:color w:val="auto"/>
                <w:w w:val="88"/>
              </w:rPr>
              <w:t>12/22/2016</w:t>
            </w:r>
          </w:p>
        </w:tc>
        <w:tc>
          <w:tcPr>
            <w:tcW w:w="2060" w:type="dxa"/>
            <w:vAlign w:val="bottom"/>
          </w:tcPr>
          <w:p>
            <w:pPr>
              <w:jc w:val="center"/>
              <w:spacing w:after="0"/>
              <w:rPr>
                <w:sz w:val="20"/>
                <w:szCs w:val="20"/>
                <w:color w:val="auto"/>
              </w:rPr>
            </w:pPr>
            <w:r>
              <w:rPr>
                <w:rFonts w:ascii="Arial" w:cs="Arial" w:eastAsia="Arial" w:hAnsi="Arial"/>
                <w:sz w:val="14"/>
                <w:szCs w:val="14"/>
                <w:color w:val="auto"/>
                <w:w w:val="85"/>
              </w:rPr>
              <w:t>Business Services</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7.75%</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P+450</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w w:val="99"/>
              </w:rPr>
              <w:t>2,970,000</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2,940,842</w:t>
            </w:r>
          </w:p>
        </w:tc>
        <w:tc>
          <w:tcPr>
            <w:tcW w:w="720" w:type="dxa"/>
            <w:vAlign w:val="bottom"/>
          </w:tcPr>
          <w:p>
            <w:pPr>
              <w:jc w:val="right"/>
              <w:spacing w:after="0"/>
              <w:rPr>
                <w:sz w:val="20"/>
                <w:szCs w:val="20"/>
                <w:color w:val="auto"/>
              </w:rPr>
            </w:pPr>
            <w:r>
              <w:rPr>
                <w:rFonts w:ascii="Arial" w:cs="Arial" w:eastAsia="Arial" w:hAnsi="Arial"/>
                <w:sz w:val="14"/>
                <w:szCs w:val="14"/>
                <w:color w:val="auto"/>
              </w:rPr>
              <w:t>2,643,300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 (CONTINUED)</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Basis Point</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Spread</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2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Industry</w:t>
            </w:r>
          </w:p>
        </w:tc>
        <w:tc>
          <w:tcPr>
            <w:tcW w:w="8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w w:val="98"/>
              </w:rPr>
              <w:t>Current</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Above</w:t>
            </w: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Par/</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10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840" w:type="dxa"/>
            <w:vAlign w:val="bottom"/>
            <w:gridSpan w:val="2"/>
          </w:tcPr>
          <w:p>
            <w:pPr>
              <w:jc w:val="right"/>
              <w:ind w:right="252"/>
              <w:spacing w:after="0" w:line="149" w:lineRule="exact"/>
              <w:rPr>
                <w:sz w:val="20"/>
                <w:szCs w:val="20"/>
                <w:color w:val="auto"/>
              </w:rPr>
            </w:pPr>
            <w:r>
              <w:rPr>
                <w:rFonts w:ascii="Arial" w:cs="Arial" w:eastAsia="Arial" w:hAnsi="Arial"/>
                <w:sz w:val="14"/>
                <w:szCs w:val="14"/>
                <w:b w:val="1"/>
                <w:bCs w:val="1"/>
                <w:color w:val="auto"/>
                <w:w w:val="94"/>
              </w:rPr>
              <w:t>Coupon</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8"/>
              </w:rPr>
              <w:t>Shares</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253"/>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W3 CO.</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10/31/2017</w:t>
            </w:r>
          </w:p>
        </w:tc>
        <w:tc>
          <w:tcPr>
            <w:tcW w:w="100" w:type="dxa"/>
            <w:vAlign w:val="bottom"/>
            <w:tcBorders>
              <w:top w:val="single" w:sz="8" w:color="CCEEFF"/>
            </w:tcBorders>
            <w:shd w:val="clear" w:color="auto" w:fill="CCEEFF"/>
          </w:tcPr>
          <w:p>
            <w:pPr>
              <w:spacing w:after="0"/>
              <w:rPr>
                <w:sz w:val="12"/>
                <w:szCs w:val="12"/>
                <w:color w:val="auto"/>
              </w:rPr>
            </w:pPr>
          </w:p>
        </w:tc>
        <w:tc>
          <w:tcPr>
            <w:tcW w:w="21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Energy: Oil and Gas</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7.50</w:t>
            </w:r>
          </w:p>
        </w:tc>
        <w:tc>
          <w:tcPr>
            <w:tcW w:w="260" w:type="dxa"/>
            <w:vAlign w:val="bottom"/>
            <w:tcBorders>
              <w:top w:val="single" w:sz="8" w:color="CCEEFF"/>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w w:val="79"/>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L+625</w:t>
            </w: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1,985,000</w:t>
            </w:r>
          </w:p>
        </w:tc>
        <w:tc>
          <w:tcPr>
            <w:tcW w:w="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1,916,035</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1,982,519</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Water Pik,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08/10/2017</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Consumer Goods: Durable</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6.75%</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3,465,000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3,434,281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3,456,338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WCA Waste Corporation</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03/23/2018</w:t>
            </w: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9"/>
              </w:rPr>
              <w:t>Environmental Industries</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5.50%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L+425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985,787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998,316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Wilton Brands,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08/30/2018</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Consumer Goods: Non-Durable</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7.50%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L+625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3,400,000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3,332,763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3,417,000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(5), (8)</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07/15/2016</w:t>
            </w: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Hotel, Gaming and Leisure</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11.38%</w:t>
            </w:r>
          </w:p>
        </w:tc>
        <w:tc>
          <w:tcPr>
            <w:tcW w:w="8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4,000,000</w:t>
            </w: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4,288,196</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150,258,038</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150,209,747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Debt—12.6%</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09/01/2017</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Metals and Mining</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11.50%</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3,000,000</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3,082,500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01/29/2018</w:t>
            </w: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4"/>
              </w:rPr>
              <w:t>Automotive</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10.50%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L+900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995,180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Cannery Casino Resorts, LLC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10/02/2019</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Hotel, Gaming and Leisure</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10.00%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L+875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1,700,000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1,666,000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1,691,500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11/06/2018</w:t>
            </w: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10.25%</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L+875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1,500,000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1,486,780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1,475,250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ROC Finance LLC and ROC Finance 1 Corp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09/01/2018</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Hotel, Gaming and Leisure</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12.13%</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2,000,000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1,969,103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2,320,000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Sensus USA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05/09/2018</w:t>
            </w: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0"/>
              </w:rPr>
              <w:t>Utilities: Water</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8.50%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L+725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991,580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05/15/2019</w:t>
            </w:r>
          </w:p>
        </w:tc>
        <w:tc>
          <w:tcPr>
            <w:tcW w:w="100" w:type="dxa"/>
            <w:vAlign w:val="bottom"/>
          </w:tcPr>
          <w:p>
            <w:pPr>
              <w:spacing w:after="0"/>
              <w:rPr>
                <w:sz w:val="13"/>
                <w:szCs w:val="13"/>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Hotel, Gaming and Leisure</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9.13%</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1,500,000</w:t>
            </w:r>
          </w:p>
        </w:tc>
        <w:tc>
          <w:tcPr>
            <w:tcW w:w="3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1,500,000</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1,560,000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11,608,643</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12,025,500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Subordinated Debt/Corporate Notes—8.7% </w:t>
            </w:r>
            <w:r>
              <w:rPr>
                <w:rFonts w:ascii="Arial" w:cs="Arial" w:eastAsia="Arial" w:hAnsi="Arial"/>
                <w:sz w:val="22"/>
                <w:szCs w:val="22"/>
                <w:b w:val="1"/>
                <w:bCs w:val="1"/>
                <w:color w:val="auto"/>
                <w:vertAlign w:val="superscript"/>
              </w:rPr>
              <w:t>(8)</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11/15/2015</w:t>
            </w: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Consumer Goods: Non-Durable</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11.63%</w:t>
            </w:r>
          </w:p>
        </w:tc>
        <w:tc>
          <w:tcPr>
            <w:tcW w:w="8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4,100,000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3,782,015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2,788,000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Document Technologies,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12/01/2017</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Business Services</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13.00%</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980,074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06/03/2019</w:t>
            </w:r>
          </w:p>
        </w:tc>
        <w:tc>
          <w:tcPr>
            <w:tcW w:w="10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840" w:type="dxa"/>
            <w:vAlign w:val="bottom"/>
            <w:gridSpan w:val="2"/>
            <w:shd w:val="clear" w:color="auto" w:fill="CCEEFF"/>
          </w:tcPr>
          <w:p>
            <w:pPr>
              <w:jc w:val="right"/>
              <w:ind w:right="72"/>
              <w:spacing w:after="0" w:line="138" w:lineRule="exact"/>
              <w:rPr>
                <w:sz w:val="20"/>
                <w:szCs w:val="20"/>
                <w:color w:val="auto"/>
              </w:rPr>
            </w:pPr>
            <w:r>
              <w:rPr>
                <w:rFonts w:ascii="Arial" w:cs="Arial" w:eastAsia="Arial" w:hAnsi="Arial"/>
                <w:sz w:val="14"/>
                <w:szCs w:val="14"/>
                <w:color w:val="auto"/>
              </w:rPr>
              <w:t>14.25%</w:t>
            </w:r>
          </w:p>
        </w:tc>
        <w:tc>
          <w:tcPr>
            <w:tcW w:w="8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4,508,719</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4,432,092</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4,508,719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color w:val="auto"/>
                <w:w w:val="95"/>
              </w:rPr>
              <w:t>(PIK 2.25%)</w:t>
            </w: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9,194,181</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8,296,719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Preferred Equity/Partnership Interests—0.2% </w:t>
            </w:r>
            <w:r>
              <w:rPr>
                <w:rFonts w:ascii="Arial" w:cs="Arial" w:eastAsia="Arial" w:hAnsi="Arial"/>
                <w:sz w:val="17"/>
                <w:szCs w:val="17"/>
                <w:b w:val="1"/>
                <w:bCs w:val="1"/>
                <w:color w:val="auto"/>
                <w:vertAlign w:val="superscript"/>
              </w:rPr>
              <w:t>(7), (8)</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7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9"/>
              </w:rPr>
              <w:t>—</w:t>
            </w:r>
          </w:p>
        </w:tc>
        <w:tc>
          <w:tcPr>
            <w:tcW w:w="22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840" w:type="dxa"/>
            <w:vAlign w:val="bottom"/>
            <w:gridSpan w:val="2"/>
          </w:tcPr>
          <w:p>
            <w:pPr>
              <w:jc w:val="right"/>
              <w:ind w:right="72"/>
              <w:spacing w:after="0" w:line="138" w:lineRule="exact"/>
              <w:rPr>
                <w:sz w:val="20"/>
                <w:szCs w:val="20"/>
                <w:color w:val="auto"/>
              </w:rPr>
            </w:pPr>
            <w:r>
              <w:rPr>
                <w:rFonts w:ascii="Arial" w:cs="Arial" w:eastAsia="Arial" w:hAnsi="Arial"/>
                <w:sz w:val="14"/>
                <w:szCs w:val="14"/>
                <w:color w:val="auto"/>
              </w:rPr>
              <w:t>12.50%</w:t>
            </w:r>
          </w:p>
        </w:tc>
        <w:tc>
          <w:tcPr>
            <w:tcW w:w="80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176</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110,697</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200,571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gridSpan w:val="2"/>
          </w:tcPr>
          <w:p>
            <w:pPr>
              <w:ind w:left="200"/>
              <w:spacing w:after="0"/>
              <w:rPr>
                <w:sz w:val="20"/>
                <w:szCs w:val="20"/>
                <w:color w:val="auto"/>
              </w:rPr>
            </w:pPr>
            <w:r>
              <w:rPr>
                <w:rFonts w:ascii="Arial" w:cs="Arial" w:eastAsia="Arial" w:hAnsi="Arial"/>
                <w:sz w:val="14"/>
                <w:szCs w:val="14"/>
                <w:color w:val="auto"/>
              </w:rPr>
              <w:t>(TrustHouse Services Group, Inc.)</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Equity/Partnership Interests—1.1% </w:t>
            </w:r>
            <w:r>
              <w:rPr>
                <w:rFonts w:ascii="Arial" w:cs="Arial" w:eastAsia="Arial" w:hAnsi="Arial"/>
                <w:sz w:val="17"/>
                <w:szCs w:val="17"/>
                <w:b w:val="1"/>
                <w:bCs w:val="1"/>
                <w:color w:val="auto"/>
                <w:vertAlign w:val="superscript"/>
              </w:rPr>
              <w:t>(7), (8)</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Titan Private Holdings I, LLC (Tekelec Global, Inc.)</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Telecommunications</w:t>
            </w:r>
          </w:p>
        </w:tc>
        <w:tc>
          <w:tcPr>
            <w:tcW w:w="84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401,797</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401,450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1,091,018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7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9"/>
              </w:rPr>
              <w:t>—</w:t>
            </w:r>
          </w:p>
        </w:tc>
        <w:tc>
          <w:tcPr>
            <w:tcW w:w="22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840" w:type="dxa"/>
            <w:vAlign w:val="bottom"/>
            <w:gridSpan w:val="2"/>
            <w:shd w:val="clear" w:color="auto" w:fill="CCEEFF"/>
          </w:tcPr>
          <w:p>
            <w:pPr>
              <w:jc w:val="right"/>
              <w:ind w:right="252"/>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5,000</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10,845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(TrustHouse Services Group, Inc.)</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406,450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1,101,863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Total Investments in Non-Controlled, Non-Affiliated Portfolio Companies</w:t>
            </w: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171,578,009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171,834,400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Equivalents—4.0%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3,845,803</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3,845,803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Equivalents—183.5%</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175,423,812</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175,680,203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Assets—(83.5)%</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0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w w:val="88"/>
              </w:rPr>
              <w:t>(79,936,326)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95,743,877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3926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80" w:lineRule="exact"/>
        <w:rPr>
          <w:sz w:val="20"/>
          <w:szCs w:val="20"/>
          <w:color w:val="auto"/>
        </w:rPr>
      </w:pPr>
    </w:p>
    <w:p>
      <w:pPr>
        <w:ind w:left="340" w:right="60" w:hanging="332"/>
        <w:spacing w:after="0" w:line="230"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ind w:left="340" w:hanging="332"/>
        <w:spacing w:after="0" w:line="221"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60" w:hanging="332"/>
        <w:spacing w:after="0" w:line="258" w:lineRule="auto"/>
        <w:tabs>
          <w:tab w:leader="none" w:pos="3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60" w:hanging="332"/>
        <w:spacing w:after="0" w:line="221"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Basis Point</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84"/>
              </w:rPr>
              <w:t>Spread</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80" w:type="dxa"/>
            <w:vAlign w:val="bottom"/>
          </w:tcPr>
          <w:p>
            <w:pPr>
              <w:jc w:val="right"/>
              <w:ind w:right="333"/>
              <w:spacing w:after="0" w:line="135" w:lineRule="exact"/>
              <w:rPr>
                <w:sz w:val="20"/>
                <w:szCs w:val="20"/>
                <w:color w:val="auto"/>
              </w:rPr>
            </w:pPr>
            <w:r>
              <w:rPr>
                <w:rFonts w:ascii="Arial" w:cs="Arial" w:eastAsia="Arial" w:hAnsi="Arial"/>
                <w:sz w:val="14"/>
                <w:szCs w:val="14"/>
                <w:b w:val="1"/>
                <w:bCs w:val="1"/>
                <w:color w:val="auto"/>
              </w:rPr>
              <w:t>Current</w:t>
            </w:r>
          </w:p>
        </w:tc>
        <w:tc>
          <w:tcPr>
            <w:tcW w:w="960" w:type="dxa"/>
            <w:vAlign w:val="bottom"/>
          </w:tcPr>
          <w:p>
            <w:pPr>
              <w:jc w:val="center"/>
              <w:ind w:right="13"/>
              <w:spacing w:after="0" w:line="135" w:lineRule="exact"/>
              <w:rPr>
                <w:sz w:val="20"/>
                <w:szCs w:val="20"/>
                <w:color w:val="auto"/>
              </w:rPr>
            </w:pPr>
            <w:r>
              <w:rPr>
                <w:rFonts w:ascii="Arial" w:cs="Arial" w:eastAsia="Arial" w:hAnsi="Arial"/>
                <w:sz w:val="14"/>
                <w:szCs w:val="14"/>
                <w:b w:val="1"/>
                <w:bCs w:val="1"/>
                <w:color w:val="auto"/>
                <w:w w:val="84"/>
              </w:rPr>
              <w:t>Above</w:t>
            </w:r>
          </w:p>
        </w:tc>
        <w:tc>
          <w:tcPr>
            <w:tcW w:w="840" w:type="dxa"/>
            <w:vAlign w:val="bottom"/>
          </w:tcPr>
          <w:p>
            <w:pPr>
              <w:jc w:val="right"/>
              <w:ind w:right="292"/>
              <w:spacing w:after="0" w:line="135" w:lineRule="exact"/>
              <w:rPr>
                <w:sz w:val="20"/>
                <w:szCs w:val="20"/>
                <w:color w:val="auto"/>
              </w:rPr>
            </w:pPr>
            <w:r>
              <w:rPr>
                <w:rFonts w:ascii="Arial" w:cs="Arial" w:eastAsia="Arial" w:hAnsi="Arial"/>
                <w:sz w:val="14"/>
                <w:szCs w:val="14"/>
                <w:b w:val="1"/>
                <w:bCs w:val="1"/>
                <w:color w:val="auto"/>
              </w:rPr>
              <w:t>Par/</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1220" w:type="dxa"/>
            <w:vAlign w:val="bottom"/>
          </w:tcPr>
          <w:p>
            <w:pPr>
              <w:ind w:left="440"/>
              <w:spacing w:after="0"/>
              <w:rPr>
                <w:sz w:val="20"/>
                <w:szCs w:val="20"/>
                <w:color w:val="auto"/>
              </w:rPr>
            </w:pPr>
            <w:r>
              <w:rPr>
                <w:rFonts w:ascii="Arial" w:cs="Arial" w:eastAsia="Arial" w:hAnsi="Arial"/>
                <w:sz w:val="14"/>
                <w:szCs w:val="14"/>
                <w:b w:val="1"/>
                <w:bCs w:val="1"/>
                <w:color w:val="auto"/>
              </w:rPr>
              <w:t>Maturity</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980" w:type="dxa"/>
            <w:vAlign w:val="bottom"/>
          </w:tcPr>
          <w:p>
            <w:pPr>
              <w:jc w:val="right"/>
              <w:ind w:right="353"/>
              <w:spacing w:after="0"/>
              <w:rPr>
                <w:sz w:val="20"/>
                <w:szCs w:val="20"/>
                <w:color w:val="auto"/>
              </w:rPr>
            </w:pPr>
            <w:r>
              <w:rPr>
                <w:rFonts w:ascii="Arial" w:cs="Arial" w:eastAsia="Arial" w:hAnsi="Arial"/>
                <w:sz w:val="14"/>
                <w:szCs w:val="14"/>
                <w:b w:val="1"/>
                <w:bCs w:val="1"/>
                <w:color w:val="auto"/>
              </w:rPr>
              <w:t>Coupon</w:t>
            </w:r>
          </w:p>
        </w:tc>
        <w:tc>
          <w:tcPr>
            <w:tcW w:w="960" w:type="dxa"/>
            <w:vAlign w:val="bottom"/>
          </w:tcPr>
          <w:p>
            <w:pPr>
              <w:jc w:val="center"/>
              <w:ind w:right="13"/>
              <w:spacing w:after="0" w:line="176" w:lineRule="exact"/>
              <w:rPr>
                <w:sz w:val="20"/>
                <w:szCs w:val="20"/>
                <w:color w:val="auto"/>
              </w:rPr>
            </w:pPr>
            <w:r>
              <w:rPr>
                <w:rFonts w:ascii="Arial" w:cs="Arial" w:eastAsia="Arial" w:hAnsi="Arial"/>
                <w:sz w:val="13"/>
                <w:szCs w:val="13"/>
                <w:b w:val="1"/>
                <w:bCs w:val="1"/>
                <w:color w:val="auto"/>
                <w:w w:val="89"/>
              </w:rPr>
              <w:t xml:space="preserve">Index </w:t>
            </w:r>
            <w:r>
              <w:rPr>
                <w:rFonts w:ascii="Arial" w:cs="Arial" w:eastAsia="Arial" w:hAnsi="Arial"/>
                <w:sz w:val="20"/>
                <w:szCs w:val="20"/>
                <w:b w:val="1"/>
                <w:bCs w:val="1"/>
                <w:color w:val="auto"/>
                <w:w w:val="89"/>
                <w:vertAlign w:val="superscript"/>
              </w:rPr>
              <w:t>(1)</w:t>
            </w:r>
          </w:p>
        </w:tc>
        <w:tc>
          <w:tcPr>
            <w:tcW w:w="840" w:type="dxa"/>
            <w:vAlign w:val="bottom"/>
          </w:tcPr>
          <w:p>
            <w:pPr>
              <w:jc w:val="right"/>
              <w:ind w:right="21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Companies—120.2%</w:t>
            </w:r>
            <w:r>
              <w:rPr>
                <w:rFonts w:ascii="Arial" w:cs="Arial" w:eastAsia="Arial" w:hAnsi="Arial"/>
                <w:sz w:val="16"/>
                <w:szCs w:val="16"/>
                <w:b w:val="1"/>
                <w:bCs w:val="1"/>
                <w:color w:val="auto"/>
                <w:vertAlign w:val="superscript"/>
              </w:rPr>
              <w:t>(3),(4)</w:t>
            </w:r>
          </w:p>
        </w:tc>
        <w:tc>
          <w:tcPr>
            <w:tcW w:w="9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Debt—99.2%</w:t>
            </w:r>
          </w:p>
        </w:tc>
        <w:tc>
          <w:tcPr>
            <w:tcW w:w="1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03/25/2015</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10.00%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L+800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1,209,524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1,213,365</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1,215,571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Artel, LLC</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06/01/2016</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5.50%</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L+425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987,500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978,043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972,688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07/29/2017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L+500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995,085</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line="217" w:lineRule="exact"/>
              <w:rPr>
                <w:sz w:val="20"/>
                <w:szCs w:val="20"/>
                <w:color w:val="auto"/>
              </w:rPr>
            </w:pPr>
            <w:r>
              <w:rPr>
                <w:rFonts w:ascii="Arial" w:cs="Arial" w:eastAsia="Arial" w:hAnsi="Arial"/>
                <w:sz w:val="14"/>
                <w:szCs w:val="14"/>
                <w:color w:val="auto"/>
              </w:rPr>
              <w:t xml:space="preserve">Chester Downs and Marina, LLC </w:t>
            </w:r>
            <w:r>
              <w:rPr>
                <w:rFonts w:ascii="Arial" w:cs="Arial" w:eastAsia="Arial" w:hAnsi="Arial"/>
                <w:sz w:val="22"/>
                <w:szCs w:val="22"/>
                <w:color w:val="auto"/>
                <w:vertAlign w:val="superscript"/>
              </w:rPr>
              <w:t>(5)</w:t>
            </w:r>
          </w:p>
        </w:tc>
        <w:tc>
          <w:tcPr>
            <w:tcW w:w="1220" w:type="dxa"/>
            <w:vAlign w:val="bottom"/>
          </w:tcPr>
          <w:p>
            <w:pPr>
              <w:ind w:left="500"/>
              <w:spacing w:after="0"/>
              <w:rPr>
                <w:sz w:val="20"/>
                <w:szCs w:val="20"/>
                <w:color w:val="auto"/>
              </w:rPr>
            </w:pPr>
            <w:r>
              <w:rPr>
                <w:rFonts w:ascii="Arial" w:cs="Arial" w:eastAsia="Arial" w:hAnsi="Arial"/>
                <w:sz w:val="14"/>
                <w:szCs w:val="14"/>
                <w:color w:val="auto"/>
                <w:w w:val="99"/>
              </w:rPr>
              <w:t>07/31/2016</w:t>
            </w:r>
          </w:p>
        </w:tc>
        <w:tc>
          <w:tcPr>
            <w:tcW w:w="2020" w:type="dxa"/>
            <w:vAlign w:val="bottom"/>
          </w:tcPr>
          <w:p>
            <w:pPr>
              <w:jc w:val="center"/>
              <w:spacing w:after="0"/>
              <w:rPr>
                <w:sz w:val="20"/>
                <w:szCs w:val="20"/>
                <w:color w:val="auto"/>
              </w:rPr>
            </w:pPr>
            <w:r>
              <w:rPr>
                <w:rFonts w:ascii="Arial" w:cs="Arial" w:eastAsia="Arial" w:hAnsi="Arial"/>
                <w:sz w:val="14"/>
                <w:szCs w:val="14"/>
                <w:color w:val="auto"/>
                <w:w w:val="88"/>
              </w:rPr>
              <w:t>Hotel, Gaming and Leisure</w:t>
            </w:r>
          </w:p>
        </w:tc>
        <w:tc>
          <w:tcPr>
            <w:tcW w:w="980" w:type="dxa"/>
            <w:vAlign w:val="bottom"/>
          </w:tcPr>
          <w:p>
            <w:pPr>
              <w:jc w:val="right"/>
              <w:ind w:right="173"/>
              <w:spacing w:after="0"/>
              <w:rPr>
                <w:sz w:val="20"/>
                <w:szCs w:val="20"/>
                <w:color w:val="auto"/>
              </w:rPr>
            </w:pPr>
            <w:r>
              <w:rPr>
                <w:rFonts w:ascii="Arial" w:cs="Arial" w:eastAsia="Arial" w:hAnsi="Arial"/>
                <w:sz w:val="14"/>
                <w:szCs w:val="14"/>
                <w:color w:val="auto"/>
              </w:rPr>
              <w:t>12.38%</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L+988</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478,873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488,220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476,878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 Overhead Doors,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08/17/2017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Goods: Durable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7.25%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L+575</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3,921,236</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EAG, Inc.</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07/28/2017</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6.75%</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P+350</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987,500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982,590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967,750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Ernest Health,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05/13/2016</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L+475</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2,966,250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2,939,107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2,936,587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line="217" w:lineRule="exact"/>
              <w:rPr>
                <w:sz w:val="20"/>
                <w:szCs w:val="20"/>
                <w:color w:val="auto"/>
              </w:rPr>
            </w:pPr>
            <w:r>
              <w:rPr>
                <w:rFonts w:ascii="Arial" w:cs="Arial" w:eastAsia="Arial" w:hAnsi="Arial"/>
                <w:sz w:val="14"/>
                <w:szCs w:val="14"/>
                <w:color w:val="auto"/>
              </w:rPr>
              <w:t xml:space="preserve">Frac Tech International, LLC </w:t>
            </w:r>
            <w:r>
              <w:rPr>
                <w:rFonts w:ascii="Arial" w:cs="Arial" w:eastAsia="Arial" w:hAnsi="Arial"/>
                <w:sz w:val="22"/>
                <w:szCs w:val="22"/>
                <w:color w:val="auto"/>
                <w:vertAlign w:val="superscript"/>
              </w:rPr>
              <w:t>(5)</w:t>
            </w:r>
          </w:p>
        </w:tc>
        <w:tc>
          <w:tcPr>
            <w:tcW w:w="1220" w:type="dxa"/>
            <w:vAlign w:val="bottom"/>
          </w:tcPr>
          <w:p>
            <w:pPr>
              <w:ind w:left="500"/>
              <w:spacing w:after="0"/>
              <w:rPr>
                <w:sz w:val="20"/>
                <w:szCs w:val="20"/>
                <w:color w:val="auto"/>
              </w:rPr>
            </w:pPr>
            <w:r>
              <w:rPr>
                <w:rFonts w:ascii="Arial" w:cs="Arial" w:eastAsia="Arial" w:hAnsi="Arial"/>
                <w:sz w:val="14"/>
                <w:szCs w:val="14"/>
                <w:color w:val="auto"/>
                <w:w w:val="99"/>
              </w:rPr>
              <w:t>05/06/2016</w:t>
            </w:r>
          </w:p>
        </w:tc>
        <w:tc>
          <w:tcPr>
            <w:tcW w:w="2020" w:type="dxa"/>
            <w:vAlign w:val="bottom"/>
          </w:tcPr>
          <w:p>
            <w:pPr>
              <w:jc w:val="center"/>
              <w:spacing w:after="0"/>
              <w:rPr>
                <w:sz w:val="20"/>
                <w:szCs w:val="20"/>
                <w:color w:val="auto"/>
              </w:rPr>
            </w:pPr>
            <w:r>
              <w:rPr>
                <w:rFonts w:ascii="Arial" w:cs="Arial" w:eastAsia="Arial" w:hAnsi="Arial"/>
                <w:sz w:val="14"/>
                <w:szCs w:val="14"/>
                <w:color w:val="auto"/>
                <w:w w:val="88"/>
              </w:rPr>
              <w:t>Energy: Oil and Gas</w:t>
            </w:r>
          </w:p>
        </w:tc>
        <w:tc>
          <w:tcPr>
            <w:tcW w:w="980" w:type="dxa"/>
            <w:vAlign w:val="bottom"/>
          </w:tcPr>
          <w:p>
            <w:pPr>
              <w:jc w:val="right"/>
              <w:ind w:right="173"/>
              <w:spacing w:after="0"/>
              <w:rPr>
                <w:sz w:val="20"/>
                <w:szCs w:val="20"/>
                <w:color w:val="auto"/>
              </w:rPr>
            </w:pPr>
            <w:r>
              <w:rPr>
                <w:rFonts w:ascii="Arial" w:cs="Arial" w:eastAsia="Arial" w:hAnsi="Arial"/>
                <w:sz w:val="14"/>
                <w:szCs w:val="14"/>
                <w:color w:val="auto"/>
              </w:rPr>
              <w:t>6.25%</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L+475</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2,073,930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2,054,330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2,033,747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Gundle/SLT Environmental,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05/27/2016</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Industries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7.01%</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2,964,467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2,812,950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line="217" w:lineRule="exact"/>
              <w:rPr>
                <w:sz w:val="20"/>
                <w:szCs w:val="20"/>
                <w:color w:val="auto"/>
              </w:rPr>
            </w:pPr>
            <w:r>
              <w:rPr>
                <w:rFonts w:ascii="Arial" w:cs="Arial" w:eastAsia="Arial" w:hAnsi="Arial"/>
                <w:sz w:val="14"/>
                <w:szCs w:val="14"/>
                <w:color w:val="auto"/>
              </w:rPr>
              <w:t xml:space="preserve">Harmony Foods Corporation </w:t>
            </w:r>
            <w:r>
              <w:rPr>
                <w:rFonts w:ascii="Arial" w:cs="Arial" w:eastAsia="Arial" w:hAnsi="Arial"/>
                <w:sz w:val="22"/>
                <w:szCs w:val="22"/>
                <w:color w:val="auto"/>
                <w:vertAlign w:val="superscript"/>
              </w:rPr>
              <w:t>(5), (6), (11)</w:t>
            </w:r>
          </w:p>
        </w:tc>
        <w:tc>
          <w:tcPr>
            <w:tcW w:w="1220" w:type="dxa"/>
            <w:vAlign w:val="bottom"/>
          </w:tcPr>
          <w:p>
            <w:pPr>
              <w:ind w:left="500"/>
              <w:spacing w:after="0"/>
              <w:rPr>
                <w:sz w:val="20"/>
                <w:szCs w:val="20"/>
                <w:color w:val="auto"/>
              </w:rPr>
            </w:pPr>
            <w:r>
              <w:rPr>
                <w:rFonts w:ascii="Arial" w:cs="Arial" w:eastAsia="Arial" w:hAnsi="Arial"/>
                <w:sz w:val="14"/>
                <w:szCs w:val="14"/>
                <w:color w:val="auto"/>
                <w:w w:val="99"/>
              </w:rPr>
              <w:t>05/01/2016</w:t>
            </w:r>
          </w:p>
        </w:tc>
        <w:tc>
          <w:tcPr>
            <w:tcW w:w="2020" w:type="dxa"/>
            <w:vAlign w:val="bottom"/>
          </w:tcPr>
          <w:p>
            <w:pPr>
              <w:jc w:val="center"/>
              <w:spacing w:after="0"/>
              <w:rPr>
                <w:sz w:val="20"/>
                <w:szCs w:val="20"/>
                <w:color w:val="auto"/>
              </w:rPr>
            </w:pPr>
            <w:r>
              <w:rPr>
                <w:rFonts w:ascii="Arial" w:cs="Arial" w:eastAsia="Arial" w:hAnsi="Arial"/>
                <w:sz w:val="14"/>
                <w:szCs w:val="14"/>
                <w:color w:val="auto"/>
                <w:w w:val="84"/>
              </w:rPr>
              <w:t>Beverage, Food and Tobacco</w:t>
            </w:r>
          </w:p>
        </w:tc>
        <w:tc>
          <w:tcPr>
            <w:tcW w:w="980" w:type="dxa"/>
            <w:vAlign w:val="bottom"/>
          </w:tcPr>
          <w:p>
            <w:pPr>
              <w:jc w:val="right"/>
              <w:ind w:right="173"/>
              <w:spacing w:after="0"/>
              <w:rPr>
                <w:sz w:val="20"/>
                <w:szCs w:val="20"/>
                <w:color w:val="auto"/>
              </w:rPr>
            </w:pPr>
            <w:r>
              <w:rPr>
                <w:rFonts w:ascii="Arial" w:cs="Arial" w:eastAsia="Arial" w:hAnsi="Arial"/>
                <w:sz w:val="14"/>
                <w:szCs w:val="14"/>
                <w:color w:val="auto"/>
              </w:rPr>
              <w:t>10.00%</w:t>
            </w:r>
          </w:p>
        </w:tc>
        <w:tc>
          <w:tcPr>
            <w:tcW w:w="96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2,000,000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1,990,000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Insight Global,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08/16/2017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L+500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2,493,750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2,481,331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2,475,047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tcPr>
          <w:p>
            <w:pPr>
              <w:spacing w:after="0" w:line="138" w:lineRule="exact"/>
              <w:rPr>
                <w:sz w:val="20"/>
                <w:szCs w:val="20"/>
                <w:color w:val="auto"/>
              </w:rPr>
            </w:pPr>
            <w:r>
              <w:rPr>
                <w:rFonts w:ascii="Arial" w:cs="Arial" w:eastAsia="Arial" w:hAnsi="Arial"/>
                <w:sz w:val="10"/>
                <w:szCs w:val="10"/>
                <w:color w:val="auto"/>
              </w:rPr>
              <w:t xml:space="preserve">Instant Web, Inc. </w:t>
            </w:r>
            <w:r>
              <w:rPr>
                <w:rFonts w:ascii="Arial" w:cs="Arial" w:eastAsia="Arial" w:hAnsi="Arial"/>
                <w:sz w:val="15"/>
                <w:szCs w:val="15"/>
                <w:color w:val="auto"/>
                <w:vertAlign w:val="superscript"/>
              </w:rPr>
              <w:t>(5), (7)</w:t>
            </w:r>
          </w:p>
        </w:tc>
        <w:tc>
          <w:tcPr>
            <w:tcW w:w="1220" w:type="dxa"/>
            <w:vAlign w:val="bottom"/>
          </w:tcPr>
          <w:p>
            <w:pPr>
              <w:ind w:left="500"/>
              <w:spacing w:after="0" w:line="138" w:lineRule="exact"/>
              <w:rPr>
                <w:sz w:val="20"/>
                <w:szCs w:val="20"/>
                <w:color w:val="auto"/>
              </w:rPr>
            </w:pPr>
            <w:r>
              <w:rPr>
                <w:rFonts w:ascii="Arial" w:cs="Arial" w:eastAsia="Arial" w:hAnsi="Arial"/>
                <w:sz w:val="14"/>
                <w:szCs w:val="14"/>
                <w:color w:val="auto"/>
                <w:w w:val="99"/>
              </w:rPr>
              <w:t>08/07/2014</w:t>
            </w:r>
          </w:p>
        </w:tc>
        <w:tc>
          <w:tcPr>
            <w:tcW w:w="2020" w:type="dxa"/>
            <w:vAlign w:val="bottom"/>
          </w:tcPr>
          <w:p>
            <w:pPr>
              <w:jc w:val="center"/>
              <w:spacing w:after="0" w:line="138" w:lineRule="exact"/>
              <w:rPr>
                <w:sz w:val="20"/>
                <w:szCs w:val="20"/>
                <w:color w:val="auto"/>
              </w:rPr>
            </w:pPr>
            <w:r>
              <w:rPr>
                <w:rFonts w:ascii="Arial" w:cs="Arial" w:eastAsia="Arial" w:hAnsi="Arial"/>
                <w:sz w:val="14"/>
                <w:szCs w:val="14"/>
                <w:color w:val="auto"/>
                <w:w w:val="90"/>
              </w:rPr>
              <w:t>Media: Advertising, Printing and</w:t>
            </w:r>
          </w:p>
        </w:tc>
        <w:tc>
          <w:tcPr>
            <w:tcW w:w="980" w:type="dxa"/>
            <w:vAlign w:val="bottom"/>
          </w:tcPr>
          <w:p>
            <w:pPr>
              <w:jc w:val="right"/>
              <w:ind w:right="173"/>
              <w:spacing w:after="0" w:line="138" w:lineRule="exact"/>
              <w:rPr>
                <w:sz w:val="20"/>
                <w:szCs w:val="20"/>
                <w:color w:val="auto"/>
              </w:rPr>
            </w:pPr>
            <w:r>
              <w:rPr>
                <w:rFonts w:ascii="Arial" w:cs="Arial" w:eastAsia="Arial" w:hAnsi="Arial"/>
                <w:sz w:val="14"/>
                <w:szCs w:val="14"/>
                <w:color w:val="auto"/>
              </w:rPr>
              <w:t>3.61%</w:t>
            </w:r>
          </w:p>
        </w:tc>
        <w:tc>
          <w:tcPr>
            <w:tcW w:w="960" w:type="dxa"/>
            <w:vAlign w:val="bottom"/>
          </w:tcPr>
          <w:p>
            <w:pPr>
              <w:jc w:val="right"/>
              <w:ind w:right="53"/>
              <w:spacing w:after="0" w:line="138" w:lineRule="exact"/>
              <w:rPr>
                <w:sz w:val="20"/>
                <w:szCs w:val="20"/>
                <w:color w:val="auto"/>
              </w:rPr>
            </w:pPr>
            <w:r>
              <w:rPr>
                <w:rFonts w:ascii="Arial" w:cs="Arial" w:eastAsia="Arial" w:hAnsi="Arial"/>
                <w:sz w:val="14"/>
                <w:szCs w:val="14"/>
                <w:color w:val="auto"/>
              </w:rPr>
              <w:t>L+338</w:t>
            </w:r>
          </w:p>
        </w:tc>
        <w:tc>
          <w:tcPr>
            <w:tcW w:w="84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6,981,823</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6,523,240</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Arial" w:cs="Arial" w:eastAsia="Arial" w:hAnsi="Arial"/>
                <w:sz w:val="14"/>
                <w:szCs w:val="14"/>
                <w:color w:val="auto"/>
              </w:rPr>
              <w:t>6,283,641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20" w:type="dxa"/>
            <w:vAlign w:val="bottom"/>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09/10/2015</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10.00%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P+675</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5,476,250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5,525,637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5,202,437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1"/>
                <w:szCs w:val="11"/>
                <w:color w:val="auto"/>
              </w:rPr>
              <w:t xml:space="preserve">KAR Auction Services, Inc. </w:t>
            </w:r>
            <w:r>
              <w:rPr>
                <w:rFonts w:ascii="Arial" w:cs="Arial" w:eastAsia="Arial" w:hAnsi="Arial"/>
                <w:sz w:val="17"/>
                <w:szCs w:val="17"/>
                <w:color w:val="auto"/>
                <w:vertAlign w:val="superscript"/>
              </w:rPr>
              <w:t>(5)</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05/19/2017</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5.00%</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L+375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2,978,487</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2,895,244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(5), (7)</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05/31/2014</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Consumer Goods: Non-Durable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8.50%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L+700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4,987,500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4,847,186</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4,713,187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4"/>
                <w:szCs w:val="14"/>
                <w:color w:val="auto"/>
              </w:rPr>
              <w:t>Medpace Holdings, Inc.</w:t>
            </w:r>
          </w:p>
        </w:tc>
        <w:tc>
          <w:tcPr>
            <w:tcW w:w="1220" w:type="dxa"/>
            <w:vAlign w:val="bottom"/>
          </w:tcPr>
          <w:p>
            <w:pPr>
              <w:ind w:left="500"/>
              <w:spacing w:after="0"/>
              <w:rPr>
                <w:sz w:val="20"/>
                <w:szCs w:val="20"/>
                <w:color w:val="auto"/>
              </w:rPr>
            </w:pPr>
            <w:r>
              <w:rPr>
                <w:rFonts w:ascii="Arial" w:cs="Arial" w:eastAsia="Arial" w:hAnsi="Arial"/>
                <w:sz w:val="14"/>
                <w:szCs w:val="14"/>
                <w:color w:val="auto"/>
                <w:w w:val="99"/>
              </w:rPr>
              <w:t>06/17/2017</w:t>
            </w:r>
          </w:p>
        </w:tc>
        <w:tc>
          <w:tcPr>
            <w:tcW w:w="202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980" w:type="dxa"/>
            <w:vAlign w:val="bottom"/>
          </w:tcPr>
          <w:p>
            <w:pPr>
              <w:jc w:val="right"/>
              <w:ind w:right="173"/>
              <w:spacing w:after="0"/>
              <w:rPr>
                <w:sz w:val="20"/>
                <w:szCs w:val="20"/>
                <w:color w:val="auto"/>
              </w:rPr>
            </w:pPr>
            <w:r>
              <w:rPr>
                <w:rFonts w:ascii="Arial" w:cs="Arial" w:eastAsia="Arial" w:hAnsi="Arial"/>
                <w:sz w:val="14"/>
                <w:szCs w:val="14"/>
                <w:color w:val="auto"/>
              </w:rPr>
              <w:t>6.50%</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L+500</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1,995,000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1,966,025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1,895,250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(7)</w:t>
            </w:r>
          </w:p>
        </w:tc>
        <w:tc>
          <w:tcPr>
            <w:tcW w:w="32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w w:val="94"/>
              </w:rPr>
              <w:t>05/06/2018  Media: Diversified and Production</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3,990,000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3,951,886</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3,670,800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3060" w:type="dxa"/>
            <w:vAlign w:val="bottom"/>
            <w:gridSpan w:val="2"/>
          </w:tcPr>
          <w:p>
            <w:pPr>
              <w:spacing w:after="0"/>
              <w:rPr>
                <w:sz w:val="20"/>
                <w:szCs w:val="20"/>
                <w:color w:val="auto"/>
              </w:rPr>
            </w:pPr>
            <w:r>
              <w:rPr>
                <w:rFonts w:ascii="Arial" w:cs="Arial" w:eastAsia="Arial" w:hAnsi="Arial"/>
                <w:sz w:val="14"/>
                <w:szCs w:val="14"/>
                <w:color w:val="auto"/>
              </w:rPr>
              <w:t xml:space="preserve">Penton Media, Inc. </w:t>
            </w:r>
            <w:r>
              <w:rPr>
                <w:rFonts w:ascii="Arial" w:cs="Arial" w:eastAsia="Arial" w:hAnsi="Arial"/>
                <w:sz w:val="22"/>
                <w:szCs w:val="22"/>
                <w:color w:val="auto"/>
                <w:vertAlign w:val="superscript"/>
              </w:rPr>
              <w:t>(5)</w:t>
            </w:r>
          </w:p>
        </w:tc>
        <w:tc>
          <w:tcPr>
            <w:tcW w:w="3240" w:type="dxa"/>
            <w:vAlign w:val="bottom"/>
            <w:gridSpan w:val="2"/>
          </w:tcPr>
          <w:p>
            <w:pPr>
              <w:ind w:left="500"/>
              <w:spacing w:after="0"/>
              <w:rPr>
                <w:sz w:val="20"/>
                <w:szCs w:val="20"/>
                <w:color w:val="auto"/>
              </w:rPr>
            </w:pPr>
            <w:r>
              <w:rPr>
                <w:rFonts w:ascii="Arial" w:cs="Arial" w:eastAsia="Arial" w:hAnsi="Arial"/>
                <w:sz w:val="14"/>
                <w:szCs w:val="14"/>
                <w:color w:val="auto"/>
                <w:w w:val="94"/>
              </w:rPr>
              <w:t>08/01/2014  Media: Diversified and Production</w:t>
            </w:r>
          </w:p>
        </w:tc>
        <w:tc>
          <w:tcPr>
            <w:tcW w:w="980" w:type="dxa"/>
            <w:vAlign w:val="bottom"/>
          </w:tcPr>
          <w:p>
            <w:pPr>
              <w:jc w:val="right"/>
              <w:ind w:right="33"/>
              <w:spacing w:after="0"/>
              <w:rPr>
                <w:sz w:val="20"/>
                <w:szCs w:val="20"/>
                <w:color w:val="auto"/>
              </w:rPr>
            </w:pPr>
            <w:r>
              <w:rPr>
                <w:rFonts w:ascii="Arial" w:cs="Arial" w:eastAsia="Arial" w:hAnsi="Arial"/>
                <w:sz w:val="14"/>
                <w:szCs w:val="14"/>
                <w:color w:val="auto"/>
              </w:rPr>
              <w:t>5.00%</w:t>
            </w:r>
            <w:r>
              <w:rPr>
                <w:rFonts w:ascii="Arial" w:cs="Arial" w:eastAsia="Arial" w:hAnsi="Arial"/>
                <w:sz w:val="22"/>
                <w:szCs w:val="22"/>
                <w:color w:val="auto"/>
                <w:vertAlign w:val="superscript"/>
              </w:rPr>
              <w:t>(8)</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L+400</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5,498,048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4,675,936</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3,802,818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Potter’s Holdings II, L.P.</w:t>
            </w:r>
          </w:p>
        </w:tc>
        <w:tc>
          <w:tcPr>
            <w:tcW w:w="32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w w:val="93"/>
              </w:rPr>
              <w:t>05/08/2017   Containers, Packaging and Glass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6.00%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L+450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1,995,000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1,976,257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1,900,237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Pro Mach, Inc.</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07/06/2017</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9"/>
              </w:rPr>
              <w:t>Capital Equipment</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L+475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997,500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987,986</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982,537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Securus Technologies,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05/31/2017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5.25%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L+400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2,963,597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2,891,503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1"/>
                <w:szCs w:val="11"/>
                <w:color w:val="auto"/>
              </w:rPr>
              <w:t xml:space="preserve">Select Medical Corporation </w:t>
            </w:r>
            <w:r>
              <w:rPr>
                <w:rFonts w:ascii="Arial" w:cs="Arial" w:eastAsia="Arial" w:hAnsi="Arial"/>
                <w:sz w:val="17"/>
                <w:szCs w:val="17"/>
                <w:color w:val="auto"/>
                <w:vertAlign w:val="superscript"/>
              </w:rPr>
              <w:t>(5)</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06/01/2018</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5.50%</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L+375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2,963,943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2,708,212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04/22/2017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2,964,848</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2,917,688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4"/>
                <w:szCs w:val="14"/>
                <w:color w:val="auto"/>
              </w:rPr>
              <w:t>Tank Intermediate Holding Corp.</w:t>
            </w:r>
          </w:p>
        </w:tc>
        <w:tc>
          <w:tcPr>
            <w:tcW w:w="3240" w:type="dxa"/>
            <w:vAlign w:val="bottom"/>
            <w:gridSpan w:val="2"/>
          </w:tcPr>
          <w:p>
            <w:pPr>
              <w:ind w:left="500"/>
              <w:spacing w:after="0"/>
              <w:rPr>
                <w:sz w:val="20"/>
                <w:szCs w:val="20"/>
                <w:color w:val="auto"/>
              </w:rPr>
            </w:pPr>
            <w:r>
              <w:rPr>
                <w:rFonts w:ascii="Arial" w:cs="Arial" w:eastAsia="Arial" w:hAnsi="Arial"/>
                <w:sz w:val="14"/>
                <w:szCs w:val="14"/>
                <w:color w:val="auto"/>
                <w:w w:val="93"/>
              </w:rPr>
              <w:t>04/15/2016   Containers, Packaging and Glass</w:t>
            </w:r>
          </w:p>
        </w:tc>
        <w:tc>
          <w:tcPr>
            <w:tcW w:w="980" w:type="dxa"/>
            <w:vAlign w:val="bottom"/>
          </w:tcPr>
          <w:p>
            <w:pPr>
              <w:jc w:val="right"/>
              <w:ind w:right="173"/>
              <w:spacing w:after="0"/>
              <w:rPr>
                <w:sz w:val="20"/>
                <w:szCs w:val="20"/>
                <w:color w:val="auto"/>
              </w:rPr>
            </w:pPr>
            <w:r>
              <w:rPr>
                <w:rFonts w:ascii="Arial" w:cs="Arial" w:eastAsia="Arial" w:hAnsi="Arial"/>
                <w:sz w:val="14"/>
                <w:szCs w:val="14"/>
                <w:color w:val="auto"/>
              </w:rPr>
              <w:t>5.00%</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L+375</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1,835,472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1,831,420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1,807,940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30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Terex Corporation</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04/28/2017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Capital Equipment</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5.50%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L+400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1,980,598</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Triple Point Technology, Inc.</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04/14/2016</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L+475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4,968,750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4,923,769</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4,819,688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Univita Health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06/19/2017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L+475</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2,964,110</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2,827,913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U.S. Healthworks Holding Company, Inc.</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06/15/2016</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L+475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2,964,480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2,887,763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Valitas Health Services,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06/02/2017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5.75%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L+450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1,496,250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1,489,223</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1,406,475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tcPr>
          <w:p>
            <w:pPr>
              <w:spacing w:after="0" w:line="138" w:lineRule="exact"/>
              <w:rPr>
                <w:sz w:val="20"/>
                <w:szCs w:val="20"/>
                <w:color w:val="auto"/>
              </w:rPr>
            </w:pPr>
            <w:r>
              <w:rPr>
                <w:rFonts w:ascii="Arial" w:cs="Arial" w:eastAsia="Arial" w:hAnsi="Arial"/>
                <w:sz w:val="10"/>
                <w:szCs w:val="10"/>
                <w:color w:val="auto"/>
              </w:rPr>
              <w:t xml:space="preserve">Viamedia Services Corp. </w:t>
            </w:r>
            <w:r>
              <w:rPr>
                <w:rFonts w:ascii="Arial" w:cs="Arial" w:eastAsia="Arial" w:hAnsi="Arial"/>
                <w:sz w:val="15"/>
                <w:szCs w:val="15"/>
                <w:color w:val="auto"/>
                <w:vertAlign w:val="superscript"/>
              </w:rPr>
              <w:t>(5)</w:t>
            </w:r>
          </w:p>
        </w:tc>
        <w:tc>
          <w:tcPr>
            <w:tcW w:w="3240" w:type="dxa"/>
            <w:vAlign w:val="bottom"/>
            <w:gridSpan w:val="2"/>
          </w:tcPr>
          <w:p>
            <w:pPr>
              <w:ind w:left="500"/>
              <w:spacing w:after="0" w:line="138" w:lineRule="exact"/>
              <w:rPr>
                <w:sz w:val="20"/>
                <w:szCs w:val="20"/>
                <w:color w:val="auto"/>
              </w:rPr>
            </w:pPr>
            <w:r>
              <w:rPr>
                <w:rFonts w:ascii="Arial" w:cs="Arial" w:eastAsia="Arial" w:hAnsi="Arial"/>
                <w:sz w:val="14"/>
                <w:szCs w:val="14"/>
                <w:color w:val="auto"/>
                <w:w w:val="97"/>
              </w:rPr>
              <w:t>04/19/2016   Media: Advertising, Printing and</w:t>
            </w:r>
          </w:p>
        </w:tc>
        <w:tc>
          <w:tcPr>
            <w:tcW w:w="980" w:type="dxa"/>
            <w:vAlign w:val="bottom"/>
          </w:tcPr>
          <w:p>
            <w:pPr>
              <w:jc w:val="right"/>
              <w:ind w:right="173"/>
              <w:spacing w:after="0" w:line="138" w:lineRule="exact"/>
              <w:rPr>
                <w:sz w:val="20"/>
                <w:szCs w:val="20"/>
                <w:color w:val="auto"/>
              </w:rPr>
            </w:pPr>
            <w:r>
              <w:rPr>
                <w:rFonts w:ascii="Arial" w:cs="Arial" w:eastAsia="Arial" w:hAnsi="Arial"/>
                <w:sz w:val="14"/>
                <w:szCs w:val="14"/>
                <w:color w:val="auto"/>
              </w:rPr>
              <w:t>7.00%</w:t>
            </w:r>
          </w:p>
        </w:tc>
        <w:tc>
          <w:tcPr>
            <w:tcW w:w="960" w:type="dxa"/>
            <w:vAlign w:val="bottom"/>
          </w:tcPr>
          <w:p>
            <w:pPr>
              <w:jc w:val="right"/>
              <w:ind w:right="53"/>
              <w:spacing w:after="0" w:line="138" w:lineRule="exact"/>
              <w:rPr>
                <w:sz w:val="20"/>
                <w:szCs w:val="20"/>
                <w:color w:val="auto"/>
              </w:rPr>
            </w:pPr>
            <w:r>
              <w:rPr>
                <w:rFonts w:ascii="Arial" w:cs="Arial" w:eastAsia="Arial" w:hAnsi="Arial"/>
                <w:sz w:val="14"/>
                <w:szCs w:val="14"/>
                <w:color w:val="auto"/>
              </w:rPr>
              <w:t>L+550</w:t>
            </w:r>
          </w:p>
        </w:tc>
        <w:tc>
          <w:tcPr>
            <w:tcW w:w="84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4,750,000</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4,694,273</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Arial" w:cs="Arial" w:eastAsia="Arial" w:hAnsi="Arial"/>
                <w:sz w:val="14"/>
                <w:szCs w:val="14"/>
                <w:color w:val="auto"/>
              </w:rPr>
              <w:t>4,690,625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20" w:type="dxa"/>
            <w:vAlign w:val="bottom"/>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Virtual Radiologic Corporation</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12/22/2016</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7.75%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P+450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2,963,172</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2,812,950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Water Pik, Inc.</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08/10/2017</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6"/>
              </w:rPr>
              <w:t>Consumer Goods: Durable</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6.75%</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L+525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3,500,000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3,465,501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3,430,000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(11), (6), (5)</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07/15/2016</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11.38%</w:t>
            </w:r>
          </w:p>
        </w:tc>
        <w:tc>
          <w:tcPr>
            <w:tcW w:w="96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4,355,966</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First Lien Secured Debt</w:t>
            </w:r>
          </w:p>
        </w:tc>
        <w:tc>
          <w:tcPr>
            <w:tcW w:w="12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060" w:type="dxa"/>
            <w:vAlign w:val="bottom"/>
            <w:gridSpan w:val="2"/>
            <w:vMerge w:val="continue"/>
          </w:tcPr>
          <w:p>
            <w:pPr>
              <w:spacing w:after="0"/>
              <w:rPr>
                <w:sz w:val="14"/>
                <w:szCs w:val="14"/>
                <w:color w:val="auto"/>
              </w:rPr>
            </w:pPr>
          </w:p>
        </w:tc>
        <w:tc>
          <w:tcPr>
            <w:tcW w:w="1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94,975,314</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91,363,126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Debt—13.3%</w:t>
            </w:r>
          </w:p>
        </w:tc>
        <w:tc>
          <w:tcPr>
            <w:tcW w:w="12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Autoparts Holdings Limited</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01/29/2018</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10.50%</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L+900</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1,000,000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995,000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985,000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Ernest Health, Inc. </w:t>
            </w:r>
            <w:r>
              <w:rPr>
                <w:rFonts w:ascii="Arial" w:cs="Arial" w:eastAsia="Arial" w:hAnsi="Arial"/>
                <w:sz w:val="17"/>
                <w:szCs w:val="17"/>
                <w:color w:val="auto"/>
                <w:vertAlign w:val="superscript"/>
              </w:rPr>
              <w:t>(5)</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05/13/2017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10.25%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L+850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3,942,406</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line="217" w:lineRule="exact"/>
              <w:rPr>
                <w:sz w:val="20"/>
                <w:szCs w:val="20"/>
                <w:color w:val="auto"/>
              </w:rPr>
            </w:pPr>
            <w:r>
              <w:rPr>
                <w:rFonts w:ascii="Arial" w:cs="Arial" w:eastAsia="Arial" w:hAnsi="Arial"/>
                <w:sz w:val="14"/>
                <w:szCs w:val="14"/>
                <w:color w:val="auto"/>
              </w:rPr>
              <w:t xml:space="preserve">Mood Media Corporation </w:t>
            </w:r>
            <w:r>
              <w:rPr>
                <w:rFonts w:ascii="Arial" w:cs="Arial" w:eastAsia="Arial" w:hAnsi="Arial"/>
                <w:sz w:val="22"/>
                <w:szCs w:val="22"/>
                <w:color w:val="auto"/>
                <w:vertAlign w:val="superscript"/>
              </w:rPr>
              <w:t>(5),(7)</w:t>
            </w:r>
          </w:p>
        </w:tc>
        <w:tc>
          <w:tcPr>
            <w:tcW w:w="3240" w:type="dxa"/>
            <w:vAlign w:val="bottom"/>
            <w:gridSpan w:val="2"/>
          </w:tcPr>
          <w:p>
            <w:pPr>
              <w:ind w:left="500"/>
              <w:spacing w:after="0"/>
              <w:rPr>
                <w:sz w:val="20"/>
                <w:szCs w:val="20"/>
                <w:color w:val="auto"/>
              </w:rPr>
            </w:pPr>
            <w:r>
              <w:rPr>
                <w:rFonts w:ascii="Arial" w:cs="Arial" w:eastAsia="Arial" w:hAnsi="Arial"/>
                <w:sz w:val="14"/>
                <w:szCs w:val="14"/>
                <w:color w:val="auto"/>
                <w:w w:val="94"/>
              </w:rPr>
              <w:t>11/06/2018  Media: Diversified and Production</w:t>
            </w:r>
          </w:p>
        </w:tc>
        <w:tc>
          <w:tcPr>
            <w:tcW w:w="980" w:type="dxa"/>
            <w:vAlign w:val="bottom"/>
          </w:tcPr>
          <w:p>
            <w:pPr>
              <w:jc w:val="right"/>
              <w:ind w:right="173"/>
              <w:spacing w:after="0"/>
              <w:rPr>
                <w:sz w:val="20"/>
                <w:szCs w:val="20"/>
                <w:color w:val="auto"/>
              </w:rPr>
            </w:pPr>
            <w:r>
              <w:rPr>
                <w:rFonts w:ascii="Arial" w:cs="Arial" w:eastAsia="Arial" w:hAnsi="Arial"/>
                <w:sz w:val="14"/>
                <w:szCs w:val="14"/>
                <w:color w:val="auto"/>
              </w:rPr>
              <w:t>10.25%</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L+875</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1,500,000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1,485,581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1,380,000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ROC Finance LLC and ROC Finance 1 Corp </w:t>
            </w:r>
            <w:r>
              <w:rPr>
                <w:rFonts w:ascii="Arial" w:cs="Arial" w:eastAsia="Arial" w:hAnsi="Arial"/>
                <w:sz w:val="17"/>
                <w:szCs w:val="17"/>
                <w:color w:val="auto"/>
                <w:vertAlign w:val="superscript"/>
              </w:rPr>
              <w:t>(5)</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09/01/2018</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12.13%</w:t>
            </w:r>
          </w:p>
        </w:tc>
        <w:tc>
          <w:tcPr>
            <w:tcW w:w="96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1,965,834</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1"/>
                <w:szCs w:val="11"/>
                <w:color w:val="auto"/>
              </w:rPr>
              <w:t>Sensus USA Inc.</w:t>
            </w:r>
            <w:r>
              <w:rPr>
                <w:rFonts w:ascii="Arial" w:cs="Arial" w:eastAsia="Arial" w:hAnsi="Arial"/>
                <w:sz w:val="17"/>
                <w:szCs w:val="17"/>
                <w:color w:val="auto"/>
                <w:vertAlign w:val="superscript"/>
              </w:rPr>
              <w:t>(5)</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05/09/2018</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93"/>
              </w:rPr>
              <w:t>Utilities: Water</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8.50%</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L+725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1,000,000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990,624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960,000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(11), (6), (7), (5)</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05/15/2019</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9.13%</w:t>
            </w:r>
          </w:p>
        </w:tc>
        <w:tc>
          <w:tcPr>
            <w:tcW w:w="96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Second Lien Secured Debt</w:t>
            </w:r>
          </w:p>
        </w:tc>
        <w:tc>
          <w:tcPr>
            <w:tcW w:w="12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060" w:type="dxa"/>
            <w:vAlign w:val="bottom"/>
            <w:gridSpan w:val="2"/>
            <w:vMerge w:val="continue"/>
          </w:tcPr>
          <w:p>
            <w:pPr>
              <w:spacing w:after="0"/>
              <w:rPr>
                <w:sz w:val="14"/>
                <w:szCs w:val="14"/>
                <w:color w:val="auto"/>
              </w:rPr>
            </w:pPr>
          </w:p>
        </w:tc>
        <w:tc>
          <w:tcPr>
            <w:tcW w:w="1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12,379,445</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12,255,000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Notes—7.6%</w:t>
            </w:r>
          </w:p>
        </w:tc>
        <w:tc>
          <w:tcPr>
            <w:tcW w:w="12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1"/>
                <w:szCs w:val="11"/>
                <w:color w:val="auto"/>
              </w:rPr>
              <w:t xml:space="preserve">Affinion Group Holdings, Inc. </w:t>
            </w:r>
            <w:r>
              <w:rPr>
                <w:rFonts w:ascii="Arial" w:cs="Arial" w:eastAsia="Arial" w:hAnsi="Arial"/>
                <w:sz w:val="17"/>
                <w:szCs w:val="17"/>
                <w:color w:val="auto"/>
                <w:vertAlign w:val="superscript"/>
              </w:rPr>
              <w:t>(5),(11)</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11/15/2015</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7"/>
              </w:rPr>
              <w:t>Consumer Goods: Non-Durable</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11.63%</w:t>
            </w:r>
          </w:p>
        </w:tc>
        <w:tc>
          <w:tcPr>
            <w:tcW w:w="96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1,500,000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1,524,891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1,155,000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TrustHouse Services Group, Inc. </w:t>
            </w:r>
            <w:r>
              <w:rPr>
                <w:rFonts w:ascii="Arial" w:cs="Arial" w:eastAsia="Arial" w:hAnsi="Arial"/>
                <w:sz w:val="17"/>
                <w:szCs w:val="17"/>
                <w:color w:val="auto"/>
                <w:vertAlign w:val="superscript"/>
              </w:rPr>
              <w:t>(11),(7),(5)</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07/31/2018</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980" w:type="dxa"/>
            <w:vAlign w:val="bottom"/>
            <w:shd w:val="clear" w:color="auto" w:fill="CCEEFF"/>
          </w:tcPr>
          <w:p>
            <w:pPr>
              <w:jc w:val="right"/>
              <w:ind w:right="33"/>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(8)</w:t>
            </w:r>
          </w:p>
        </w:tc>
        <w:tc>
          <w:tcPr>
            <w:tcW w:w="96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3,762,500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3,688,091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3,687,250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spacing w:after="0" w:line="149" w:lineRule="exact"/>
              <w:rPr>
                <w:sz w:val="20"/>
                <w:szCs w:val="20"/>
                <w:color w:val="auto"/>
              </w:rPr>
            </w:pPr>
            <w:r>
              <w:rPr>
                <w:rFonts w:ascii="Arial" w:cs="Arial" w:eastAsia="Arial" w:hAnsi="Arial"/>
                <w:sz w:val="11"/>
                <w:szCs w:val="11"/>
                <w:color w:val="auto"/>
              </w:rPr>
              <w:t xml:space="preserve">TrustHouse Services Group, Inc. </w:t>
            </w:r>
            <w:r>
              <w:rPr>
                <w:rFonts w:ascii="Arial" w:cs="Arial" w:eastAsia="Arial" w:hAnsi="Arial"/>
                <w:sz w:val="17"/>
                <w:szCs w:val="17"/>
                <w:color w:val="auto"/>
                <w:vertAlign w:val="superscript"/>
              </w:rPr>
              <w:t>(11),(9),(5)</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07/31/2018</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980" w:type="dxa"/>
            <w:vAlign w:val="bottom"/>
          </w:tcPr>
          <w:p>
            <w:pPr>
              <w:jc w:val="right"/>
              <w:ind w:right="3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2,206,000</w:t>
            </w:r>
          </w:p>
        </w:tc>
        <w:tc>
          <w:tcPr>
            <w:tcW w:w="16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2,161,880</w:t>
            </w:r>
          </w:p>
        </w:tc>
        <w:tc>
          <w:tcPr>
            <w:tcW w:w="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2,161,880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12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7,374,862</w:t>
            </w:r>
          </w:p>
        </w:tc>
        <w:tc>
          <w:tcPr>
            <w:tcW w:w="3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7,004,130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 (CONTINUED)</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Basis Point</w:t>
            </w: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Spread</w:t>
            </w: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rPr>
              <w:t>Current</w:t>
            </w: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4"/>
              </w:rPr>
              <w:t>Above</w:t>
            </w:r>
          </w:p>
        </w:tc>
        <w:tc>
          <w:tcPr>
            <w:tcW w:w="10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Par/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 xml:space="preserve">Fair Value </w:t>
            </w:r>
            <w:r>
              <w:rPr>
                <w:rFonts w:ascii="Arial" w:cs="Arial" w:eastAsia="Arial" w:hAnsi="Arial"/>
                <w:sz w:val="22"/>
                <w:szCs w:val="22"/>
                <w:b w:val="1"/>
                <w:bCs w:val="1"/>
                <w:color w:val="auto"/>
                <w:w w:val="92"/>
                <w:vertAlign w:val="superscript"/>
              </w:rPr>
              <w:t>(2)</w:t>
            </w:r>
          </w:p>
        </w:tc>
        <w:tc>
          <w:tcPr>
            <w:tcW w:w="0" w:type="dxa"/>
            <w:vAlign w:val="bottom"/>
          </w:tcPr>
          <w:p>
            <w:pPr>
              <w:spacing w:after="0"/>
              <w:rPr>
                <w:sz w:val="1"/>
                <w:szCs w:val="1"/>
                <w:color w:val="auto"/>
              </w:rPr>
            </w:pPr>
          </w:p>
        </w:tc>
      </w:tr>
      <w:tr>
        <w:trPr>
          <w:trHeight w:val="176"/>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106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99"/>
              </w:rPr>
              <w:t>Maturity</w:t>
            </w:r>
          </w:p>
        </w:tc>
        <w:tc>
          <w:tcPr>
            <w:tcW w:w="1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Industry</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Coupon</w:t>
            </w:r>
          </w:p>
        </w:tc>
        <w:tc>
          <w:tcPr>
            <w:tcW w:w="100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89"/>
              </w:rPr>
              <w:t xml:space="preserve">Index </w:t>
            </w:r>
            <w:r>
              <w:rPr>
                <w:rFonts w:ascii="Arial" w:cs="Arial" w:eastAsia="Arial" w:hAnsi="Arial"/>
                <w:sz w:val="20"/>
                <w:szCs w:val="20"/>
                <w:b w:val="1"/>
                <w:bCs w:val="1"/>
                <w:color w:val="auto"/>
                <w:w w:val="89"/>
                <w:vertAlign w:val="superscript"/>
              </w:rPr>
              <w:t>(1)</w:t>
            </w: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5"/>
                <w:szCs w:val="15"/>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Preferred Equity/Partnership Interests—0.1% </w:t>
            </w:r>
            <w:r>
              <w:rPr>
                <w:rFonts w:ascii="Arial" w:cs="Arial" w:eastAsia="Arial" w:hAnsi="Arial"/>
                <w:sz w:val="16"/>
                <w:szCs w:val="16"/>
                <w:b w:val="1"/>
                <w:bCs w:val="1"/>
                <w:color w:val="auto"/>
                <w:vertAlign w:val="superscript"/>
              </w:rPr>
              <w:t>(5),(10)</w:t>
            </w: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TrustHouse Services Holdings, LLC</w:t>
            </w:r>
          </w:p>
        </w:tc>
        <w:tc>
          <w:tcPr>
            <w:tcW w:w="106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17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4"/>
              </w:rPr>
              <w:t>Beverage, Food and Tobacco</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12.50%</w:t>
            </w:r>
          </w:p>
        </w:tc>
        <w:tc>
          <w:tcPr>
            <w:tcW w:w="10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158</w:t>
            </w:r>
          </w:p>
        </w:tc>
        <w:tc>
          <w:tcPr>
            <w:tcW w:w="3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95,000</w:t>
            </w:r>
          </w:p>
        </w:tc>
        <w:tc>
          <w:tcPr>
            <w:tcW w:w="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96,985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(TrustHouse Services Group, Inc.)</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1"/>
                <w:szCs w:val="11"/>
                <w:b w:val="1"/>
                <w:bCs w:val="1"/>
                <w:color w:val="auto"/>
              </w:rPr>
              <w:t xml:space="preserve">Common Equity—0.0% </w:t>
            </w:r>
            <w:r>
              <w:rPr>
                <w:rFonts w:ascii="Arial" w:cs="Arial" w:eastAsia="Arial" w:hAnsi="Arial"/>
                <w:sz w:val="17"/>
                <w:szCs w:val="17"/>
                <w:b w:val="1"/>
                <w:bCs w:val="1"/>
                <w:color w:val="auto"/>
                <w:vertAlign w:val="superscript"/>
              </w:rPr>
              <w:t>(5),(10)</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TrustHouse Services Holdings, LLC</w:t>
            </w:r>
          </w:p>
        </w:tc>
        <w:tc>
          <w:tcPr>
            <w:tcW w:w="106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17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4"/>
              </w:rPr>
              <w:t>Beverage, Food and Tobacco</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40" w:type="dxa"/>
            <w:vAlign w:val="bottom"/>
          </w:tcPr>
          <w:p>
            <w:pPr>
              <w:ind w:left="200"/>
              <w:spacing w:after="0" w:line="149" w:lineRule="exact"/>
              <w:rPr>
                <w:sz w:val="20"/>
                <w:szCs w:val="20"/>
                <w:color w:val="auto"/>
              </w:rPr>
            </w:pPr>
            <w:r>
              <w:rPr>
                <w:rFonts w:ascii="Arial" w:cs="Arial" w:eastAsia="Arial" w:hAnsi="Arial"/>
                <w:sz w:val="14"/>
                <w:szCs w:val="14"/>
                <w:color w:val="auto"/>
              </w:rPr>
              <w:t>(TrustHouse Services Group, Inc.)</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0"/>
              </w:rPr>
              <w:t>Total Investments in Non-Controlled, Non-Affiliated Portfolio Companies</w:t>
            </w: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2"/>
              </w:rPr>
              <w:t>114,829,621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110,724,241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Equivalents—7.6%</w:t>
            </w: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6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6,987,450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6,987,450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Equivalents—127.8%</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2"/>
              </w:rPr>
              <w:t>121,817,071</w:t>
            </w: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117,711,691</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in Excess of Other Assets—(27.8%)</w:t>
            </w: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(25,639,586)</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92,072,105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23926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Prime and its coupon is subject to a LIBOR or Prime rate floor.</w:t>
      </w:r>
    </w:p>
    <w:p>
      <w:pPr>
        <w:spacing w:after="0" w:line="22"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100" w:hanging="332"/>
        <w:spacing w:after="0" w:line="258" w:lineRule="auto"/>
        <w:tabs>
          <w:tab w:leader="none" w:pos="3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right="60" w:hanging="332"/>
        <w:spacing w:after="0" w:line="221"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Coupon is payable in cash and/or through payment-in-kind, or PIK.</w:t>
      </w:r>
    </w:p>
    <w:p>
      <w:pPr>
        <w:ind w:left="340" w:hanging="332"/>
        <w:spacing w:after="0" w:line="221"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line="221"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3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39"/>
        <w:spacing w:after="0"/>
        <w:rPr>
          <w:sz w:val="20"/>
          <w:szCs w:val="20"/>
          <w:color w:val="auto"/>
        </w:rPr>
      </w:pPr>
      <w:r>
        <w:rPr>
          <w:rFonts w:ascii="Arial" w:cs="Arial" w:eastAsia="Arial" w:hAnsi="Arial"/>
          <w:sz w:val="14"/>
          <w:szCs w:val="14"/>
          <w:b w:val="1"/>
          <w:bCs w:val="1"/>
          <w:color w:val="auto"/>
        </w:rPr>
        <w:t>SEPTEMBER 30, 2012</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25" w:lineRule="exact"/>
        <w:rPr>
          <w:sz w:val="20"/>
          <w:szCs w:val="20"/>
          <w:color w:val="auto"/>
        </w:rPr>
      </w:pPr>
    </w:p>
    <w:p>
      <w:pPr>
        <w:ind w:right="80" w:firstLine="799"/>
        <w:spacing w:after="0" w:line="239"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business development company, or BDC, under the 1940 Act.</w:t>
      </w:r>
    </w:p>
    <w:p>
      <w:pPr>
        <w:spacing w:after="0" w:line="112"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Our investment objectives are to generate current income and capital appreciation. We seek to achieve our investment objective by investing primarily in Floating Rate Loans and other instruments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second-lien, high yield, mezzanine and distressed debt securities and, to a lesser extent, equity investments.</w:t>
      </w:r>
    </w:p>
    <w:p>
      <w:pPr>
        <w:spacing w:after="0" w:line="95" w:lineRule="exact"/>
        <w:rPr>
          <w:sz w:val="20"/>
          <w:szCs w:val="20"/>
          <w:color w:val="auto"/>
        </w:rPr>
      </w:pPr>
    </w:p>
    <w:p>
      <w:pPr>
        <w:jc w:val="both"/>
        <w:ind w:right="160" w:firstLine="456"/>
        <w:spacing w:after="0" w:line="278" w:lineRule="auto"/>
        <w:rPr>
          <w:sz w:val="20"/>
          <w:szCs w:val="20"/>
          <w:color w:val="auto"/>
        </w:rPr>
      </w:pPr>
      <w:r>
        <w:rPr>
          <w:rFonts w:ascii="Arial" w:cs="Arial" w:eastAsia="Arial" w:hAnsi="Arial"/>
          <w:sz w:val="12"/>
          <w:szCs w:val="12"/>
          <w:color w:val="auto"/>
        </w:rPr>
        <w:t>In April 2011, we closed our initial public offering and our common stock trades on the NASDAQ Global Select Market under the symbol “PFLT.” Also in April 2011, we issued 6,700,000 shares of common stock, and in May 2011, the underwriters exercised their overallotment option and purchased an additional 150,000 shares of common stock, resulting in total gross proceeds of $102.8 million. After deducting the underwriters’ discount, or the sales load, of $5.1 million, we received net proceeds of $97.7 million from our initial public offering. The underwriters agreed to reimburse, and have paid us, $0.4 million of the estimated $1.0 million of offering expenses. In March 2011, we sold 667 shares of common stock for $10,000 ($15.00 per share) to the Investment Adviser.</w:t>
      </w:r>
    </w:p>
    <w:p>
      <w:pPr>
        <w:spacing w:after="0" w:line="90" w:lineRule="exact"/>
        <w:rPr>
          <w:sz w:val="20"/>
          <w:szCs w:val="20"/>
          <w:color w:val="auto"/>
        </w:rPr>
      </w:pPr>
    </w:p>
    <w:p>
      <w:pPr>
        <w:ind w:right="220" w:firstLine="456"/>
        <w:spacing w:after="0" w:line="318" w:lineRule="auto"/>
        <w:rPr>
          <w:sz w:val="20"/>
          <w:szCs w:val="20"/>
          <w:color w:val="auto"/>
        </w:rPr>
      </w:pPr>
      <w:r>
        <w:rPr>
          <w:rFonts w:ascii="Arial" w:cs="Arial" w:eastAsia="Arial" w:hAnsi="Arial"/>
          <w:sz w:val="12"/>
          <w:szCs w:val="12"/>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66" w:lineRule="exact"/>
        <w:rPr>
          <w:sz w:val="20"/>
          <w:szCs w:val="20"/>
          <w:color w:val="auto"/>
        </w:rPr>
      </w:pPr>
    </w:p>
    <w:p>
      <w:pPr>
        <w:jc w:val="both"/>
        <w:ind w:right="380" w:firstLine="456"/>
        <w:spacing w:after="0" w:line="278" w:lineRule="auto"/>
        <w:rPr>
          <w:sz w:val="20"/>
          <w:szCs w:val="20"/>
          <w:color w:val="auto"/>
        </w:rPr>
      </w:pPr>
      <w:r>
        <w:rPr>
          <w:rFonts w:ascii="Arial" w:cs="Arial" w:eastAsia="Arial" w:hAnsi="Arial"/>
          <w:sz w:val="12"/>
          <w:szCs w:val="12"/>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LIBOR plus 225 basis points during the revolving period. The Credit Facility is secured by all of the assets held by Funding I. See Note 10.</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25" w:lineRule="exact"/>
        <w:rPr>
          <w:sz w:val="20"/>
          <w:szCs w:val="20"/>
          <w:color w:val="auto"/>
        </w:rPr>
      </w:pPr>
    </w:p>
    <w:p>
      <w:pPr>
        <w:ind w:right="60" w:firstLine="799"/>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 We have reclassified certain prior period amounts to conform to the current period presentation.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13"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23"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96"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25" w:lineRule="exact"/>
        <w:rPr>
          <w:sz w:val="20"/>
          <w:szCs w:val="20"/>
          <w:color w:val="auto"/>
        </w:rPr>
      </w:pPr>
    </w:p>
    <w:p>
      <w:pPr>
        <w:ind w:left="800" w:right="220" w:hanging="454"/>
        <w:spacing w:after="0" w:line="239" w:lineRule="auto"/>
        <w:tabs>
          <w:tab w:leader="none" w:pos="8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25" w:lineRule="exact"/>
        <w:rPr>
          <w:rFonts w:ascii="Arial" w:cs="Arial" w:eastAsia="Arial" w:hAnsi="Arial"/>
          <w:sz w:val="14"/>
          <w:szCs w:val="14"/>
          <w:color w:val="auto"/>
        </w:rPr>
      </w:pPr>
    </w:p>
    <w:p>
      <w:pPr>
        <w:ind w:left="800" w:hanging="454"/>
        <w:spacing w:after="0"/>
        <w:tabs>
          <w:tab w:leader="none" w:pos="8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800" w:right="20" w:hanging="454"/>
        <w:spacing w:after="0" w:line="233" w:lineRule="auto"/>
        <w:tabs>
          <w:tab w:leader="none" w:pos="8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25" w:lineRule="exact"/>
        <w:rPr>
          <w:rFonts w:ascii="Arial" w:cs="Arial" w:eastAsia="Arial" w:hAnsi="Arial"/>
          <w:sz w:val="14"/>
          <w:szCs w:val="14"/>
          <w:color w:val="auto"/>
        </w:rPr>
      </w:pPr>
    </w:p>
    <w:p>
      <w:pPr>
        <w:ind w:left="800" w:right="460" w:hanging="454"/>
        <w:spacing w:after="0" w:line="239" w:lineRule="auto"/>
        <w:tabs>
          <w:tab w:leader="none" w:pos="8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125" w:lineRule="exact"/>
        <w:rPr>
          <w:rFonts w:ascii="Arial" w:cs="Arial" w:eastAsia="Arial" w:hAnsi="Arial"/>
          <w:sz w:val="14"/>
          <w:szCs w:val="14"/>
          <w:color w:val="auto"/>
        </w:rPr>
      </w:pPr>
    </w:p>
    <w:p>
      <w:pPr>
        <w:ind w:left="800" w:right="460" w:hanging="454"/>
        <w:spacing w:after="0" w:line="239" w:lineRule="auto"/>
        <w:tabs>
          <w:tab w:leader="none" w:pos="8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11" w:lineRule="exact"/>
        <w:rPr>
          <w:rFonts w:ascii="Arial" w:cs="Arial" w:eastAsia="Arial" w:hAnsi="Arial"/>
          <w:sz w:val="14"/>
          <w:szCs w:val="14"/>
          <w:color w:val="auto"/>
        </w:rPr>
      </w:pPr>
    </w:p>
    <w:p>
      <w:pPr>
        <w:ind w:left="540" w:hanging="190"/>
        <w:spacing w:after="0"/>
        <w:tabs>
          <w:tab w:leader="none" w:pos="540" w:val="left"/>
        </w:tabs>
        <w:numPr>
          <w:ilvl w:val="1"/>
          <w:numId w:val="7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Realized/Unrealized Gains or Losses</w:t>
      </w:r>
    </w:p>
    <w:p>
      <w:pPr>
        <w:spacing w:after="0" w:line="123" w:lineRule="exact"/>
        <w:rPr>
          <w:sz w:val="20"/>
          <w:szCs w:val="20"/>
          <w:color w:val="auto"/>
        </w:rPr>
      </w:pPr>
    </w:p>
    <w:p>
      <w:pPr>
        <w:ind w:right="100" w:firstLine="456"/>
        <w:spacing w:after="0" w:line="230"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our portfolio investments and Credit Facility values during the reporting period, including any reversal of previously recorded unrealized appreciation or depreciation, when gains or losses are realized.</w:t>
      </w:r>
    </w:p>
    <w:p>
      <w:pPr>
        <w:spacing w:after="0" w:line="112"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93"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23" w:lineRule="exact"/>
        <w:rPr>
          <w:sz w:val="20"/>
          <w:szCs w:val="20"/>
          <w:color w:val="auto"/>
        </w:rPr>
      </w:pPr>
    </w:p>
    <w:p>
      <w:pPr>
        <w:ind w:right="40" w:firstLine="456"/>
        <w:spacing w:after="0" w:line="268" w:lineRule="auto"/>
        <w:rPr>
          <w:sz w:val="20"/>
          <w:szCs w:val="20"/>
          <w:color w:val="auto"/>
        </w:rPr>
      </w:pPr>
      <w:r>
        <w:rPr>
          <w:rFonts w:ascii="Arial" w:cs="Arial" w:eastAsia="Arial" w:hAnsi="Arial"/>
          <w:sz w:val="12"/>
          <w:szCs w:val="12"/>
          <w:color w:val="auto"/>
        </w:rPr>
        <w:t>Since March 2011, PennantPark Floating Rate Capital Ltd. has complied with the requirements of Subchapter M of the Internal Revenue Code of 1986, as amended, or the Code, and has elected to be treated as a regulated investment company, or RIC. As a result, PennantPark Floating Rate Capital Ltd. accounts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election to be subject to tax as a RIC, we do not anticipate paying any material level of federal income taxes in the future. We recognize in our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expect to file federal and state tax returns, our major tax jurisdiction is federal. Our tax return for our federal tax year 2011 remain subject to examination by the Internal Revenue Service.</w:t>
      </w:r>
    </w:p>
    <w:p>
      <w:pPr>
        <w:spacing w:after="0" w:line="96"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1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(d) Dividends, Distributions, and Capital Transactions</w:t>
      </w:r>
    </w:p>
    <w:p>
      <w:pPr>
        <w:spacing w:after="0" w:line="123"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Dividends and distributions to common stockholders are recorded on the ex-dividend date. The amount, if any, to be paid as a dividend or distribution is determined by the board of directors each month and is generally based upon the earnings estimated by management. Net realized capital gains, if any, are distributed at least annually.</w:t>
      </w:r>
    </w:p>
    <w:p>
      <w:pPr>
        <w:spacing w:after="0" w:line="112"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1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(e) Consolidation</w:t>
      </w:r>
    </w:p>
    <w:p>
      <w:pPr>
        <w:spacing w:after="0" w:line="123"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As permitted under Regulation S-X and the American Institute of Certified Public Accountants Audit and Accounting Guide for Investment Companies,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1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(f) Asset Transfers and Servicing</w:t>
      </w:r>
    </w:p>
    <w:p>
      <w:pPr>
        <w:spacing w:after="0" w:line="123" w:lineRule="exact"/>
        <w:rPr>
          <w:sz w:val="20"/>
          <w:szCs w:val="20"/>
          <w:color w:val="auto"/>
        </w:rPr>
      </w:pPr>
    </w:p>
    <w:p>
      <w:pPr>
        <w:ind w:right="180" w:firstLine="456"/>
        <w:spacing w:after="0" w:line="318" w:lineRule="auto"/>
        <w:rPr>
          <w:sz w:val="20"/>
          <w:szCs w:val="20"/>
          <w:color w:val="auto"/>
        </w:rPr>
      </w:pPr>
      <w:r>
        <w:rPr>
          <w:rFonts w:ascii="Arial" w:cs="Arial" w:eastAsia="Arial" w:hAnsi="Arial"/>
          <w:sz w:val="12"/>
          <w:szCs w:val="12"/>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any its assets and are not intended to be available to the creditors of PennantPark Floating Rate Capital Ltd. (or any affiliate of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25"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Investment Management Agreement with the Investment Adviser was approved by our board of directors, including a majority of our independent directors, in March 2011. Under this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all management fees owing with respect to such services are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3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39"/>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The base management fee is calculated at an annual rate of 1.00% of our gross assets (net of U.S. Treasury Bills, temporary draws under any Credit Facility, repurchase agreements or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fees for any partial month or quarter are appropriately pro-rated. For the fiscal year ended September 30, 2012, and for the period March 4, 2011 (commencement of operations) to September 30, 2011, the Investment Adviser earned base management fees of $1.5 million and $0.4 million, respectively, from 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23" w:lineRule="exact"/>
        <w:rPr>
          <w:sz w:val="20"/>
          <w:szCs w:val="20"/>
          <w:color w:val="auto"/>
        </w:rPr>
      </w:pPr>
    </w:p>
    <w:p>
      <w:pPr>
        <w:ind w:right="20" w:firstLine="456"/>
        <w:spacing w:after="0" w:line="263"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The performance based incentive fee on net investment income due to our Investment Adviser as calculated under the Investment Management Agreement (as described above) for the year ended September 30, 2012 resulted in an accrual of $0.3 million. For the period March 4, 2011 (commencement of operations) to September 30, 2011, the Investment Adviser earned no performance based incentive fee on net investment income from us.</w:t>
      </w:r>
    </w:p>
    <w:p>
      <w:pPr>
        <w:spacing w:after="0" w:line="101"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from our inception. The performance-based incentive fee on capital gains due to our Investment Adviser as calculated under the Investment Management Agreement (as described above) for the year ended September 30, 2012, and for the period March 4, 2011 (commencement of operations) to September 30, 2011, resulted in no accruals.</w:t>
      </w:r>
    </w:p>
    <w:p>
      <w:pPr>
        <w:spacing w:after="0" w:line="113"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our unrealized and realized capital gains due to our Investment Adviser for the year ended September 30, 2012 resulted in an accrual of $0.3 million. For the period March 4, 2011 (commencement of operations) to September 30, 2011, our unrealized and realized capital gains did not exceed our cumulative realized and unrealized losses and resulted in no accrual under GAAP.</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F-16</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entered into the Administration Agreement with the Administrator which was approved by our board of directors, including a majority of the independent directors, in March 2011. Under this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year ended September 30, 2012, the Investment Adviser and Administrator, collectively, were reimbursed approximately $0.2 million, from us, including expenses incurred by the Investment Adviser on behalf of the Administrator, for the services described above. For the period March 4, 2011 (commencement of operations) to September 30, 2011, the Investment Adviser and Administrator, collectively, were reimbursed approximately $0.1 million from us, including expenses it incurred on behalf of the Administrator, for services described above.</w:t>
      </w:r>
    </w:p>
    <w:p>
      <w:pPr>
        <w:spacing w:after="0" w:line="100" w:lineRule="exact"/>
        <w:rPr>
          <w:sz w:val="20"/>
          <w:szCs w:val="20"/>
          <w:color w:val="auto"/>
        </w:rPr>
      </w:pPr>
    </w:p>
    <w:p>
      <w:pPr>
        <w:ind w:right="100" w:firstLine="456"/>
        <w:spacing w:after="0" w:line="266"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In connection with the sales load paid by the Investment Adviser more fully described above and based on actual returns as of September 30, 2012, as well as the likelihood of future activity that may generate additional returns, management determined that the 7.0% return on Pre-Incentive Fee Net Investment Income for four consecutive calendar quarter periods was probable. Accordingly, we recorded a liability for this $2.1 million of accrued sales load charges. Management continues to assess performance to determine whether the 7.0% return on Pre-Incentive Fee Net Investment Income will continue to be probable.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25" w:lineRule="exact"/>
        <w:rPr>
          <w:sz w:val="20"/>
          <w:szCs w:val="20"/>
          <w:color w:val="auto"/>
        </w:rPr>
      </w:pPr>
    </w:p>
    <w:p>
      <w:pPr>
        <w:ind w:right="120" w:firstLine="1141"/>
        <w:spacing w:after="0" w:line="233" w:lineRule="auto"/>
        <w:rPr>
          <w:sz w:val="20"/>
          <w:szCs w:val="20"/>
          <w:color w:val="auto"/>
        </w:rPr>
      </w:pPr>
      <w:r>
        <w:rPr>
          <w:rFonts w:ascii="Arial" w:cs="Arial" w:eastAsia="Arial" w:hAnsi="Arial"/>
          <w:sz w:val="14"/>
          <w:szCs w:val="14"/>
          <w:color w:val="auto"/>
        </w:rPr>
        <w:t>Purchases of long-term investments, including PIK, for the year ended September 30, 2012 totaled $128.8 million. Sales and repayments of long-term investments for the year ended September 30, 2012 totaled $71.5 million. Purchases of long-term investments, including PIK, for the period March 4, 2011 (commencement of operations) to September 30, 2011, totaled $147.5 million. Sales and repayments for the same period totaled $33.2 million.</w:t>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980" w:type="dxa"/>
            <w:vAlign w:val="bottom"/>
          </w:tcPr>
          <w:p>
            <w:pPr>
              <w:ind w:left="660"/>
              <w:spacing w:after="0"/>
              <w:rPr>
                <w:sz w:val="20"/>
                <w:szCs w:val="20"/>
                <w:color w:val="auto"/>
              </w:rPr>
            </w:pPr>
            <w:r>
              <w:rPr>
                <w:rFonts w:ascii="Arial" w:cs="Arial" w:eastAsia="Arial" w:hAnsi="Arial"/>
                <w:sz w:val="14"/>
                <w:szCs w:val="14"/>
                <w:color w:val="auto"/>
                <w:w w:val="87"/>
              </w:rPr>
              <w:t>Investments and cash equivalents consisted of the following:</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right"/>
              <w:ind w:right="732"/>
              <w:spacing w:after="0"/>
              <w:rPr>
                <w:sz w:val="20"/>
                <w:szCs w:val="20"/>
                <w:color w:val="auto"/>
              </w:rPr>
            </w:pPr>
            <w:r>
              <w:rPr>
                <w:rFonts w:ascii="Arial" w:cs="Arial" w:eastAsia="Arial" w:hAnsi="Arial"/>
                <w:sz w:val="14"/>
                <w:szCs w:val="14"/>
                <w:b w:val="1"/>
                <w:bCs w:val="1"/>
                <w:color w:val="auto"/>
              </w:rPr>
              <w:t>September 30, 2012</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42"/>
        </w:trPr>
        <w:tc>
          <w:tcPr>
            <w:tcW w:w="40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Cost</w:t>
            </w: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8"/>
              </w:rPr>
              <w:t>Fair Value</w:t>
            </w:r>
          </w:p>
        </w:tc>
        <w:tc>
          <w:tcPr>
            <w:tcW w:w="6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Cost</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3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w w:val="82"/>
              </w:rPr>
              <w:t>150,258,038</w:t>
            </w:r>
          </w:p>
        </w:tc>
        <w:tc>
          <w:tcPr>
            <w:tcW w:w="3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150,209,747</w:t>
            </w:r>
          </w:p>
        </w:tc>
        <w:tc>
          <w:tcPr>
            <w:tcW w:w="6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94,975,314</w:t>
            </w:r>
          </w:p>
        </w:tc>
        <w:tc>
          <w:tcPr>
            <w:tcW w:w="6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91,363,126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Second lien</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11,608,643</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12,025,500</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12,379,445</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12,255,000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9,194,181</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8,296,719</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7,374,862</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7,004,130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Preferred and common equity</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517,147</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1,302,434</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101,985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171,578,009</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171,834,400</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114,829,621</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110,724,241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Cash equivalents</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3,845,803</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3,845,803</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6,987,450</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6,987,450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 and cash equivalents</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175,423,812</w:t>
            </w:r>
          </w:p>
        </w:tc>
        <w:tc>
          <w:tcPr>
            <w:tcW w:w="4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175,680,203</w:t>
            </w:r>
          </w:p>
        </w:tc>
        <w:tc>
          <w:tcPr>
            <w:tcW w:w="84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121,817,071</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117,711,691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F-17</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67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67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679"/>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table below describes investments by industry classification and enumerates the percentage, by fair value, of the total portfolio assets (excluding cash equivalents) in such industries as of</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September 30:</w:t>
      </w:r>
    </w:p>
    <w:p>
      <w:pPr>
        <w:spacing w:after="0" w:line="123"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 Classification</w:t>
            </w:r>
          </w:p>
        </w:tc>
        <w:tc>
          <w:tcPr>
            <w:tcW w:w="2360" w:type="dxa"/>
            <w:vAlign w:val="bottom"/>
            <w:tcBorders>
              <w:bottom w:val="single" w:sz="8" w:color="auto"/>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10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5"/>
                <w:szCs w:val="15"/>
                <w:color w:val="auto"/>
              </w:rPr>
            </w:pPr>
          </w:p>
        </w:tc>
      </w:tr>
      <w:tr>
        <w:trPr>
          <w:trHeight w:val="142"/>
        </w:trPr>
        <w:tc>
          <w:tcPr>
            <w:tcW w:w="3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High Tech Industries</w:t>
            </w:r>
          </w:p>
        </w:tc>
        <w:tc>
          <w:tcPr>
            <w:tcW w:w="2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right"/>
              <w:ind w:right="960"/>
              <w:spacing w:after="0" w:line="142" w:lineRule="exact"/>
              <w:rPr>
                <w:sz w:val="20"/>
                <w:szCs w:val="20"/>
                <w:color w:val="auto"/>
              </w:rPr>
            </w:pPr>
            <w:r>
              <w:rPr>
                <w:rFonts w:ascii="Arial" w:cs="Arial" w:eastAsia="Arial" w:hAnsi="Arial"/>
                <w:sz w:val="14"/>
                <w:szCs w:val="14"/>
                <w:color w:val="auto"/>
              </w:rPr>
              <w:t>11%</w:t>
            </w:r>
          </w:p>
        </w:tc>
        <w:tc>
          <w:tcPr>
            <w:tcW w:w="9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w:t>
            </w: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Business Services</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Healthcare and Pharmaceuticals</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Hotel, Gaming and Leisure</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Beverage, Food and Tobacco</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Goods: Non-Durable</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Media: Diversified and Production</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 Advertising, Printing and Publishing</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Telecommunications</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Goods: Durable</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Consumer Services</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Aerospace and Defense</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Automotive</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Construction and Building</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Containers, Packaging and Glass</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Environmental Industries</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Media: Broadcasting and Subscription</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Metals and Mining</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Retail</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Wholesale</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Energy: Oil and Gas</w:t>
            </w:r>
          </w:p>
        </w:tc>
        <w:tc>
          <w:tcPr>
            <w:tcW w:w="2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80" w:type="dxa"/>
            <w:vAlign w:val="bottom"/>
            <w:gridSpan w:val="2"/>
          </w:tcPr>
          <w:p>
            <w:pPr>
              <w:jc w:val="right"/>
              <w:ind w:right="106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Other</w:t>
            </w:r>
          </w:p>
        </w:tc>
        <w:tc>
          <w:tcPr>
            <w:tcW w:w="3200" w:type="dxa"/>
            <w:vAlign w:val="bottom"/>
            <w:gridSpan w:val="2"/>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06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r>
      <w:tr>
        <w:trPr>
          <w:trHeight w:val="156"/>
        </w:trPr>
        <w:tc>
          <w:tcPr>
            <w:tcW w:w="354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3200" w:type="dxa"/>
            <w:vAlign w:val="bottom"/>
            <w:gridSpan w:val="2"/>
          </w:tcPr>
          <w:p>
            <w:pPr>
              <w:spacing w:after="0"/>
              <w:rPr>
                <w:sz w:val="13"/>
                <w:szCs w:val="13"/>
                <w:color w:val="auto"/>
              </w:rPr>
            </w:pPr>
          </w:p>
        </w:tc>
        <w:tc>
          <w:tcPr>
            <w:tcW w:w="1880" w:type="dxa"/>
            <w:vAlign w:val="bottom"/>
            <w:gridSpan w:val="2"/>
          </w:tcPr>
          <w:p>
            <w:pPr>
              <w:jc w:val="right"/>
              <w:ind w:right="960"/>
              <w:spacing w:after="0" w:line="155" w:lineRule="exact"/>
              <w:rPr>
                <w:sz w:val="20"/>
                <w:szCs w:val="20"/>
                <w:color w:val="auto"/>
              </w:rPr>
            </w:pPr>
            <w:r>
              <w:rPr>
                <w:rFonts w:ascii="Arial" w:cs="Arial" w:eastAsia="Arial" w:hAnsi="Arial"/>
                <w:sz w:val="14"/>
                <w:szCs w:val="14"/>
                <w:color w:val="auto"/>
              </w:rPr>
              <w:t>100%</w:t>
            </w: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100%</w:t>
            </w:r>
          </w:p>
        </w:tc>
      </w:tr>
      <w:tr>
        <w:trPr>
          <w:trHeight w:val="20"/>
        </w:trPr>
        <w:tc>
          <w:tcPr>
            <w:tcW w:w="3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3540" w:type="dxa"/>
            <w:vAlign w:val="bottom"/>
          </w:tcPr>
          <w:p>
            <w:pPr>
              <w:spacing w:after="0"/>
              <w:rPr>
                <w:sz w:val="24"/>
                <w:szCs w:val="24"/>
                <w:color w:val="auto"/>
              </w:rPr>
            </w:pPr>
          </w:p>
        </w:tc>
        <w:tc>
          <w:tcPr>
            <w:tcW w:w="5080" w:type="dxa"/>
            <w:vAlign w:val="bottom"/>
            <w:gridSpan w:val="4"/>
          </w:tcPr>
          <w:p>
            <w:pPr>
              <w:jc w:val="right"/>
              <w:ind w:right="3700"/>
              <w:spacing w:after="0"/>
              <w:rPr>
                <w:sz w:val="20"/>
                <w:szCs w:val="20"/>
                <w:color w:val="auto"/>
              </w:rPr>
            </w:pPr>
            <w:r>
              <w:rPr>
                <w:rFonts w:ascii="Arial" w:cs="Arial" w:eastAsia="Arial" w:hAnsi="Arial"/>
                <w:sz w:val="14"/>
                <w:szCs w:val="14"/>
                <w:color w:val="auto"/>
              </w:rPr>
              <w:t>F-18</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0740"/>
          </w:cols>
          <w:pgMar w:left="240" w:top="459" w:right="9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2012</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25"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63" w:lineRule="exact"/>
        <w:rPr>
          <w:sz w:val="20"/>
          <w:szCs w:val="20"/>
          <w:color w:val="auto"/>
        </w:rPr>
      </w:pPr>
    </w:p>
    <w:p>
      <w:pPr>
        <w:ind w:left="1420" w:right="620" w:hanging="944"/>
        <w:spacing w:after="0" w:line="318" w:lineRule="auto"/>
        <w:tabs>
          <w:tab w:leader="none" w:pos="140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07"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23" w:lineRule="exact"/>
        <w:rPr>
          <w:sz w:val="20"/>
          <w:szCs w:val="20"/>
          <w:color w:val="auto"/>
        </w:rPr>
      </w:pPr>
    </w:p>
    <w:p>
      <w:pPr>
        <w:jc w:val="both"/>
        <w:ind w:right="60" w:firstLine="456"/>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2"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90" w:lineRule="exact"/>
        <w:rPr>
          <w:sz w:val="20"/>
          <w:szCs w:val="20"/>
          <w:color w:val="auto"/>
        </w:rPr>
      </w:pPr>
    </w:p>
    <w:p>
      <w:pPr>
        <w:ind w:right="360" w:firstLine="456"/>
        <w:spacing w:after="0" w:line="273" w:lineRule="auto"/>
        <w:rPr>
          <w:sz w:val="20"/>
          <w:szCs w:val="20"/>
          <w:color w:val="auto"/>
        </w:rPr>
      </w:pPr>
      <w:r>
        <w:rPr>
          <w:rFonts w:ascii="Arial" w:cs="Arial" w:eastAsia="Arial" w:hAnsi="Arial"/>
          <w:sz w:val="12"/>
          <w:szCs w:val="12"/>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93"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fiscal year ended September 30, 2012 and the period March 4, 2011 (commencement of operations) to September 30, 2011, our ability to observe valuation inputs has resulted in no reclassification of assets amongst Levels 1, 2 and 3.</w:t>
      </w:r>
    </w:p>
    <w:p>
      <w:pPr>
        <w:spacing w:after="0" w:line="112" w:lineRule="exact"/>
        <w:rPr>
          <w:sz w:val="20"/>
          <w:szCs w:val="20"/>
          <w:color w:val="auto"/>
        </w:rPr>
      </w:pPr>
    </w:p>
    <w:p>
      <w:pPr>
        <w:ind w:right="160" w:firstLine="456"/>
        <w:spacing w:after="0" w:line="318" w:lineRule="auto"/>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66"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In May 2011, the FASB issued Accounting Standards Update No. 2011-04, “Fair Value Measurement: Amendments to Achieve Common Fair Value Measurement and Disclosure Requirements in U.S. GAAP and IFRS”. ASU 2011-04 was effective for interim and annual periods after December 15, 2011. The Company adopted ASU 2011-04 on December 31, 2011. In accordance with ASU 2011-04 and as outlined in the table below,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F-19</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2"/>
          <w:szCs w:val="12"/>
          <w:color w:val="auto"/>
        </w:rPr>
        <w:t>The remainder of our portfolio, including our long-term Credit Facility, is classified and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Fair Value as of</w:t>
            </w: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Range of Input</w:t>
            </w:r>
          </w:p>
        </w:tc>
        <w:tc>
          <w:tcPr>
            <w:tcW w:w="0" w:type="dxa"/>
            <w:vAlign w:val="bottom"/>
          </w:tcPr>
          <w:p>
            <w:pPr>
              <w:spacing w:after="0"/>
              <w:rPr>
                <w:sz w:val="1"/>
                <w:szCs w:val="1"/>
                <w:color w:val="auto"/>
              </w:rPr>
            </w:pPr>
          </w:p>
        </w:tc>
      </w:tr>
      <w:tr>
        <w:trPr>
          <w:trHeight w:val="161"/>
        </w:trPr>
        <w:tc>
          <w:tcPr>
            <w:tcW w:w="41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September 30, 2012</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Valuation Technique</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Unobservable Input</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 second lien, subordinated debt/corporate notes</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155,983,312</w:t>
            </w:r>
          </w:p>
        </w:tc>
        <w:tc>
          <w:tcPr>
            <w:tcW w:w="18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Market Comparable</w:t>
            </w:r>
          </w:p>
        </w:tc>
        <w:tc>
          <w:tcPr>
            <w:tcW w:w="100" w:type="dxa"/>
            <w:vAlign w:val="bottom"/>
            <w:tcBorders>
              <w:top w:val="single" w:sz="8" w:color="CCEEFF"/>
            </w:tcBorders>
            <w:shd w:val="clear" w:color="auto" w:fill="CCEEFF"/>
          </w:tcPr>
          <w:p>
            <w:pPr>
              <w:spacing w:after="0"/>
              <w:rPr>
                <w:sz w:val="12"/>
                <w:szCs w:val="12"/>
                <w:color w:val="auto"/>
              </w:rPr>
            </w:pPr>
          </w:p>
        </w:tc>
        <w:tc>
          <w:tcPr>
            <w:tcW w:w="19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Broker/Dealer bid quotes</w:t>
            </w: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1 - 6</w:t>
            </w: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4100" w:type="dxa"/>
            <w:vAlign w:val="bottom"/>
            <w:gridSpan w:val="3"/>
          </w:tcPr>
          <w:p>
            <w:pPr>
              <w:spacing w:after="0"/>
              <w:rPr>
                <w:sz w:val="20"/>
                <w:szCs w:val="20"/>
                <w:color w:val="auto"/>
              </w:rPr>
            </w:pPr>
            <w:r>
              <w:rPr>
                <w:rFonts w:ascii="Arial" w:cs="Arial" w:eastAsia="Arial" w:hAnsi="Arial"/>
                <w:sz w:val="14"/>
                <w:szCs w:val="14"/>
                <w:color w:val="auto"/>
              </w:rPr>
              <w:t>First lien, second lien, subordinated debt/corporate notes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180"/>
              <w:spacing w:after="0"/>
              <w:rPr>
                <w:sz w:val="20"/>
                <w:szCs w:val="20"/>
                <w:color w:val="auto"/>
              </w:rPr>
            </w:pPr>
            <w:r>
              <w:rPr>
                <w:rFonts w:ascii="Arial" w:cs="Arial" w:eastAsia="Arial" w:hAnsi="Arial"/>
                <w:sz w:val="14"/>
                <w:szCs w:val="14"/>
                <w:color w:val="auto"/>
              </w:rPr>
              <w:t>11,760,650</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Market Comparable</w:t>
            </w: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Market Yield</w:t>
            </w:r>
          </w:p>
        </w:tc>
        <w:tc>
          <w:tcPr>
            <w:tcW w:w="960" w:type="dxa"/>
            <w:vAlign w:val="bottom"/>
          </w:tcPr>
          <w:p>
            <w:pPr>
              <w:jc w:val="right"/>
              <w:spacing w:after="0"/>
              <w:rPr>
                <w:sz w:val="20"/>
                <w:szCs w:val="20"/>
                <w:color w:val="auto"/>
              </w:rPr>
            </w:pPr>
            <w:r>
              <w:rPr>
                <w:rFonts w:ascii="Arial" w:cs="Arial" w:eastAsia="Arial" w:hAnsi="Arial"/>
                <w:sz w:val="14"/>
                <w:szCs w:val="14"/>
                <w:color w:val="auto"/>
              </w:rPr>
              <w:t>7.3% -15.3%</w:t>
            </w:r>
          </w:p>
        </w:tc>
        <w:tc>
          <w:tcPr>
            <w:tcW w:w="680" w:type="dxa"/>
            <w:vAlign w:val="bottom"/>
          </w:tcPr>
          <w:p>
            <w:pPr>
              <w:ind w:left="20"/>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and common equity</w:t>
            </w: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1,302,438</w:t>
            </w:r>
          </w:p>
        </w:tc>
        <w:tc>
          <w:tcPr>
            <w:tcW w:w="18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Enterprise Market Value</w:t>
            </w:r>
          </w:p>
        </w:tc>
        <w:tc>
          <w:tcPr>
            <w:tcW w:w="202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5"/>
              </w:rPr>
              <w:t>EBITDA multiple</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6.5x – 8.5x</w:t>
            </w:r>
          </w:p>
        </w:tc>
        <w:tc>
          <w:tcPr>
            <w:tcW w:w="6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(6.8x)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Total Level 3 investments</w:t>
            </w:r>
          </w:p>
        </w:tc>
        <w:tc>
          <w:tcPr>
            <w:tcW w:w="140" w:type="dxa"/>
            <w:vAlign w:val="bottom"/>
          </w:tcPr>
          <w:p>
            <w:pPr>
              <w:spacing w:after="0"/>
              <w:rPr>
                <w:sz w:val="13"/>
                <w:szCs w:val="13"/>
                <w:color w:val="auto"/>
              </w:rPr>
            </w:pPr>
          </w:p>
        </w:tc>
        <w:tc>
          <w:tcPr>
            <w:tcW w:w="15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169,046,400</w:t>
            </w: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75,122,500</w:t>
            </w:r>
          </w:p>
        </w:tc>
        <w:tc>
          <w:tcPr>
            <w:tcW w:w="194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87"/>
              </w:rPr>
              <w:t>Market Comparable</w:t>
            </w:r>
          </w:p>
        </w:tc>
        <w:tc>
          <w:tcPr>
            <w:tcW w:w="202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87"/>
              </w:rPr>
              <w:t>Discount rate</w:t>
            </w:r>
          </w:p>
        </w:tc>
        <w:tc>
          <w:tcPr>
            <w:tcW w:w="960" w:type="dxa"/>
            <w:vAlign w:val="bottom"/>
            <w:shd w:val="clear" w:color="auto" w:fill="CCEEFF"/>
          </w:tcPr>
          <w:p>
            <w:pPr>
              <w:jc w:val="center"/>
              <w:ind w:left="612"/>
              <w:spacing w:after="0" w:line="143" w:lineRule="exact"/>
              <w:rPr>
                <w:sz w:val="20"/>
                <w:szCs w:val="20"/>
                <w:color w:val="auto"/>
              </w:rPr>
            </w:pPr>
            <w:r>
              <w:rPr>
                <w:rFonts w:ascii="Arial" w:cs="Arial" w:eastAsia="Arial" w:hAnsi="Arial"/>
                <w:sz w:val="14"/>
                <w:szCs w:val="14"/>
                <w:color w:val="auto"/>
                <w:w w:val="87"/>
              </w:rPr>
              <w:t>3.1%</w:t>
            </w: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cash equivalents, investments and our long-term Credit Facility were categorized as follows in the fair value hierarchy for ASC 820 purposes.</w:t>
      </w:r>
    </w:p>
    <w:p>
      <w:pPr>
        <w:spacing w:after="0" w:line="134"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9"/>
          </w:tcPr>
          <w:p>
            <w:pPr>
              <w:jc w:val="right"/>
              <w:ind w:right="109"/>
              <w:spacing w:after="0"/>
              <w:rPr>
                <w:sz w:val="20"/>
                <w:szCs w:val="20"/>
                <w:color w:val="auto"/>
              </w:rPr>
            </w:pPr>
            <w:r>
              <w:rPr>
                <w:rFonts w:ascii="Arial" w:cs="Arial" w:eastAsia="Arial" w:hAnsi="Arial"/>
                <w:sz w:val="14"/>
                <w:szCs w:val="14"/>
                <w:b w:val="1"/>
                <w:bCs w:val="1"/>
                <w:color w:val="auto"/>
              </w:rPr>
              <w:t>Fair Value Measurements at September 30, 2012</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w w:val="98"/>
              </w:rPr>
              <w:t>Fair Value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88"/>
              </w:rPr>
              <w:t>Level 1</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88"/>
              </w:rPr>
              <w:t>Level 2</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4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150,209,747</w:t>
            </w: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150,209,747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12,025,500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12,025,500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debt/corporate notes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8,296,719</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2,788,000</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5,508,719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Preferred and common equity</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1,302,434</w:t>
            </w:r>
          </w:p>
        </w:tc>
        <w:tc>
          <w:tcPr>
            <w:tcW w:w="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1,302,434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investments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171,834,400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2,788,000</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169,046,400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Cash equivalents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3,845,803</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83"/>
              </w:rPr>
              <w:t>3,845,803</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investments and cash equivalents</w:t>
            </w:r>
          </w:p>
        </w:tc>
        <w:tc>
          <w:tcPr>
            <w:tcW w:w="2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175,680,203</w:t>
            </w:r>
          </w:p>
        </w:tc>
        <w:tc>
          <w:tcPr>
            <w:tcW w:w="4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3,845,803</w:t>
            </w:r>
          </w:p>
        </w:tc>
        <w:tc>
          <w:tcPr>
            <w:tcW w:w="4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2,788,000</w:t>
            </w:r>
          </w:p>
        </w:tc>
        <w:tc>
          <w:tcPr>
            <w:tcW w:w="48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169,046,400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80" w:type="dxa"/>
            <w:vAlign w:val="bottom"/>
            <w:gridSpan w:val="2"/>
            <w:vMerge w:val="continue"/>
          </w:tcPr>
          <w:p>
            <w:pPr>
              <w:spacing w:after="0"/>
              <w:rPr>
                <w:sz w:val="12"/>
                <w:szCs w:val="12"/>
                <w:color w:val="auto"/>
              </w:rPr>
            </w:pPr>
          </w:p>
        </w:tc>
        <w:tc>
          <w:tcPr>
            <w:tcW w:w="140" w:type="dxa"/>
            <w:vAlign w:val="bottom"/>
            <w:gridSpan w:val="2"/>
          </w:tcPr>
          <w:p>
            <w:pPr>
              <w:jc w:val="right"/>
              <w:ind w:right="57"/>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43" w:lineRule="exact"/>
              <w:rPr>
                <w:sz w:val="20"/>
                <w:szCs w:val="20"/>
                <w:color w:val="auto"/>
              </w:rPr>
            </w:pPr>
            <w:r>
              <w:rPr>
                <w:rFonts w:ascii="Arial" w:cs="Arial" w:eastAsia="Arial" w:hAnsi="Arial"/>
                <w:sz w:val="14"/>
                <w:szCs w:val="14"/>
                <w:color w:val="auto"/>
              </w:rPr>
              <w:t>75,122,500</w:t>
            </w:r>
          </w:p>
        </w:tc>
        <w:tc>
          <w:tcPr>
            <w:tcW w:w="5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9"/>
              <w:spacing w:after="0" w:line="143"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75,122,500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jc w:val="right"/>
              <w:ind w:right="129"/>
              <w:spacing w:after="0"/>
              <w:rPr>
                <w:sz w:val="20"/>
                <w:szCs w:val="20"/>
                <w:color w:val="auto"/>
              </w:rPr>
            </w:pPr>
            <w:r>
              <w:rPr>
                <w:rFonts w:ascii="Arial" w:cs="Arial" w:eastAsia="Arial" w:hAnsi="Arial"/>
                <w:sz w:val="14"/>
                <w:szCs w:val="14"/>
                <w:b w:val="1"/>
                <w:bCs w:val="1"/>
                <w:color w:val="auto"/>
                <w:w w:val="86"/>
              </w:rPr>
              <w:t>Fair Value Measurements at September 30, 2011</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Borders>
              <w:bottom w:val="single" w:sz="8" w:color="auto"/>
            </w:tcBorders>
            <w:vMerge w:val="continue"/>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98"/>
              </w:rPr>
              <w:t>Fair Value</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8"/>
              </w:rPr>
              <w:t>Level 1</w:t>
            </w: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1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91,363,126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2,033,747</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89,329,379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line="149" w:lineRule="exact"/>
              <w:rPr>
                <w:sz w:val="20"/>
                <w:szCs w:val="20"/>
                <w:color w:val="auto"/>
              </w:rPr>
            </w:pPr>
            <w:r>
              <w:rPr>
                <w:rFonts w:ascii="Arial" w:cs="Arial" w:eastAsia="Arial" w:hAnsi="Arial"/>
                <w:sz w:val="14"/>
                <w:szCs w:val="14"/>
                <w:color w:val="auto"/>
              </w:rPr>
              <w:t>Second lien</w:t>
            </w:r>
          </w:p>
        </w:tc>
        <w:tc>
          <w:tcPr>
            <w:tcW w:w="1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12,255,000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12,255,000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debt/corporate notes</w:t>
            </w:r>
          </w:p>
        </w:tc>
        <w:tc>
          <w:tcPr>
            <w:tcW w:w="1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7,004,130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1,155,000</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5,849,130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80" w:type="dxa"/>
            <w:vAlign w:val="bottom"/>
          </w:tcPr>
          <w:p>
            <w:pPr>
              <w:spacing w:after="0" w:line="149" w:lineRule="exact"/>
              <w:rPr>
                <w:sz w:val="20"/>
                <w:szCs w:val="20"/>
                <w:color w:val="auto"/>
              </w:rPr>
            </w:pPr>
            <w:r>
              <w:rPr>
                <w:rFonts w:ascii="Arial" w:cs="Arial" w:eastAsia="Arial" w:hAnsi="Arial"/>
                <w:sz w:val="14"/>
                <w:szCs w:val="14"/>
                <w:color w:val="auto"/>
              </w:rPr>
              <w:t>Preferred and common equity</w:t>
            </w: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101,985</w:t>
            </w: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101,985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investments</w:t>
            </w:r>
          </w:p>
        </w:tc>
        <w:tc>
          <w:tcPr>
            <w:tcW w:w="1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110,724,241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3,188,747</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107,535,494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80" w:type="dxa"/>
            <w:vAlign w:val="bottom"/>
          </w:tcPr>
          <w:p>
            <w:pPr>
              <w:spacing w:after="0" w:line="149" w:lineRule="exact"/>
              <w:rPr>
                <w:sz w:val="20"/>
                <w:szCs w:val="20"/>
                <w:color w:val="auto"/>
              </w:rPr>
            </w:pPr>
            <w:r>
              <w:rPr>
                <w:rFonts w:ascii="Arial" w:cs="Arial" w:eastAsia="Arial" w:hAnsi="Arial"/>
                <w:sz w:val="14"/>
                <w:szCs w:val="14"/>
                <w:color w:val="auto"/>
              </w:rPr>
              <w:t>Cash equivalents</w:t>
            </w: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6,987,450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6"/>
              </w:rPr>
              <w:t>6,987,450</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investments and cash equivalents</w:t>
            </w:r>
          </w:p>
        </w:tc>
        <w:tc>
          <w:tcPr>
            <w:tcW w:w="1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117,711,691</w:t>
            </w:r>
          </w:p>
        </w:tc>
        <w:tc>
          <w:tcPr>
            <w:tcW w:w="3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6,987,450</w:t>
            </w:r>
          </w:p>
        </w:tc>
        <w:tc>
          <w:tcPr>
            <w:tcW w:w="38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3,188,747</w:t>
            </w:r>
          </w:p>
        </w:tc>
        <w:tc>
          <w:tcPr>
            <w:tcW w:w="38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107,535,494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80" w:type="dxa"/>
            <w:vAlign w:val="bottom"/>
            <w:vMerge w:val="continue"/>
          </w:tcPr>
          <w:p>
            <w:pPr>
              <w:spacing w:after="0"/>
              <w:rPr>
                <w:sz w:val="12"/>
                <w:szCs w:val="12"/>
                <w:color w:val="auto"/>
              </w:rPr>
            </w:pPr>
          </w:p>
        </w:tc>
        <w:tc>
          <w:tcPr>
            <w:tcW w:w="2020" w:type="dxa"/>
            <w:vAlign w:val="bottom"/>
            <w:gridSpan w:val="3"/>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3" w:lineRule="exact"/>
              <w:rPr>
                <w:sz w:val="20"/>
                <w:szCs w:val="20"/>
                <w:color w:val="auto"/>
              </w:rPr>
            </w:pPr>
            <w:r>
              <w:rPr>
                <w:rFonts w:ascii="Arial" w:cs="Arial" w:eastAsia="Arial" w:hAnsi="Arial"/>
                <w:sz w:val="14"/>
                <w:szCs w:val="14"/>
                <w:color w:val="auto"/>
              </w:rPr>
              <w:t>24,650,000</w:t>
            </w:r>
          </w:p>
        </w:tc>
        <w:tc>
          <w:tcPr>
            <w:tcW w:w="4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9"/>
              <w:spacing w:after="0" w:line="143"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9"/>
              <w:spacing w:after="0" w:line="143"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24,650,000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880" w:type="dxa"/>
            <w:vAlign w:val="bottom"/>
          </w:tcPr>
          <w:p>
            <w:pPr>
              <w:spacing w:after="0"/>
              <w:rPr>
                <w:sz w:val="24"/>
                <w:szCs w:val="24"/>
                <w:color w:val="auto"/>
              </w:rPr>
            </w:pPr>
          </w:p>
        </w:tc>
        <w:tc>
          <w:tcPr>
            <w:tcW w:w="2020" w:type="dxa"/>
            <w:vAlign w:val="bottom"/>
            <w:gridSpan w:val="3"/>
          </w:tcPr>
          <w:p>
            <w:pPr>
              <w:jc w:val="right"/>
              <w:ind w:right="369"/>
              <w:spacing w:after="0"/>
              <w:rPr>
                <w:sz w:val="20"/>
                <w:szCs w:val="20"/>
                <w:color w:val="auto"/>
              </w:rPr>
            </w:pPr>
            <w:r>
              <w:rPr>
                <w:rFonts w:ascii="Arial" w:cs="Arial" w:eastAsia="Arial" w:hAnsi="Arial"/>
                <w:sz w:val="14"/>
                <w:szCs w:val="14"/>
                <w:color w:val="auto"/>
              </w:rPr>
              <w:t>F-20</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tables show a reconciliation of the beginning and ending balances for fair valued investments measured using significant unobservable inputs (Level 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85"/>
              </w:rPr>
              <w:t>Year Ended September 30, 2012</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2"/>
              </w:rPr>
              <w:t>Second lien,</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gridSpan w:val="2"/>
          </w:tcPr>
          <w:p>
            <w:pPr>
              <w:jc w:val="center"/>
              <w:ind w:right="740"/>
              <w:spacing w:after="0" w:line="135" w:lineRule="exact"/>
              <w:rPr>
                <w:sz w:val="20"/>
                <w:szCs w:val="20"/>
                <w:color w:val="auto"/>
              </w:rPr>
            </w:pPr>
            <w:r>
              <w:rPr>
                <w:rFonts w:ascii="Arial" w:cs="Arial" w:eastAsia="Arial" w:hAnsi="Arial"/>
                <w:sz w:val="14"/>
                <w:szCs w:val="14"/>
                <w:b w:val="1"/>
                <w:bCs w:val="1"/>
                <w:color w:val="auto"/>
                <w:w w:val="85"/>
              </w:rPr>
              <w:t>subordinated debt</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7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5"/>
                <w:szCs w:val="15"/>
                <w:color w:val="auto"/>
              </w:rPr>
            </w:pPr>
          </w:p>
        </w:tc>
        <w:tc>
          <w:tcPr>
            <w:tcW w:w="10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8"/>
              </w:rPr>
              <w:t>First Lien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gridSpan w:val="4"/>
          </w:tcPr>
          <w:p>
            <w:pPr>
              <w:jc w:val="center"/>
              <w:ind w:right="420"/>
              <w:spacing w:after="0" w:line="176" w:lineRule="exact"/>
              <w:rPr>
                <w:sz w:val="20"/>
                <w:szCs w:val="20"/>
                <w:color w:val="auto"/>
              </w:rPr>
            </w:pPr>
            <w:r>
              <w:rPr>
                <w:rFonts w:ascii="Arial" w:cs="Arial" w:eastAsia="Arial" w:hAnsi="Arial"/>
                <w:sz w:val="13"/>
                <w:szCs w:val="13"/>
                <w:b w:val="1"/>
                <w:bCs w:val="1"/>
                <w:color w:val="auto"/>
                <w:w w:val="90"/>
              </w:rPr>
              <w:t xml:space="preserve">and equity investments </w:t>
            </w:r>
            <w:r>
              <w:rPr>
                <w:rFonts w:ascii="Arial" w:cs="Arial" w:eastAsia="Arial" w:hAnsi="Arial"/>
                <w:sz w:val="20"/>
                <w:szCs w:val="20"/>
                <w:b w:val="1"/>
                <w:bCs w:val="1"/>
                <w:color w:val="auto"/>
                <w:w w:val="90"/>
                <w:vertAlign w:val="superscript"/>
              </w:rPr>
              <w:t>(1)</w:t>
            </w:r>
          </w:p>
        </w:tc>
        <w:tc>
          <w:tcPr>
            <w:tcW w:w="20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 September 30, 2011</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89,329,379</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18,206,115</w:t>
            </w:r>
          </w:p>
        </w:tc>
        <w:tc>
          <w:tcPr>
            <w:tcW w:w="3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107,535,494</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Realized gains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630,647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278,832</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909,479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appreciation</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3,543,311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1,422,002</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4,965,313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Purchases, PIK and net discount accretion</w:t>
            </w:r>
          </w:p>
        </w:tc>
        <w:tc>
          <w:tcPr>
            <w:tcW w:w="14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114,967,516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7,945,929</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122,913,445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 repayments / exchanges</w:t>
            </w:r>
          </w:p>
        </w:tc>
        <w:tc>
          <w:tcPr>
            <w:tcW w:w="140" w:type="dxa"/>
            <w:vAlign w:val="bottom"/>
            <w:shd w:val="clear" w:color="auto" w:fill="CCEEFF"/>
          </w:tcPr>
          <w:p>
            <w:pPr>
              <w:spacing w:after="0"/>
              <w:rPr>
                <w:sz w:val="12"/>
                <w:szCs w:val="12"/>
                <w:color w:val="auto"/>
              </w:rPr>
            </w:pPr>
          </w:p>
        </w:tc>
        <w:tc>
          <w:tcPr>
            <w:tcW w:w="102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(58,261,106)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(9,016,225)</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(67,277,331)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September 30, 2012</w:t>
            </w: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150,209,747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18,836,653</w:t>
            </w:r>
          </w:p>
        </w:tc>
        <w:tc>
          <w:tcPr>
            <w:tcW w:w="30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169,046,400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20" w:type="dxa"/>
            <w:vAlign w:val="bottom"/>
            <w:gridSpan w:val="3"/>
            <w:vMerge w:val="restart"/>
          </w:tcPr>
          <w:p>
            <w:pPr>
              <w:spacing w:after="0"/>
              <w:rPr>
                <w:sz w:val="20"/>
                <w:szCs w:val="20"/>
                <w:color w:val="auto"/>
              </w:rPr>
            </w:pPr>
            <w:r>
              <w:rPr>
                <w:rFonts w:ascii="Arial" w:cs="Arial" w:eastAsia="Arial" w:hAnsi="Arial"/>
                <w:sz w:val="14"/>
                <w:szCs w:val="14"/>
                <w:color w:val="auto"/>
                <w:w w:val="97"/>
              </w:rPr>
              <w:t>Net change in unrealized appreciation for the year ended September 30, 2012 reported within the net change in</w:t>
            </w: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7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4"/>
              </w:rPr>
              <w:t>unrealized appreciation on investments in our Consolidated Statement of Operations attributable to our Level 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7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assets still held at the reporting date.</w:t>
            </w: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3"/>
              </w:rPr>
              <w:t>4,140,166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gridSpan w:val="2"/>
          </w:tcPr>
          <w:p>
            <w:pPr>
              <w:jc w:val="right"/>
              <w:ind w:right="40"/>
              <w:spacing w:after="0" w:line="159" w:lineRule="exact"/>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1,424,404</w:t>
            </w:r>
          </w:p>
        </w:tc>
        <w:tc>
          <w:tcPr>
            <w:tcW w:w="300" w:type="dxa"/>
            <w:vAlign w:val="bottom"/>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5,564,570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60" w:type="dxa"/>
            <w:vAlign w:val="bottom"/>
            <w:gridSpan w:val="12"/>
          </w:tcPr>
          <w:p>
            <w:pPr>
              <w:jc w:val="right"/>
              <w:ind w:right="400"/>
              <w:spacing w:after="0"/>
              <w:rPr>
                <w:sz w:val="20"/>
                <w:szCs w:val="20"/>
                <w:color w:val="auto"/>
              </w:rPr>
            </w:pPr>
            <w:r>
              <w:rPr>
                <w:rFonts w:ascii="Arial" w:cs="Arial" w:eastAsia="Arial" w:hAnsi="Arial"/>
                <w:sz w:val="14"/>
                <w:szCs w:val="14"/>
                <w:b w:val="1"/>
                <w:bCs w:val="1"/>
                <w:color w:val="auto"/>
                <w:w w:val="91"/>
              </w:rPr>
              <w:t>For the period March 4, 2011 (commencement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September 30, 2011</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4"/>
              </w:rPr>
              <w:t>Second lien, subordinated</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debt</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7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and equity investments</w:t>
            </w:r>
          </w:p>
        </w:tc>
        <w:tc>
          <w:tcPr>
            <w:tcW w:w="20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Beginning Balance, March 4, 2011</w:t>
            </w:r>
          </w:p>
        </w:tc>
        <w:tc>
          <w:tcPr>
            <w:tcW w:w="1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Realized gains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218,684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93,319</w:t>
            </w: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312,003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appreciation</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(3,591,606)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(123,301)</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(3,714,907)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Purchases, PIK and net discount accretion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121,246,206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22,766,732</w:t>
            </w: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144,012,938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 repayments</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(28,543,905)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(4,530,635)</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(33,074,540)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September 30, 2011</w:t>
            </w:r>
          </w:p>
        </w:tc>
        <w:tc>
          <w:tcPr>
            <w:tcW w:w="14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89,329,379</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18,206,115</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107,535,494</w:t>
            </w:r>
          </w:p>
        </w:tc>
        <w:tc>
          <w:tcPr>
            <w:tcW w:w="0" w:type="dxa"/>
            <w:vAlign w:val="bottom"/>
          </w:tcPr>
          <w:p>
            <w:pPr>
              <w:spacing w:after="0"/>
              <w:rPr>
                <w:sz w:val="1"/>
                <w:szCs w:val="1"/>
                <w:color w:val="auto"/>
              </w:rPr>
            </w:pPr>
          </w:p>
        </w:tc>
      </w:tr>
      <w:tr>
        <w:trPr>
          <w:trHeight w:val="20"/>
        </w:trPr>
        <w:tc>
          <w:tcPr>
            <w:tcW w:w="6860" w:type="dxa"/>
            <w:vAlign w:val="bottom"/>
            <w:gridSpan w:val="4"/>
            <w:vMerge w:val="restart"/>
          </w:tcPr>
          <w:p>
            <w:pPr>
              <w:spacing w:after="0"/>
              <w:rPr>
                <w:sz w:val="20"/>
                <w:szCs w:val="20"/>
                <w:color w:val="auto"/>
              </w:rPr>
            </w:pPr>
            <w:r>
              <w:rPr>
                <w:rFonts w:ascii="Arial" w:cs="Arial" w:eastAsia="Arial" w:hAnsi="Arial"/>
                <w:sz w:val="14"/>
                <w:szCs w:val="14"/>
                <w:color w:val="auto"/>
                <w:w w:val="89"/>
              </w:rPr>
              <w:t>Net change in unrealized appreciation (depreciation) for the period reported within the net change in unrealized depreciation</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8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8"/>
              </w:rPr>
              <w:t>on investments in our Consolidated Statement of Operations attributable to our Level 3 assets still held at the reporting</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7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date.</w:t>
            </w:r>
          </w:p>
        </w:tc>
        <w:tc>
          <w:tcPr>
            <w:tcW w:w="140" w:type="dxa"/>
            <w:vAlign w:val="bottom"/>
          </w:tcPr>
          <w:p>
            <w:pPr>
              <w:spacing w:after="0"/>
              <w:rPr>
                <w:sz w:val="13"/>
                <w:szCs w:val="13"/>
                <w:color w:val="auto"/>
              </w:rPr>
            </w:pPr>
          </w:p>
        </w:tc>
        <w:tc>
          <w:tcPr>
            <w:tcW w:w="3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5"/>
          </w:tcPr>
          <w:p>
            <w:pPr>
              <w:jc w:val="right"/>
              <w:spacing w:after="0" w:line="159" w:lineRule="exact"/>
              <w:rPr>
                <w:sz w:val="20"/>
                <w:szCs w:val="20"/>
                <w:color w:val="auto"/>
              </w:rPr>
            </w:pPr>
            <w:r>
              <w:rPr>
                <w:rFonts w:ascii="Arial" w:cs="Arial" w:eastAsia="Arial" w:hAnsi="Arial"/>
                <w:sz w:val="14"/>
                <w:szCs w:val="14"/>
                <w:color w:val="auto"/>
              </w:rPr>
              <w:t>(3,591,606)</w:t>
            </w:r>
          </w:p>
        </w:tc>
        <w:tc>
          <w:tcPr>
            <w:tcW w:w="3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(123,301)</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(3,714,907)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shows a reconciliation of the beginning and ending balances for fair valued liabilities measured using significant unobservable inputs (Level 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0" w:type="dxa"/>
            <w:vAlign w:val="bottom"/>
            <w:gridSpan w:val="4"/>
          </w:tcPr>
          <w:p>
            <w:pPr>
              <w:jc w:val="right"/>
              <w:ind w:right="1540"/>
              <w:spacing w:after="0"/>
              <w:rPr>
                <w:sz w:val="20"/>
                <w:szCs w:val="20"/>
                <w:color w:val="auto"/>
              </w:rPr>
            </w:pPr>
            <w:r>
              <w:rPr>
                <w:rFonts w:ascii="Arial" w:cs="Arial" w:eastAsia="Arial" w:hAnsi="Arial"/>
                <w:sz w:val="14"/>
                <w:szCs w:val="14"/>
                <w:b w:val="1"/>
                <w:bCs w:val="1"/>
                <w:color w:val="auto"/>
                <w:w w:val="91"/>
              </w:rPr>
              <w:t>Carrying / Fair 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0" w:type="dxa"/>
            <w:vAlign w:val="bottom"/>
            <w:tcBorders>
              <w:top w:val="single" w:sz="8" w:color="auto"/>
            </w:tcBorders>
          </w:tcPr>
          <w:p>
            <w:pPr>
              <w:jc w:val="center"/>
              <w:ind w:right="72"/>
              <w:spacing w:after="0" w:line="129" w:lineRule="exact"/>
              <w:rPr>
                <w:sz w:val="20"/>
                <w:szCs w:val="20"/>
                <w:color w:val="auto"/>
              </w:rPr>
            </w:pPr>
            <w:r>
              <w:rPr>
                <w:rFonts w:ascii="Arial" w:cs="Arial" w:eastAsia="Arial" w:hAnsi="Arial"/>
                <w:sz w:val="14"/>
                <w:szCs w:val="14"/>
                <w:b w:val="1"/>
                <w:bCs w:val="1"/>
                <w:color w:val="auto"/>
                <w:w w:val="89"/>
              </w:rPr>
              <w:t>For the period March 4, 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September 30, 2012</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color w:val="auto"/>
              </w:rPr>
              <w:t>Long-Term Credit Facility</w:t>
            </w:r>
          </w:p>
        </w:tc>
        <w:tc>
          <w:tcPr>
            <w:tcW w:w="1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gridSpan w:val="2"/>
          </w:tcPr>
          <w:p>
            <w:pPr>
              <w:spacing w:after="0" w:line="149" w:lineRule="exact"/>
              <w:rPr>
                <w:sz w:val="20"/>
                <w:szCs w:val="20"/>
                <w:color w:val="auto"/>
              </w:rPr>
            </w:pPr>
            <w:r>
              <w:rPr>
                <w:rFonts w:ascii="Arial" w:cs="Arial" w:eastAsia="Arial" w:hAnsi="Arial"/>
                <w:sz w:val="14"/>
                <w:szCs w:val="14"/>
                <w:color w:val="auto"/>
              </w:rPr>
              <w:t>Beginning Balance, September 30, 2011 (cost – $24,650,000)</w:t>
            </w:r>
          </w:p>
        </w:tc>
        <w:tc>
          <w:tcPr>
            <w:tcW w:w="1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24,650,000</w:t>
            </w: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unrealized depreciation included in earnings</w:t>
            </w: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(377,500)</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Borrowings</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97,650,000</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Repayments</w:t>
            </w: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(46,800,000)</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September 30, 2012 (cost – $75,500,000 and $24,650,000, respectively)</w:t>
            </w:r>
          </w:p>
        </w:tc>
        <w:tc>
          <w:tcPr>
            <w:tcW w:w="1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75,122,500</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24,650,000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jc w:val="both"/>
        <w:ind w:right="60" w:firstLine="456"/>
        <w:spacing w:after="0" w:line="318" w:lineRule="auto"/>
        <w:rPr>
          <w:sz w:val="20"/>
          <w:szCs w:val="20"/>
          <w:color w:val="auto"/>
        </w:rPr>
      </w:pPr>
      <w:r>
        <w:rPr>
          <w:rFonts w:ascii="Arial" w:cs="Arial" w:eastAsia="Arial" w:hAnsi="Arial"/>
          <w:sz w:val="12"/>
          <w:szCs w:val="12"/>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measurement attributes. Due to that election and in accordance with GAAP, we incurred and expensed $0.3 million relating to amendment fees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year ended September 30, 2012 and for the period March 4, 2011 (commencement of operations to September 30, 2011), the Credit Facility had a net change in unrealized appreciation of approximately $0.4 million and zero, respectively. As of September 30, 2012 and 2011, the Credit Facility had unrealized appreciation of $0.4 million and zero, respectively. We use a nationally recognized independent valuation service to measure the fair value of the Credit Facility in a manner consistent with the valuation process that the board of directors uses to value investments.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CHANGE IN NET ASSETS FROM OPERATIONS PER COMMON SHARE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(decrease) in net assets resulting from operations.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For the period March 4, 2011</w:t>
            </w:r>
          </w:p>
        </w:tc>
        <w:tc>
          <w:tcPr>
            <w:tcW w:w="0" w:type="dxa"/>
            <w:vAlign w:val="bottom"/>
          </w:tcPr>
          <w:p>
            <w:pPr>
              <w:spacing w:after="0"/>
              <w:rPr>
                <w:sz w:val="1"/>
                <w:szCs w:val="1"/>
                <w:color w:val="auto"/>
              </w:rPr>
            </w:pPr>
          </w:p>
        </w:tc>
      </w:tr>
      <w:tr>
        <w:trPr>
          <w:trHeight w:val="149"/>
        </w:trPr>
        <w:tc>
          <w:tcPr>
            <w:tcW w:w="5940" w:type="dxa"/>
            <w:vAlign w:val="bottom"/>
            <w:vMerge w:val="restart"/>
          </w:tcPr>
          <w:p>
            <w:pPr>
              <w:spacing w:after="0"/>
              <w:rPr>
                <w:sz w:val="20"/>
                <w:szCs w:val="20"/>
                <w:color w:val="auto"/>
              </w:rPr>
            </w:pPr>
            <w:r>
              <w:rPr>
                <w:rFonts w:ascii="Arial" w:cs="Arial" w:eastAsia="Arial" w:hAnsi="Arial"/>
                <w:sz w:val="14"/>
                <w:szCs w:val="14"/>
                <w:b w:val="1"/>
                <w:bCs w:val="1"/>
                <w:color w:val="auto"/>
              </w:rPr>
              <w:t>Class and Year</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(commencement of operations) to</w:t>
            </w:r>
          </w:p>
        </w:tc>
        <w:tc>
          <w:tcPr>
            <w:tcW w:w="0" w:type="dxa"/>
            <w:vAlign w:val="bottom"/>
          </w:tcPr>
          <w:p>
            <w:pPr>
              <w:spacing w:after="0"/>
              <w:rPr>
                <w:sz w:val="1"/>
                <w:szCs w:val="1"/>
                <w:color w:val="auto"/>
              </w:rPr>
            </w:pPr>
          </w:p>
        </w:tc>
      </w:tr>
      <w:tr>
        <w:trPr>
          <w:trHeight w:val="161"/>
        </w:trPr>
        <w:tc>
          <w:tcPr>
            <w:tcW w:w="59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6"/>
              </w:rPr>
              <w:t>September 30, 2012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September 30, 2011 *</w:t>
            </w:r>
          </w:p>
        </w:tc>
        <w:tc>
          <w:tcPr>
            <w:tcW w:w="0" w:type="dxa"/>
            <w:vAlign w:val="bottom"/>
          </w:tcPr>
          <w:p>
            <w:pPr>
              <w:spacing w:after="0"/>
              <w:rPr>
                <w:sz w:val="1"/>
                <w:szCs w:val="1"/>
                <w:color w:val="auto"/>
              </w:rPr>
            </w:pPr>
          </w:p>
        </w:tc>
      </w:tr>
      <w:tr>
        <w:trPr>
          <w:trHeight w:val="142"/>
        </w:trPr>
        <w:tc>
          <w:tcPr>
            <w:tcW w:w="5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(decrease) in net assets resulting from operations</w:t>
            </w:r>
          </w:p>
        </w:tc>
        <w:tc>
          <w:tcPr>
            <w:tcW w:w="3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11,960,878</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w w:val="76"/>
              </w:rPr>
              <w:t>$</w:t>
            </w:r>
          </w:p>
        </w:tc>
        <w:tc>
          <w:tcPr>
            <w:tcW w:w="2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(3,473,253)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6,850,667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tcPr>
          <w:p>
            <w:pPr>
              <w:jc w:val="right"/>
              <w:spacing w:after="0" w:line="149" w:lineRule="exact"/>
              <w:rPr>
                <w:sz w:val="20"/>
                <w:szCs w:val="20"/>
                <w:color w:val="auto"/>
              </w:rPr>
            </w:pPr>
            <w:r>
              <w:rPr>
                <w:rFonts w:ascii="Arial" w:cs="Arial" w:eastAsia="Arial" w:hAnsi="Arial"/>
                <w:sz w:val="14"/>
                <w:szCs w:val="14"/>
                <w:color w:val="auto"/>
              </w:rPr>
              <w:t>6,826,105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(decrease) in net assets per share resulting from operations</w:t>
            </w:r>
          </w:p>
        </w:tc>
        <w:tc>
          <w:tcPr>
            <w:tcW w:w="56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1.75</w:t>
            </w:r>
          </w:p>
        </w:tc>
        <w:tc>
          <w:tcPr>
            <w:tcW w:w="44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220" w:hanging="212"/>
        <w:spacing w:after="0"/>
        <w:tabs>
          <w:tab w:leader="none" w:pos="2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Weighted average shares is based on the initial public offering issuance date of April 13, 2011.</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CASH EQUIVALENTS</w:t>
      </w:r>
    </w:p>
    <w:p>
      <w:pPr>
        <w:spacing w:after="0" w:line="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2"/>
          <w:szCs w:val="12"/>
          <w:color w:val="auto"/>
        </w:rPr>
        <w:t>Cash equivalents represent cash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2012 and 2011, cash equivalents consisted of $3.8 million and $7.0 million, respectively, including amounts in money market funds.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TAXES AND DISTRIBUTIONS</w:t>
      </w:r>
    </w:p>
    <w:p>
      <w:pPr>
        <w:spacing w:after="0" w:line="71" w:lineRule="exact"/>
        <w:rPr>
          <w:sz w:val="20"/>
          <w:szCs w:val="20"/>
          <w:color w:val="auto"/>
        </w:rPr>
      </w:pPr>
    </w:p>
    <w:p>
      <w:pPr>
        <w:ind w:right="460" w:firstLine="456"/>
        <w:spacing w:after="0" w:line="288" w:lineRule="auto"/>
        <w:rPr>
          <w:sz w:val="20"/>
          <w:szCs w:val="20"/>
          <w:color w:val="auto"/>
        </w:rPr>
      </w:pPr>
      <w:r>
        <w:rPr>
          <w:rFonts w:ascii="Arial" w:cs="Arial" w:eastAsia="Arial" w:hAnsi="Arial"/>
          <w:sz w:val="12"/>
          <w:szCs w:val="12"/>
          <w:color w:val="auto"/>
        </w:rPr>
        <w:t>Dividends from net investment income and distributions from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w:t>
      </w:r>
    </w:p>
    <w:p>
      <w:pPr>
        <w:spacing w:after="0" w:line="84"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As of September 30, 2012 and 2011, the cost of investments for federal income tax purposes was $171.6 million and $114.8 million, respectively, resulting in a gross unrealized appreciation of $3.6 million and $0.1 million, respectively, and depreciation of $3.3 million and $4.2 million, respectively.</w:t>
      </w:r>
    </w:p>
    <w:p>
      <w:pPr>
        <w:spacing w:after="0" w:line="112" w:lineRule="exact"/>
        <w:rPr>
          <w:sz w:val="20"/>
          <w:szCs w:val="20"/>
          <w:color w:val="auto"/>
        </w:rPr>
      </w:pPr>
    </w:p>
    <w:p>
      <w:pPr>
        <w:ind w:right="400" w:firstLine="456"/>
        <w:spacing w:after="0" w:line="239" w:lineRule="auto"/>
        <w:rPr>
          <w:sz w:val="20"/>
          <w:szCs w:val="20"/>
          <w:color w:val="auto"/>
        </w:rPr>
      </w:pPr>
      <w:r>
        <w:rPr>
          <w:rFonts w:ascii="Arial" w:cs="Arial" w:eastAsia="Arial" w:hAnsi="Arial"/>
          <w:sz w:val="14"/>
          <w:szCs w:val="14"/>
          <w:color w:val="auto"/>
        </w:rPr>
        <w:t>The following permanent differences were reclassified for tax purposes for the year ended September 30, 2012 and there were no reclassifications for the period March 4, 2011 (commencement of operations) to September 30, 2011: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September 30, 2012</w:t>
            </w:r>
          </w:p>
        </w:tc>
      </w:tr>
      <w:tr>
        <w:trPr>
          <w:trHeight w:val="142"/>
        </w:trPr>
        <w:tc>
          <w:tcPr>
            <w:tcW w:w="5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Decrease in paid-in capital</w:t>
            </w: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(3,952)</w:t>
            </w:r>
          </w:p>
        </w:tc>
        <w:tc>
          <w:tcPr>
            <w:tcW w:w="100" w:type="dxa"/>
            <w:vAlign w:val="bottom"/>
            <w:tcBorders>
              <w:top w:val="single" w:sz="8" w:color="CCEEFF"/>
            </w:tcBorders>
            <w:shd w:val="clear" w:color="auto" w:fill="CCEEFF"/>
          </w:tcPr>
          <w:p>
            <w:pPr>
              <w:spacing w:after="0"/>
              <w:rPr>
                <w:sz w:val="12"/>
                <w:szCs w:val="12"/>
                <w:color w:val="auto"/>
              </w:rPr>
            </w:pPr>
          </w:p>
        </w:tc>
      </w:tr>
      <w:tr>
        <w:trPr>
          <w:trHeight w:val="172"/>
        </w:trPr>
        <w:tc>
          <w:tcPr>
            <w:tcW w:w="5080" w:type="dxa"/>
            <w:vAlign w:val="bottom"/>
          </w:tcPr>
          <w:p>
            <w:pPr>
              <w:spacing w:after="0"/>
              <w:rPr>
                <w:sz w:val="20"/>
                <w:szCs w:val="20"/>
                <w:color w:val="auto"/>
              </w:rPr>
            </w:pPr>
            <w:r>
              <w:rPr>
                <w:rFonts w:ascii="Arial" w:cs="Arial" w:eastAsia="Arial" w:hAnsi="Arial"/>
                <w:sz w:val="14"/>
                <w:szCs w:val="14"/>
                <w:color w:val="auto"/>
              </w:rPr>
              <w:t>Increase in undistributed net investment income</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3,952</w:t>
            </w:r>
          </w:p>
        </w:tc>
      </w:tr>
    </w:tbl>
    <w:p>
      <w:pPr>
        <w:spacing w:after="0" w:line="10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reconciles net increase in net assets resulting from operations to taxable income: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March 4, 2011</w:t>
            </w: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(commencement of operations) to</w:t>
            </w: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September 30, 2012</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September 30, 2011</w:t>
            </w:r>
          </w:p>
        </w:tc>
      </w:tr>
      <w:tr>
        <w:trPr>
          <w:trHeight w:val="142"/>
        </w:trPr>
        <w:tc>
          <w:tcPr>
            <w:tcW w:w="20" w:type="dxa"/>
            <w:vAlign w:val="bottom"/>
          </w:tcPr>
          <w:p>
            <w:pPr>
              <w:spacing w:after="0"/>
              <w:rPr>
                <w:sz w:val="12"/>
                <w:szCs w:val="12"/>
                <w:color w:val="auto"/>
              </w:rPr>
            </w:pPr>
          </w:p>
        </w:tc>
        <w:tc>
          <w:tcPr>
            <w:tcW w:w="45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increase in net assets resulting from operations</w:t>
            </w:r>
          </w:p>
        </w:tc>
        <w:tc>
          <w:tcPr>
            <w:tcW w:w="2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ind w:right="232"/>
              <w:spacing w:after="0" w:line="142" w:lineRule="exact"/>
              <w:rPr>
                <w:sz w:val="20"/>
                <w:szCs w:val="20"/>
                <w:color w:val="auto"/>
              </w:rPr>
            </w:pPr>
            <w:r>
              <w:rPr>
                <w:rFonts w:ascii="Arial" w:cs="Arial" w:eastAsia="Arial" w:hAnsi="Arial"/>
                <w:sz w:val="14"/>
                <w:szCs w:val="14"/>
                <w:color w:val="auto"/>
                <w:w w:val="76"/>
              </w:rPr>
              <w:t>$</w:t>
            </w:r>
          </w:p>
        </w:tc>
        <w:tc>
          <w:tcPr>
            <w:tcW w:w="2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11,960,878</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ind w:right="372"/>
              <w:spacing w:after="0" w:line="142" w:lineRule="exact"/>
              <w:rPr>
                <w:sz w:val="20"/>
                <w:szCs w:val="20"/>
                <w:color w:val="auto"/>
              </w:rPr>
            </w:pPr>
            <w:r>
              <w:rPr>
                <w:rFonts w:ascii="Arial" w:cs="Arial" w:eastAsia="Arial" w:hAnsi="Arial"/>
                <w:sz w:val="14"/>
                <w:szCs w:val="14"/>
                <w:color w:val="auto"/>
                <w:w w:val="76"/>
              </w:rPr>
              <w:t>$</w:t>
            </w:r>
          </w:p>
        </w:tc>
        <w:tc>
          <w:tcPr>
            <w:tcW w:w="3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(3,473,253)</w:t>
            </w:r>
          </w:p>
        </w:tc>
        <w:tc>
          <w:tcPr>
            <w:tcW w:w="120" w:type="dxa"/>
            <w:vAlign w:val="bottom"/>
            <w:tcBorders>
              <w:top w:val="single" w:sz="8" w:color="CCEEFF"/>
            </w:tcBorders>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4520" w:type="dxa"/>
            <w:vAlign w:val="bottom"/>
          </w:tcPr>
          <w:p>
            <w:pPr>
              <w:spacing w:after="0" w:line="138" w:lineRule="exact"/>
              <w:rPr>
                <w:sz w:val="20"/>
                <w:szCs w:val="20"/>
                <w:color w:val="auto"/>
              </w:rPr>
            </w:pPr>
            <w:r>
              <w:rPr>
                <w:rFonts w:ascii="Arial" w:cs="Arial" w:eastAsia="Arial" w:hAnsi="Arial"/>
                <w:sz w:val="14"/>
                <w:szCs w:val="14"/>
                <w:color w:val="auto"/>
                <w:w w:val="91"/>
              </w:rPr>
              <w:t>Net change in unrealized (depreciation) appreciation on investments and Credit</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4520" w:type="dxa"/>
            <w:vAlign w:val="bottom"/>
          </w:tcPr>
          <w:p>
            <w:pPr>
              <w:ind w:left="200"/>
              <w:spacing w:after="0" w:line="159" w:lineRule="exact"/>
              <w:rPr>
                <w:sz w:val="20"/>
                <w:szCs w:val="20"/>
                <w:color w:val="auto"/>
              </w:rPr>
            </w:pPr>
            <w:r>
              <w:rPr>
                <w:rFonts w:ascii="Arial" w:cs="Arial" w:eastAsia="Arial" w:hAnsi="Arial"/>
                <w:sz w:val="14"/>
                <w:szCs w:val="14"/>
                <w:color w:val="auto"/>
              </w:rPr>
              <w:t>Facility transactions not taxable</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(4,739,272)</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360" w:type="dxa"/>
            <w:vAlign w:val="bottom"/>
          </w:tcPr>
          <w:p>
            <w:pPr>
              <w:jc w:val="right"/>
              <w:spacing w:after="0" w:line="159" w:lineRule="exact"/>
              <w:rPr>
                <w:sz w:val="20"/>
                <w:szCs w:val="20"/>
                <w:color w:val="auto"/>
              </w:rPr>
            </w:pPr>
            <w:r>
              <w:rPr>
                <w:rFonts w:ascii="Arial" w:cs="Arial" w:eastAsia="Arial" w:hAnsi="Arial"/>
                <w:sz w:val="14"/>
                <w:szCs w:val="14"/>
                <w:color w:val="auto"/>
              </w:rPr>
              <w:t>4,105,380</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temporary book-to-tax differences</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307,975</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1,297,741</w:t>
            </w:r>
          </w:p>
        </w:tc>
        <w:tc>
          <w:tcPr>
            <w:tcW w:w="1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Other non deductible expenses</w:t>
            </w: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42,027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Taxable net income before deductions for distribution</w:t>
            </w:r>
          </w:p>
        </w:tc>
        <w:tc>
          <w:tcPr>
            <w:tcW w:w="62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2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7,571,608</w:t>
            </w:r>
          </w:p>
        </w:tc>
        <w:tc>
          <w:tcPr>
            <w:tcW w:w="580" w:type="dxa"/>
            <w:vAlign w:val="bottom"/>
            <w:gridSpan w:val="2"/>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3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1,929,868</w:t>
            </w:r>
          </w:p>
        </w:tc>
        <w:tc>
          <w:tcPr>
            <w:tcW w:w="12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components of accumulated surplus (deficit) on book basis and a reconciliation to accumulated surplus (deficit) on a tax basis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5"/>
              </w:rPr>
              <w:t>As of September 30, 2012</w:t>
            </w:r>
          </w:p>
        </w:tc>
        <w:tc>
          <w:tcPr>
            <w:tcW w:w="580" w:type="dxa"/>
            <w:vAlign w:val="bottom"/>
          </w:tcPr>
          <w:p>
            <w:pPr>
              <w:spacing w:after="0"/>
              <w:rPr>
                <w:sz w:val="14"/>
                <w:szCs w:val="14"/>
                <w:color w:val="auto"/>
              </w:rPr>
            </w:pPr>
          </w:p>
        </w:tc>
        <w:tc>
          <w:tcPr>
            <w:tcW w:w="318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rPr>
              <w:t>As of September 30, 2011</w:t>
            </w:r>
          </w:p>
        </w:tc>
        <w:tc>
          <w:tcPr>
            <w:tcW w:w="0" w:type="dxa"/>
            <w:vAlign w:val="bottom"/>
          </w:tcPr>
          <w:p>
            <w:pPr>
              <w:spacing w:after="0"/>
              <w:rPr>
                <w:sz w:val="1"/>
                <w:szCs w:val="1"/>
                <w:color w:val="auto"/>
              </w:rPr>
            </w:pPr>
          </w:p>
        </w:tc>
      </w:tr>
      <w:tr>
        <w:trPr>
          <w:trHeight w:val="142"/>
        </w:trPr>
        <w:tc>
          <w:tcPr>
            <w:tcW w:w="49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Undistributed ordinary income</w:t>
            </w: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5"/>
                <w:szCs w:val="5"/>
                <w:color w:val="auto"/>
                <w:w w:val="70"/>
              </w:rPr>
              <w:t>$</w:t>
            </w:r>
          </w:p>
        </w:tc>
        <w:tc>
          <w:tcPr>
            <w:tcW w:w="2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2,139,738</w:t>
            </w:r>
          </w:p>
        </w:tc>
        <w:tc>
          <w:tcPr>
            <w:tcW w:w="4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432"/>
              <w:spacing w:after="0" w:line="142" w:lineRule="exact"/>
              <w:rPr>
                <w:sz w:val="20"/>
                <w:szCs w:val="20"/>
                <w:color w:val="auto"/>
              </w:rPr>
            </w:pPr>
            <w:r>
              <w:rPr>
                <w:rFonts w:ascii="Arial" w:cs="Arial" w:eastAsia="Arial" w:hAnsi="Arial"/>
                <w:sz w:val="14"/>
                <w:szCs w:val="14"/>
                <w:color w:val="auto"/>
                <w:w w:val="76"/>
              </w:rPr>
              <w:t>$</w:t>
            </w:r>
          </w:p>
        </w:tc>
        <w:tc>
          <w:tcPr>
            <w:tcW w:w="3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696,748</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line="149" w:lineRule="exact"/>
              <w:rPr>
                <w:sz w:val="20"/>
                <w:szCs w:val="20"/>
                <w:color w:val="auto"/>
              </w:rPr>
            </w:pPr>
            <w:r>
              <w:rPr>
                <w:rFonts w:ascii="Arial" w:cs="Arial" w:eastAsia="Arial" w:hAnsi="Arial"/>
                <w:sz w:val="14"/>
                <w:szCs w:val="14"/>
                <w:color w:val="auto"/>
              </w:rPr>
              <w:t>Dividends payable and other temporary differences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(2,228,826)</w:t>
            </w:r>
          </w:p>
        </w:tc>
        <w:tc>
          <w:tcPr>
            <w:tcW w:w="580" w:type="dxa"/>
            <w:vAlign w:val="bottom"/>
          </w:tcPr>
          <w:p>
            <w:pPr>
              <w:spacing w:after="0"/>
              <w:rPr>
                <w:sz w:val="12"/>
                <w:szCs w:val="12"/>
                <w:color w:val="auto"/>
              </w:rPr>
            </w:pPr>
          </w:p>
        </w:tc>
        <w:tc>
          <w:tcPr>
            <w:tcW w:w="3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(1,777,288)</w:t>
            </w: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appreciation (depreciation) of investments and credit facility</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633,891</w:t>
            </w: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(4,105,380)</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4"/>
                <w:szCs w:val="14"/>
                <w:color w:val="auto"/>
              </w:rPr>
              <w:t>Total accumulated surplus (deficit)</w:t>
            </w: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20" w:type="dxa"/>
            <w:vAlign w:val="bottom"/>
            <w:vMerge w:val="continue"/>
          </w:tcPr>
          <w:p>
            <w:pPr>
              <w:spacing w:after="0"/>
              <w:rPr>
                <w:sz w:val="13"/>
                <w:szCs w:val="13"/>
                <w:color w:val="auto"/>
              </w:rPr>
            </w:pPr>
          </w:p>
        </w:tc>
        <w:tc>
          <w:tcPr>
            <w:tcW w:w="240" w:type="dxa"/>
            <w:vAlign w:val="bottom"/>
            <w:gridSpan w:val="2"/>
          </w:tcPr>
          <w:p>
            <w:pPr>
              <w:jc w:val="right"/>
              <w:ind w:right="157"/>
              <w:spacing w:after="0"/>
              <w:rPr>
                <w:sz w:val="20"/>
                <w:szCs w:val="20"/>
                <w:color w:val="auto"/>
              </w:rPr>
            </w:pPr>
            <w:r>
              <w:rPr>
                <w:rFonts w:ascii="Arial" w:cs="Arial" w:eastAsia="Arial" w:hAnsi="Arial"/>
                <w:sz w:val="10"/>
                <w:szCs w:val="10"/>
                <w:color w:val="auto"/>
                <w:w w:val="71"/>
              </w:rPr>
              <w:t>$</w:t>
            </w:r>
          </w:p>
        </w:tc>
        <w:tc>
          <w:tcPr>
            <w:tcW w:w="2060" w:type="dxa"/>
            <w:vAlign w:val="bottom"/>
          </w:tcPr>
          <w:p>
            <w:pPr>
              <w:jc w:val="right"/>
              <w:spacing w:after="0" w:line="155" w:lineRule="exact"/>
              <w:rPr>
                <w:sz w:val="20"/>
                <w:szCs w:val="20"/>
                <w:color w:val="auto"/>
              </w:rPr>
            </w:pPr>
            <w:r>
              <w:rPr>
                <w:rFonts w:ascii="Arial" w:cs="Arial" w:eastAsia="Arial" w:hAnsi="Arial"/>
                <w:sz w:val="14"/>
                <w:szCs w:val="14"/>
                <w:color w:val="auto"/>
              </w:rPr>
              <w:t>544,803</w:t>
            </w:r>
          </w:p>
        </w:tc>
        <w:tc>
          <w:tcPr>
            <w:tcW w:w="440" w:type="dxa"/>
            <w:vAlign w:val="bottom"/>
          </w:tcPr>
          <w:p>
            <w:pPr>
              <w:spacing w:after="0"/>
              <w:rPr>
                <w:sz w:val="13"/>
                <w:szCs w:val="13"/>
                <w:color w:val="auto"/>
              </w:rPr>
            </w:pPr>
          </w:p>
        </w:tc>
        <w:tc>
          <w:tcPr>
            <w:tcW w:w="580" w:type="dxa"/>
            <w:vAlign w:val="bottom"/>
          </w:tcPr>
          <w:p>
            <w:pPr>
              <w:jc w:val="right"/>
              <w:ind w:right="432"/>
              <w:spacing w:after="0" w:line="155" w:lineRule="exact"/>
              <w:rPr>
                <w:sz w:val="20"/>
                <w:szCs w:val="20"/>
                <w:color w:val="auto"/>
              </w:rPr>
            </w:pPr>
            <w:r>
              <w:rPr>
                <w:rFonts w:ascii="Arial" w:cs="Arial" w:eastAsia="Arial" w:hAnsi="Arial"/>
                <w:sz w:val="14"/>
                <w:szCs w:val="14"/>
                <w:color w:val="auto"/>
                <w:w w:val="76"/>
              </w:rPr>
              <w:t>$</w:t>
            </w:r>
          </w:p>
        </w:tc>
        <w:tc>
          <w:tcPr>
            <w:tcW w:w="31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(5,185,920)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In accordance with Section 19(a) under the 1940 Act, $103,884 of the Company’s distributions paid to stockholders during the fiscal year ended September 30, 2012 represent a distribution of long-term realized capital gains. The tax characteristics of dividends accrued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jc w:val="right"/>
              <w:ind w:right="752"/>
              <w:spacing w:after="0" w:line="149" w:lineRule="exact"/>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jc w:val="right"/>
              <w:ind w:right="532"/>
              <w:spacing w:after="0"/>
              <w:rPr>
                <w:sz w:val="20"/>
                <w:szCs w:val="20"/>
                <w:color w:val="auto"/>
              </w:rPr>
            </w:pPr>
            <w:r>
              <w:rPr>
                <w:rFonts w:ascii="Arial" w:cs="Arial" w:eastAsia="Arial" w:hAnsi="Arial"/>
                <w:sz w:val="14"/>
                <w:szCs w:val="14"/>
                <w:b w:val="1"/>
                <w:bCs w:val="1"/>
                <w:color w:val="auto"/>
              </w:rPr>
              <w:t>September 30, 2012</w:t>
            </w: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Ordinary income</w:t>
            </w:r>
          </w:p>
        </w:tc>
        <w:tc>
          <w:tcPr>
            <w:tcW w:w="17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2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6,130,222</w:t>
            </w:r>
          </w:p>
        </w:tc>
        <w:tc>
          <w:tcPr>
            <w:tcW w:w="4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332"/>
              <w:spacing w:after="0" w:line="142" w:lineRule="exact"/>
              <w:rPr>
                <w:sz w:val="20"/>
                <w:szCs w:val="20"/>
                <w:color w:val="auto"/>
              </w:rPr>
            </w:pPr>
            <w:r>
              <w:rPr>
                <w:rFonts w:ascii="Arial" w:cs="Arial" w:eastAsia="Arial" w:hAnsi="Arial"/>
                <w:sz w:val="14"/>
                <w:szCs w:val="14"/>
                <w:color w:val="auto"/>
                <w:w w:val="76"/>
              </w:rPr>
              <w:t>$</w:t>
            </w:r>
          </w:p>
        </w:tc>
        <w:tc>
          <w:tcPr>
            <w:tcW w:w="3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1,712,667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Long-Term capital gain</w:t>
            </w:r>
          </w:p>
        </w:tc>
        <w:tc>
          <w:tcPr>
            <w:tcW w:w="1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jc w:val="right"/>
              <w:spacing w:after="0" w:line="149" w:lineRule="exact"/>
              <w:rPr>
                <w:sz w:val="20"/>
                <w:szCs w:val="20"/>
                <w:color w:val="auto"/>
              </w:rPr>
            </w:pPr>
            <w:r>
              <w:rPr>
                <w:rFonts w:ascii="Arial" w:cs="Arial" w:eastAsia="Arial" w:hAnsi="Arial"/>
                <w:sz w:val="14"/>
                <w:szCs w:val="14"/>
                <w:color w:val="auto"/>
              </w:rPr>
              <w:t>103,884</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distributions</w:t>
            </w:r>
          </w:p>
        </w:tc>
        <w:tc>
          <w:tcPr>
            <w:tcW w:w="2020" w:type="dxa"/>
            <w:vAlign w:val="bottom"/>
            <w:gridSpan w:val="2"/>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6,234,106</w:t>
            </w:r>
          </w:p>
        </w:tc>
        <w:tc>
          <w:tcPr>
            <w:tcW w:w="90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3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1,712,667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4"/>
                <w:szCs w:val="14"/>
                <w:color w:val="auto"/>
              </w:rPr>
              <w:t>Total distributions per share</w:t>
            </w:r>
          </w:p>
        </w:tc>
        <w:tc>
          <w:tcPr>
            <w:tcW w:w="1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20" w:type="dxa"/>
            <w:vAlign w:val="bottom"/>
            <w:gridSpan w:val="2"/>
            <w:vMerge w:val="continue"/>
          </w:tcPr>
          <w:p>
            <w:pPr>
              <w:spacing w:after="0"/>
              <w:rPr>
                <w:sz w:val="13"/>
                <w:szCs w:val="13"/>
                <w:color w:val="auto"/>
              </w:rPr>
            </w:pPr>
          </w:p>
        </w:tc>
        <w:tc>
          <w:tcPr>
            <w:tcW w:w="2020" w:type="dxa"/>
            <w:vAlign w:val="bottom"/>
            <w:gridSpan w:val="2"/>
          </w:tcPr>
          <w:p>
            <w:pPr>
              <w:jc w:val="right"/>
              <w:ind w:right="209"/>
              <w:spacing w:after="0" w:line="155" w:lineRule="exact"/>
              <w:rPr>
                <w:sz w:val="20"/>
                <w:szCs w:val="20"/>
                <w:color w:val="auto"/>
              </w:rPr>
            </w:pPr>
            <w:r>
              <w:rPr>
                <w:rFonts w:ascii="Arial" w:cs="Arial" w:eastAsia="Arial" w:hAnsi="Arial"/>
                <w:sz w:val="14"/>
                <w:szCs w:val="14"/>
                <w:color w:val="auto"/>
              </w:rPr>
              <w:t>$</w:t>
            </w:r>
          </w:p>
        </w:tc>
        <w:tc>
          <w:tcPr>
            <w:tcW w:w="2000" w:type="dxa"/>
            <w:vAlign w:val="bottom"/>
          </w:tcPr>
          <w:p>
            <w:pPr>
              <w:jc w:val="right"/>
              <w:spacing w:after="0" w:line="155" w:lineRule="exact"/>
              <w:rPr>
                <w:sz w:val="20"/>
                <w:szCs w:val="20"/>
                <w:color w:val="auto"/>
              </w:rPr>
            </w:pPr>
            <w:r>
              <w:rPr>
                <w:rFonts w:ascii="Arial" w:cs="Arial" w:eastAsia="Arial" w:hAnsi="Arial"/>
                <w:sz w:val="14"/>
                <w:szCs w:val="14"/>
                <w:color w:val="auto"/>
              </w:rPr>
              <w:t>0.91</w:t>
            </w:r>
          </w:p>
        </w:tc>
        <w:tc>
          <w:tcPr>
            <w:tcW w:w="900" w:type="dxa"/>
            <w:vAlign w:val="bottom"/>
            <w:gridSpan w:val="2"/>
          </w:tcPr>
          <w:p>
            <w:pPr>
              <w:jc w:val="right"/>
              <w:ind w:right="332"/>
              <w:spacing w:after="0" w:line="155" w:lineRule="exact"/>
              <w:rPr>
                <w:sz w:val="20"/>
                <w:szCs w:val="20"/>
                <w:color w:val="auto"/>
              </w:rPr>
            </w:pPr>
            <w:r>
              <w:rPr>
                <w:rFonts w:ascii="Arial" w:cs="Arial" w:eastAsia="Arial" w:hAnsi="Arial"/>
                <w:sz w:val="14"/>
                <w:szCs w:val="14"/>
                <w:color w:val="auto"/>
              </w:rPr>
              <w:t>$</w:t>
            </w:r>
          </w:p>
        </w:tc>
        <w:tc>
          <w:tcPr>
            <w:tcW w:w="3180" w:type="dxa"/>
            <w:vAlign w:val="bottom"/>
          </w:tcPr>
          <w:p>
            <w:pPr>
              <w:jc w:val="right"/>
              <w:spacing w:after="0" w:line="155" w:lineRule="exact"/>
              <w:rPr>
                <w:sz w:val="20"/>
                <w:szCs w:val="20"/>
                <w:color w:val="auto"/>
              </w:rPr>
            </w:pPr>
            <w:r>
              <w:rPr>
                <w:rFonts w:ascii="Arial" w:cs="Arial" w:eastAsia="Arial" w:hAnsi="Arial"/>
                <w:sz w:val="14"/>
                <w:szCs w:val="14"/>
                <w:color w:val="auto"/>
              </w:rPr>
              <w:t>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jc w:val="right"/>
              <w:ind w:right="1332"/>
              <w:spacing w:after="0"/>
              <w:rPr>
                <w:sz w:val="20"/>
                <w:szCs w:val="20"/>
                <w:color w:val="auto"/>
              </w:rPr>
            </w:pPr>
            <w:r>
              <w:rPr>
                <w:rFonts w:ascii="Arial" w:cs="Arial" w:eastAsia="Arial" w:hAnsi="Arial"/>
                <w:sz w:val="14"/>
                <w:szCs w:val="14"/>
                <w:color w:val="auto"/>
              </w:rPr>
              <w:t>F-23</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5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59"/>
        <w:spacing w:after="0"/>
        <w:rPr>
          <w:sz w:val="20"/>
          <w:szCs w:val="20"/>
          <w:color w:val="auto"/>
        </w:rPr>
      </w:pPr>
      <w:r>
        <w:rPr>
          <w:rFonts w:ascii="Arial" w:cs="Arial" w:eastAsia="Arial" w:hAnsi="Arial"/>
          <w:sz w:val="14"/>
          <w:szCs w:val="14"/>
          <w:b w:val="1"/>
          <w:bCs w:val="1"/>
          <w:color w:val="auto"/>
        </w:rPr>
        <w:t>SEPTEMBER 30, 2012</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FINANCIAL HIGHLIGHTS</w:t>
      </w:r>
    </w:p>
    <w:p>
      <w:pPr>
        <w:spacing w:after="0" w:line="125" w:lineRule="exact"/>
        <w:rPr>
          <w:sz w:val="20"/>
          <w:szCs w:val="20"/>
          <w:color w:val="auto"/>
        </w:rPr>
      </w:pPr>
    </w:p>
    <w:p>
      <w:pPr>
        <w:ind w:right="340" w:firstLine="456"/>
        <w:spacing w:after="0" w:line="239" w:lineRule="auto"/>
        <w:rPr>
          <w:sz w:val="20"/>
          <w:szCs w:val="20"/>
          <w:color w:val="auto"/>
        </w:rPr>
      </w:pPr>
      <w:r>
        <w:rPr>
          <w:rFonts w:ascii="Arial" w:cs="Arial" w:eastAsia="Arial" w:hAnsi="Arial"/>
          <w:sz w:val="14"/>
          <w:szCs w:val="14"/>
          <w:color w:val="auto"/>
        </w:rPr>
        <w:t>Our net assets and net asset value per share on September 30, 2012 and 2011 were $95.7 million and $13.98 per share and $92.1 million and $13.44 per share, respectively. Below are the financial highlights:</w:t>
      </w:r>
    </w:p>
    <w:p>
      <w:pPr>
        <w:spacing w:after="0" w:line="11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For the period from</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March 04, 2011</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(commencement of operations)</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6"/>
              </w:rPr>
              <w:t>Year Ended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75"/>
              </w:rPr>
              <w:t>to</w:t>
            </w:r>
          </w:p>
        </w:tc>
        <w:tc>
          <w:tcPr>
            <w:tcW w:w="0" w:type="dxa"/>
            <w:vAlign w:val="bottom"/>
          </w:tcPr>
          <w:p>
            <w:pPr>
              <w:spacing w:after="0"/>
              <w:rPr>
                <w:sz w:val="1"/>
                <w:szCs w:val="1"/>
                <w:color w:val="auto"/>
              </w:rPr>
            </w:pPr>
          </w:p>
        </w:tc>
      </w:tr>
      <w:tr>
        <w:trPr>
          <w:trHeight w:val="161"/>
        </w:trPr>
        <w:tc>
          <w:tcPr>
            <w:tcW w:w="588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129"/>
        </w:trPr>
        <w:tc>
          <w:tcPr>
            <w:tcW w:w="58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0"/>
                <w:szCs w:val="10"/>
                <w:b w:val="1"/>
                <w:bCs w:val="1"/>
                <w:color w:val="auto"/>
              </w:rPr>
              <w:t>Per Share Data</w:t>
            </w:r>
            <w:r>
              <w:rPr>
                <w:rFonts w:ascii="Arial" w:cs="Arial" w:eastAsia="Arial" w:hAnsi="Arial"/>
                <w:sz w:val="14"/>
                <w:szCs w:val="14"/>
                <w:b w:val="1"/>
                <w:bCs w:val="1"/>
                <w:color w:val="auto"/>
                <w:vertAlign w:val="superscript"/>
              </w:rPr>
              <w:t>(1)</w:t>
            </w:r>
            <w:r>
              <w:rPr>
                <w:rFonts w:ascii="Arial" w:cs="Arial" w:eastAsia="Arial" w:hAnsi="Arial"/>
                <w:sz w:val="10"/>
                <w:szCs w:val="10"/>
                <w:b w:val="1"/>
                <w:bCs w:val="1"/>
                <w:color w:val="auto"/>
              </w:rPr>
              <w:t>:</w:t>
            </w:r>
          </w:p>
        </w:tc>
        <w:tc>
          <w:tcPr>
            <w:tcW w:w="14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88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13.44</w:t>
            </w:r>
          </w:p>
        </w:tc>
        <w:tc>
          <w:tcPr>
            <w:tcW w:w="360" w:type="dxa"/>
            <w:vAlign w:val="bottom"/>
          </w:tcPr>
          <w:p>
            <w:pPr>
              <w:spacing w:after="0"/>
              <w:rPr>
                <w:sz w:val="13"/>
                <w:szCs w:val="13"/>
                <w:color w:val="auto"/>
              </w:rPr>
            </w:pPr>
          </w:p>
        </w:tc>
        <w:tc>
          <w:tcPr>
            <w:tcW w:w="4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w:t>
            </w: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0.92</w:t>
            </w: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Net change in realized and unrealized gain (loss)</w:t>
            </w: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0.83</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1"/>
                <w:szCs w:val="11"/>
                <w:color w:val="auto"/>
              </w:rPr>
              <w:t>Dividends to stockholders</w:t>
            </w:r>
            <w:r>
              <w:rPr>
                <w:rFonts w:ascii="Arial" w:cs="Arial" w:eastAsia="Arial" w:hAnsi="Arial"/>
                <w:sz w:val="17"/>
                <w:szCs w:val="17"/>
                <w:color w:val="auto"/>
                <w:vertAlign w:val="superscript"/>
              </w:rPr>
              <w:t>(2)</w:t>
            </w:r>
          </w:p>
        </w:tc>
        <w:tc>
          <w:tcPr>
            <w:tcW w:w="140" w:type="dxa"/>
            <w:vAlign w:val="bottom"/>
          </w:tcPr>
          <w:p>
            <w:pPr>
              <w:spacing w:after="0"/>
              <w:rPr>
                <w:sz w:val="12"/>
                <w:szCs w:val="12"/>
                <w:color w:val="auto"/>
              </w:rPr>
            </w:pPr>
          </w:p>
        </w:tc>
        <w:tc>
          <w:tcPr>
            <w:tcW w:w="13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(0.91)</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Initial issuance of common stock</w:t>
            </w:r>
          </w:p>
        </w:tc>
        <w:tc>
          <w:tcPr>
            <w:tcW w:w="1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Offering costs</w:t>
            </w:r>
          </w:p>
        </w:tc>
        <w:tc>
          <w:tcPr>
            <w:tcW w:w="140" w:type="dxa"/>
            <w:vAlign w:val="bottom"/>
          </w:tcPr>
          <w:p>
            <w:pPr>
              <w:spacing w:after="0"/>
              <w:rPr>
                <w:sz w:val="12"/>
                <w:szCs w:val="12"/>
                <w:color w:val="auto"/>
              </w:rPr>
            </w:pPr>
          </w:p>
        </w:tc>
        <w:tc>
          <w:tcPr>
            <w:tcW w:w="13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(0.30)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end of period</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13.98</w:t>
            </w:r>
          </w:p>
        </w:tc>
        <w:tc>
          <w:tcPr>
            <w:tcW w:w="3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4"/>
                <w:szCs w:val="14"/>
                <w:color w:val="auto"/>
              </w:rPr>
              <w:t>Per share market value, end of period</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80" w:type="dxa"/>
            <w:vAlign w:val="bottom"/>
            <w:vMerge w:val="continue"/>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12.67</w:t>
            </w:r>
          </w:p>
        </w:tc>
        <w:tc>
          <w:tcPr>
            <w:tcW w:w="360" w:type="dxa"/>
            <w:vAlign w:val="bottom"/>
          </w:tcPr>
          <w:p>
            <w:pPr>
              <w:spacing w:after="0"/>
              <w:rPr>
                <w:sz w:val="13"/>
                <w:szCs w:val="13"/>
                <w:color w:val="auto"/>
              </w:rPr>
            </w:pPr>
          </w:p>
        </w:tc>
        <w:tc>
          <w:tcPr>
            <w:tcW w:w="44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10.55</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Total return*</w:t>
            </w:r>
            <w:r>
              <w:rPr>
                <w:rFonts w:ascii="Arial" w:cs="Arial" w:eastAsia="Arial" w:hAnsi="Arial"/>
                <w:sz w:val="17"/>
                <w:szCs w:val="17"/>
                <w:color w:val="auto"/>
                <w:vertAlign w:val="superscript"/>
              </w:rPr>
              <w:t>(3)</w:t>
            </w:r>
          </w:p>
        </w:tc>
        <w:tc>
          <w:tcPr>
            <w:tcW w:w="1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29.43%</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(28.13)%</w:t>
            </w: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6,850,667</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6,850,667</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Ratios / Supplemental Data*:</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1"/>
                <w:szCs w:val="11"/>
                <w:color w:val="auto"/>
              </w:rPr>
              <w:t>Ratio of operating expenses to average net assets</w:t>
            </w:r>
            <w:r>
              <w:rPr>
                <w:rFonts w:ascii="Arial" w:cs="Arial" w:eastAsia="Arial" w:hAnsi="Arial"/>
                <w:sz w:val="17"/>
                <w:szCs w:val="17"/>
                <w:color w:val="auto"/>
                <w:vertAlign w:val="superscript"/>
              </w:rPr>
              <w:t>(4)</w:t>
            </w:r>
          </w:p>
        </w:tc>
        <w:tc>
          <w:tcPr>
            <w:tcW w:w="140" w:type="dxa"/>
            <w:vAlign w:val="bottom"/>
          </w:tcPr>
          <w:p>
            <w:pPr>
              <w:spacing w:after="0"/>
              <w:rPr>
                <w:sz w:val="12"/>
                <w:szCs w:val="12"/>
                <w:color w:val="auto"/>
              </w:rPr>
            </w:pPr>
          </w:p>
        </w:tc>
        <w:tc>
          <w:tcPr>
            <w:tcW w:w="13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4.20%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Credit Facility related interest and expenses to average net assets</w:t>
            </w:r>
          </w:p>
        </w:tc>
        <w:tc>
          <w:tcPr>
            <w:tcW w:w="1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1.89%</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Ratio of total expenses to average net assets</w:t>
            </w:r>
          </w:p>
        </w:tc>
        <w:tc>
          <w:tcPr>
            <w:tcW w:w="140" w:type="dxa"/>
            <w:vAlign w:val="bottom"/>
          </w:tcPr>
          <w:p>
            <w:pPr>
              <w:spacing w:after="0"/>
              <w:rPr>
                <w:sz w:val="12"/>
                <w:szCs w:val="12"/>
                <w:color w:val="auto"/>
              </w:rPr>
            </w:pPr>
          </w:p>
        </w:tc>
        <w:tc>
          <w:tcPr>
            <w:tcW w:w="13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6.09%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1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6.64%</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Net assets at end of period</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95,743,877</w:t>
            </w:r>
          </w:p>
        </w:tc>
        <w:tc>
          <w:tcPr>
            <w:tcW w:w="360" w:type="dxa"/>
            <w:vAlign w:val="bottom"/>
          </w:tcPr>
          <w:p>
            <w:pPr>
              <w:spacing w:after="0"/>
              <w:rPr>
                <w:sz w:val="12"/>
                <w:szCs w:val="12"/>
                <w:color w:val="auto"/>
              </w:rPr>
            </w:pPr>
          </w:p>
        </w:tc>
        <w:tc>
          <w:tcPr>
            <w:tcW w:w="4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92,072,105</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debt outstanding</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46,133,607</w:t>
            </w:r>
          </w:p>
        </w:tc>
        <w:tc>
          <w:tcPr>
            <w:tcW w:w="3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7,550,877</w:t>
            </w: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Average debt per share</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6.73</w:t>
            </w:r>
          </w:p>
        </w:tc>
        <w:tc>
          <w:tcPr>
            <w:tcW w:w="360" w:type="dxa"/>
            <w:vAlign w:val="bottom"/>
          </w:tcPr>
          <w:p>
            <w:pPr>
              <w:spacing w:after="0"/>
              <w:rPr>
                <w:sz w:val="12"/>
                <w:szCs w:val="12"/>
                <w:color w:val="auto"/>
              </w:rPr>
            </w:pPr>
          </w:p>
        </w:tc>
        <w:tc>
          <w:tcPr>
            <w:tcW w:w="4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Portfolio turnover ratio</w:t>
            </w:r>
          </w:p>
        </w:tc>
        <w:tc>
          <w:tcPr>
            <w:tcW w:w="1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50.80%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60731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97" w:lineRule="exact"/>
        <w:rPr>
          <w:sz w:val="20"/>
          <w:szCs w:val="20"/>
          <w:color w:val="auto"/>
        </w:rPr>
      </w:pPr>
    </w:p>
    <w:p>
      <w:pPr>
        <w:ind w:left="220" w:hanging="212"/>
        <w:spacing w:after="0"/>
        <w:tabs>
          <w:tab w:leader="none" w:pos="2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Not annualized for period less than a year.</w:t>
      </w:r>
    </w:p>
    <w:p>
      <w:pPr>
        <w:ind w:left="220" w:hanging="212"/>
        <w:spacing w:after="0" w:line="185" w:lineRule="auto"/>
        <w:tabs>
          <w:tab w:leader="none" w:pos="220" w:val="left"/>
        </w:tabs>
        <w:numPr>
          <w:ilvl w:val="0"/>
          <w:numId w:val="76"/>
        </w:numPr>
        <w:rPr>
          <w:rFonts w:ascii="Arial" w:cs="Arial" w:eastAsia="Arial" w:hAnsi="Arial"/>
          <w:sz w:val="19"/>
          <w:szCs w:val="19"/>
          <w:color w:val="auto"/>
          <w:vertAlign w:val="superscript"/>
        </w:rPr>
      </w:pPr>
      <w:r>
        <w:rPr>
          <w:rFonts w:ascii="Arial" w:cs="Arial" w:eastAsia="Arial" w:hAnsi="Arial"/>
          <w:sz w:val="12"/>
          <w:szCs w:val="12"/>
          <w:color w:val="auto"/>
        </w:rPr>
        <w:t>Based on the weighted average shares outstanding for the period except for net asset value.</w:t>
      </w:r>
    </w:p>
    <w:p>
      <w:pPr>
        <w:ind w:left="220" w:hanging="212"/>
        <w:spacing w:after="0" w:line="182" w:lineRule="auto"/>
        <w:tabs>
          <w:tab w:leader="none" w:pos="220" w:val="left"/>
        </w:tabs>
        <w:numPr>
          <w:ilvl w:val="0"/>
          <w:numId w:val="76"/>
        </w:numPr>
        <w:rPr>
          <w:rFonts w:ascii="Arial" w:cs="Arial" w:eastAsia="Arial" w:hAnsi="Arial"/>
          <w:sz w:val="17"/>
          <w:szCs w:val="17"/>
          <w:color w:val="auto"/>
          <w:vertAlign w:val="superscript"/>
        </w:rPr>
      </w:pPr>
      <w:r>
        <w:rPr>
          <w:rFonts w:ascii="Arial" w:cs="Arial" w:eastAsia="Arial" w:hAnsi="Arial"/>
          <w:sz w:val="11"/>
          <w:szCs w:val="11"/>
          <w:color w:val="auto"/>
        </w:rPr>
        <w:t>Determined based on taxable income calculated in accordance with income tax regulations, which may differ from amounts determined under GAAP.</w:t>
      </w:r>
    </w:p>
    <w:p>
      <w:pPr>
        <w:ind w:left="220" w:hanging="212"/>
        <w:spacing w:after="0" w:line="182" w:lineRule="auto"/>
        <w:tabs>
          <w:tab w:leader="none" w:pos="220" w:val="left"/>
        </w:tabs>
        <w:numPr>
          <w:ilvl w:val="0"/>
          <w:numId w:val="76"/>
        </w:numPr>
        <w:rPr>
          <w:rFonts w:ascii="Arial" w:cs="Arial" w:eastAsia="Arial" w:hAnsi="Arial"/>
          <w:sz w:val="17"/>
          <w:szCs w:val="17"/>
          <w:color w:val="auto"/>
          <w:vertAlign w:val="superscript"/>
        </w:rPr>
      </w:pPr>
      <w:r>
        <w:rPr>
          <w:rFonts w:ascii="Arial" w:cs="Arial" w:eastAsia="Arial" w:hAnsi="Arial"/>
          <w:sz w:val="11"/>
          <w:szCs w:val="11"/>
          <w:color w:val="auto"/>
        </w:rPr>
        <w:t>Based on the change in market price per share during the period and takes into account dividends and distributions, if any, reinvested in accordance with our dividend reinvestment plan.</w:t>
      </w:r>
    </w:p>
    <w:p>
      <w:pPr>
        <w:ind w:left="220" w:hanging="212"/>
        <w:spacing w:after="0" w:line="185" w:lineRule="auto"/>
        <w:tabs>
          <w:tab w:leader="none" w:pos="220" w:val="left"/>
        </w:tabs>
        <w:numPr>
          <w:ilvl w:val="0"/>
          <w:numId w:val="76"/>
        </w:numPr>
        <w:rPr>
          <w:rFonts w:ascii="Arial" w:cs="Arial" w:eastAsia="Arial" w:hAnsi="Arial"/>
          <w:sz w:val="18"/>
          <w:szCs w:val="18"/>
          <w:color w:val="auto"/>
          <w:vertAlign w:val="superscript"/>
        </w:rPr>
      </w:pPr>
      <w:r>
        <w:rPr>
          <w:rFonts w:ascii="Arial" w:cs="Arial" w:eastAsia="Arial" w:hAnsi="Arial"/>
          <w:sz w:val="12"/>
          <w:szCs w:val="12"/>
          <w:color w:val="auto"/>
        </w:rPr>
        <w:t>Operating expenses exclude Credit Facility related costs.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CREDIT FACILITY</w:t>
      </w:r>
    </w:p>
    <w:p>
      <w:pPr>
        <w:spacing w:after="0" w:line="125" w:lineRule="exact"/>
        <w:rPr>
          <w:sz w:val="20"/>
          <w:szCs w:val="20"/>
          <w:color w:val="auto"/>
        </w:rPr>
      </w:pPr>
    </w:p>
    <w:p>
      <w:pPr>
        <w:ind w:firstLine="342"/>
        <w:spacing w:after="0" w:line="228" w:lineRule="auto"/>
        <w:rPr>
          <w:sz w:val="20"/>
          <w:szCs w:val="20"/>
          <w:color w:val="auto"/>
        </w:rPr>
      </w:pPr>
      <w:r>
        <w:rPr>
          <w:rFonts w:ascii="Arial" w:cs="Arial" w:eastAsia="Arial" w:hAnsi="Arial"/>
          <w:sz w:val="14"/>
          <w:szCs w:val="14"/>
          <w:color w:val="auto"/>
        </w:rPr>
        <w:t>In May 2012, Funding I amended and restated its Credit Facility with affiliates of SunTrust Bank, or the Lender, to extend the maturity date to May 2017 and reinvestment period to May 2015 while increasing our investment flexibility under the Credit Facility. The Credit Facility allows Funding I to borrow up to $100.0 million and contains an accordion feature whereby the Credit Facility can be expanded to $600.0 million, subject to satisfaction of certain conditions and the regulatory restrictions that the 1940 Act imposes on us as a BDC. As of September 30, 2012 and September 30, 2011, Funding I had $75.5 million and $24.7 million of outstanding borrowings under the Credit Facility, and carried an interest rate of 2.47% and 2.53%, in each case excluding the 0.375% and 0.500% undrawn commitment fee, respectively.</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During the three years beginning in May 2012, or the revolving period, the Credit Facility bears interest at LIBOR plus 225 basis points and, after the revolving period, the rate sets to LIBOR plus 425 basis points for the remaining two years, maturing in May 2017.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84"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F-24</w:t>
      </w:r>
    </w:p>
    <w:p>
      <w:pPr>
        <w:sectPr>
          <w:pgSz w:w="11900" w:h="16838" w:orient="portrait"/>
          <w:cols w:equalWidth="0" w:num="1">
            <w:col w:w="11360"/>
          </w:cols>
          <w:pgMar w:left="240" w:top="459" w:right="2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right="80"/>
        <w:spacing w:after="0" w:line="233" w:lineRule="auto"/>
        <w:rPr>
          <w:sz w:val="20"/>
          <w:szCs w:val="20"/>
          <w:color w:val="auto"/>
        </w:rPr>
      </w:pPr>
      <w:r>
        <w:rPr>
          <w:rFonts w:ascii="Arial" w:cs="Arial" w:eastAsia="Arial" w:hAnsi="Arial"/>
          <w:sz w:val="14"/>
          <w:szCs w:val="14"/>
          <w:color w:val="auto"/>
        </w:rPr>
        <w:t>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example, fair value, as defined under ASC 820, is not permitted to be used for assets or liabilities for such compliance reporting).</w:t>
      </w:r>
    </w:p>
    <w:p>
      <w:pPr>
        <w:spacing w:after="0" w:line="112" w:lineRule="exact"/>
        <w:rPr>
          <w:sz w:val="20"/>
          <w:szCs w:val="20"/>
          <w:color w:val="auto"/>
        </w:rPr>
      </w:pPr>
    </w:p>
    <w:p>
      <w:pPr>
        <w:ind w:right="220" w:firstLine="456"/>
        <w:spacing w:after="0" w:line="233" w:lineRule="auto"/>
        <w:rPr>
          <w:sz w:val="20"/>
          <w:szCs w:val="20"/>
          <w:color w:val="auto"/>
        </w:rPr>
      </w:pPr>
      <w:r>
        <w:rPr>
          <w:rFonts w:ascii="Arial" w:cs="Arial" w:eastAsia="Arial" w:hAnsi="Arial"/>
          <w:sz w:val="14"/>
          <w:szCs w:val="14"/>
          <w:color w:val="auto"/>
        </w:rPr>
        <w:t>We own 100% of the equity interest in Funding I and will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 As of September 30, 2012 and 2011, our asset coverage ratios were 227% and 474%, respectively.</w:t>
      </w:r>
    </w:p>
    <w:p>
      <w:pPr>
        <w:spacing w:after="0" w:line="112" w:lineRule="exact"/>
        <w:rPr>
          <w:sz w:val="20"/>
          <w:szCs w:val="20"/>
          <w:color w:val="auto"/>
        </w:rPr>
      </w:pPr>
    </w:p>
    <w:p>
      <w:pPr>
        <w:jc w:val="both"/>
        <w:ind w:right="20" w:firstLine="456"/>
        <w:spacing w:after="0" w:line="230" w:lineRule="auto"/>
        <w:rPr>
          <w:sz w:val="20"/>
          <w:szCs w:val="20"/>
          <w:color w:val="auto"/>
        </w:rPr>
      </w:pPr>
      <w:r>
        <w:rPr>
          <w:rFonts w:ascii="Arial" w:cs="Arial" w:eastAsia="Arial" w:hAnsi="Arial"/>
          <w:sz w:val="14"/>
          <w:szCs w:val="14"/>
          <w:color w:val="auto"/>
        </w:rPr>
        <w:t>Our interest in Funding I (other than the management fees)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The Investment Adviser has irrevocably directed that all management fees owing with respect to such services are to be paid to the Company so long as the Investment Adviser remains the collateral manager.</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25"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From time to time, PennantPark Floating Rate Capital Ltd.,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in first lien secured debt and subordinated debt investments.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F-25</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38" w:lineRule="exact"/>
        <w:rPr>
          <w:sz w:val="20"/>
          <w:szCs w:val="20"/>
          <w:color w:val="auto"/>
        </w:rPr>
      </w:pPr>
    </w:p>
    <w:p>
      <w:pPr>
        <w:ind w:right="120" w:firstLine="799"/>
        <w:spacing w:after="0" w:line="288" w:lineRule="auto"/>
        <w:rPr>
          <w:sz w:val="20"/>
          <w:szCs w:val="20"/>
          <w:color w:val="auto"/>
        </w:rPr>
      </w:pPr>
      <w:r>
        <w:rPr>
          <w:rFonts w:ascii="Arial" w:cs="Arial" w:eastAsia="Arial" w:hAnsi="Arial"/>
          <w:sz w:val="12"/>
          <w:szCs w:val="12"/>
          <w:color w:val="auto"/>
        </w:rPr>
        <w:t>We have reviewed the accompanying consolidated statements of assets and liabilities of PennantPark Floating Rate Capital Ltd. and its Subsidiary (the “Company”), including the consolidated schedule of investments, as of June 30, 2013 and the consolidated statement of operations for the three and nine months ended June 30, 2013 and 2012, changes in net assets, and cash flows for the nine months ended June 30, 2013 and 2012. These consolidated financial statements are the responsibility of the Company’s management.</w:t>
      </w:r>
    </w:p>
    <w:p>
      <w:pPr>
        <w:spacing w:after="0" w:line="111" w:lineRule="exact"/>
        <w:rPr>
          <w:sz w:val="20"/>
          <w:szCs w:val="20"/>
          <w:color w:val="auto"/>
        </w:rPr>
      </w:pPr>
    </w:p>
    <w:p>
      <w:pPr>
        <w:ind w:right="180" w:firstLine="799"/>
        <w:spacing w:after="0" w:line="230" w:lineRule="auto"/>
        <w:rPr>
          <w:sz w:val="20"/>
          <w:szCs w:val="20"/>
          <w:color w:val="auto"/>
        </w:rPr>
      </w:pPr>
      <w:r>
        <w:rPr>
          <w:rFonts w:ascii="Arial" w:cs="Arial" w:eastAsia="Arial" w:hAnsi="Arial"/>
          <w:sz w:val="14"/>
          <w:szCs w:val="14"/>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consolidated financial statements taken as a whole. Accordingly, we do not express such an opinion.</w:t>
      </w:r>
    </w:p>
    <w:p>
      <w:pPr>
        <w:spacing w:after="0" w:line="139" w:lineRule="exact"/>
        <w:rPr>
          <w:sz w:val="20"/>
          <w:szCs w:val="20"/>
          <w:color w:val="auto"/>
        </w:rPr>
      </w:pPr>
    </w:p>
    <w:p>
      <w:pPr>
        <w:ind w:firstLine="799"/>
        <w:spacing w:after="0" w:line="239" w:lineRule="auto"/>
        <w:rPr>
          <w:sz w:val="20"/>
          <w:szCs w:val="20"/>
          <w:color w:val="auto"/>
        </w:rPr>
      </w:pPr>
      <w:r>
        <w:rPr>
          <w:rFonts w:ascii="Arial" w:cs="Arial" w:eastAsia="Arial" w:hAnsi="Arial"/>
          <w:sz w:val="14"/>
          <w:szCs w:val="14"/>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9" w:lineRule="exact"/>
        <w:rPr>
          <w:sz w:val="20"/>
          <w:szCs w:val="20"/>
          <w:color w:val="auto"/>
        </w:rPr>
      </w:pPr>
    </w:p>
    <w:p>
      <w:pPr>
        <w:ind w:right="300" w:firstLine="799"/>
        <w:spacing w:after="0" w:line="288" w:lineRule="auto"/>
        <w:rPr>
          <w:sz w:val="20"/>
          <w:szCs w:val="20"/>
          <w:color w:val="auto"/>
        </w:rPr>
      </w:pPr>
      <w:r>
        <w:rPr>
          <w:rFonts w:ascii="Arial" w:cs="Arial" w:eastAsia="Arial" w:hAnsi="Arial"/>
          <w:sz w:val="12"/>
          <w:szCs w:val="12"/>
          <w:color w:val="auto"/>
        </w:rPr>
        <w:t>We have previously audited, in accordance with the standards of the Public Company Accounting Oversight Board (United States), the consolidated statement of assets and liabilities of PennantPark Floating Rate Capital Ltd. and its Subsidiary, including the consolidated schedule of investments, as of September 30, 2012 and the related consolidated statements of operations, changes in net assets, and cash flows for the year then ended (not presented herein); and in our report dated November 14, 2012, we expressed an unqualified opinion on those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85800"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0" cy="12890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August 8, 2013</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F-26</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2013</w:t>
            </w:r>
          </w:p>
        </w:tc>
        <w:tc>
          <w:tcPr>
            <w:tcW w:w="3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2012</w:t>
            </w:r>
          </w:p>
        </w:tc>
      </w:t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86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8640" w:type="dxa"/>
            <w:vAlign w:val="bottom"/>
          </w:tcPr>
          <w:p>
            <w:pPr>
              <w:spacing w:after="0" w:line="149" w:lineRule="exact"/>
              <w:rPr>
                <w:sz w:val="20"/>
                <w:szCs w:val="20"/>
                <w:color w:val="auto"/>
              </w:rPr>
            </w:pPr>
            <w:r>
              <w:rPr>
                <w:rFonts w:ascii="Arial" w:cs="Arial" w:eastAsia="Arial" w:hAnsi="Arial"/>
                <w:sz w:val="14"/>
                <w:szCs w:val="14"/>
                <w:color w:val="auto"/>
              </w:rPr>
              <w:t>Investments at fair value</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864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Non-controlled, non-affiliated investments, at fair value</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864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(cost—$253,491,463 and $171,578,009, respectively)</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7"/>
              </w:rPr>
              <w:t>250,514,412</w:t>
            </w:r>
          </w:p>
        </w:tc>
        <w:tc>
          <w:tcPr>
            <w:tcW w:w="4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171,834,400</w:t>
            </w:r>
          </w:p>
        </w:tc>
      </w:tr>
      <w:tr>
        <w:trPr>
          <w:trHeight w:val="149"/>
        </w:trPr>
        <w:tc>
          <w:tcPr>
            <w:tcW w:w="20" w:type="dxa"/>
            <w:vAlign w:val="bottom"/>
          </w:tcPr>
          <w:p>
            <w:pPr>
              <w:spacing w:after="0"/>
              <w:rPr>
                <w:sz w:val="12"/>
                <w:szCs w:val="12"/>
                <w:color w:val="auto"/>
              </w:rPr>
            </w:pPr>
          </w:p>
        </w:tc>
        <w:tc>
          <w:tcPr>
            <w:tcW w:w="8640" w:type="dxa"/>
            <w:vAlign w:val="bottom"/>
          </w:tcPr>
          <w:p>
            <w:pPr>
              <w:spacing w:after="0" w:line="149" w:lineRule="exact"/>
              <w:rPr>
                <w:sz w:val="20"/>
                <w:szCs w:val="20"/>
                <w:color w:val="auto"/>
              </w:rPr>
            </w:pPr>
            <w:r>
              <w:rPr>
                <w:rFonts w:ascii="Arial" w:cs="Arial" w:eastAsia="Arial" w:hAnsi="Arial"/>
                <w:sz w:val="14"/>
                <w:szCs w:val="14"/>
                <w:color w:val="auto"/>
              </w:rPr>
              <w:t>Cash equivalents (See Note 7)</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6,936,175</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3,845,803</w:t>
            </w: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receivable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1,167,081</w:t>
            </w: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1,388,867</w:t>
            </w:r>
          </w:p>
        </w:tc>
      </w:tr>
      <w:tr>
        <w:trPr>
          <w:trHeight w:val="149"/>
        </w:trPr>
        <w:tc>
          <w:tcPr>
            <w:tcW w:w="20" w:type="dxa"/>
            <w:vAlign w:val="bottom"/>
          </w:tcPr>
          <w:p>
            <w:pPr>
              <w:spacing w:after="0"/>
              <w:rPr>
                <w:sz w:val="12"/>
                <w:szCs w:val="12"/>
                <w:color w:val="auto"/>
              </w:rPr>
            </w:pPr>
          </w:p>
        </w:tc>
        <w:tc>
          <w:tcPr>
            <w:tcW w:w="8640" w:type="dxa"/>
            <w:vAlign w:val="bottom"/>
          </w:tcPr>
          <w:p>
            <w:pPr>
              <w:spacing w:after="0" w:line="149" w:lineRule="exact"/>
              <w:rPr>
                <w:sz w:val="20"/>
                <w:szCs w:val="20"/>
                <w:color w:val="auto"/>
              </w:rPr>
            </w:pPr>
            <w:r>
              <w:rPr>
                <w:rFonts w:ascii="Arial" w:cs="Arial" w:eastAsia="Arial" w:hAnsi="Arial"/>
                <w:sz w:val="14"/>
                <w:szCs w:val="14"/>
                <w:color w:val="auto"/>
              </w:rPr>
              <w:t>Receivable for investments sold</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4,234,177</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986,278</w:t>
            </w: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397,108</w:t>
            </w: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311,313</w:t>
            </w:r>
          </w:p>
        </w:tc>
        <w:tc>
          <w:tcPr>
            <w:tcW w:w="8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8640" w:type="dxa"/>
            <w:vAlign w:val="bottom"/>
          </w:tcPr>
          <w:p>
            <w:pPr>
              <w:ind w:left="860"/>
              <w:spacing w:after="0" w:line="155" w:lineRule="exact"/>
              <w:rPr>
                <w:sz w:val="20"/>
                <w:szCs w:val="20"/>
                <w:color w:val="auto"/>
              </w:rPr>
            </w:pPr>
            <w:r>
              <w:rPr>
                <w:rFonts w:ascii="Arial" w:cs="Arial" w:eastAsia="Arial" w:hAnsi="Arial"/>
                <w:sz w:val="14"/>
                <w:szCs w:val="14"/>
                <w:b w:val="1"/>
                <w:bCs w:val="1"/>
                <w:color w:val="auto"/>
              </w:rPr>
              <w:t>Total assets</w:t>
            </w:r>
          </w:p>
        </w:tc>
        <w:tc>
          <w:tcPr>
            <w:tcW w:w="100" w:type="dxa"/>
            <w:vAlign w:val="bottom"/>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w w:val="87"/>
              </w:rPr>
              <w:t>263,248,953</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178,366,661</w:t>
            </w: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640" w:type="dxa"/>
            <w:vAlign w:val="bottom"/>
          </w:tcPr>
          <w:p>
            <w:pPr>
              <w:spacing w:after="0" w:line="149" w:lineRule="exact"/>
              <w:rPr>
                <w:sz w:val="20"/>
                <w:szCs w:val="20"/>
                <w:color w:val="auto"/>
              </w:rPr>
            </w:pPr>
            <w:r>
              <w:rPr>
                <w:rFonts w:ascii="Arial" w:cs="Arial" w:eastAsia="Arial" w:hAnsi="Arial"/>
                <w:sz w:val="14"/>
                <w:szCs w:val="14"/>
                <w:color w:val="auto"/>
              </w:rPr>
              <w:t>Distributions payable</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901,661</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548,053</w:t>
            </w: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30,515,000</w:t>
            </w: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3,357,500</w:t>
            </w:r>
          </w:p>
        </w:tc>
      </w:tr>
      <w:tr>
        <w:trPr>
          <w:trHeight w:val="149"/>
        </w:trPr>
        <w:tc>
          <w:tcPr>
            <w:tcW w:w="20" w:type="dxa"/>
            <w:vAlign w:val="bottom"/>
          </w:tcPr>
          <w:p>
            <w:pPr>
              <w:spacing w:after="0"/>
              <w:rPr>
                <w:sz w:val="12"/>
                <w:szCs w:val="12"/>
                <w:color w:val="auto"/>
              </w:rPr>
            </w:pPr>
          </w:p>
        </w:tc>
        <w:tc>
          <w:tcPr>
            <w:tcW w:w="8640" w:type="dxa"/>
            <w:vAlign w:val="bottom"/>
          </w:tcPr>
          <w:p>
            <w:pPr>
              <w:spacing w:after="0" w:line="149" w:lineRule="exact"/>
              <w:rPr>
                <w:sz w:val="20"/>
                <w:szCs w:val="20"/>
                <w:color w:val="auto"/>
              </w:rPr>
            </w:pPr>
            <w:r>
              <w:rPr>
                <w:rFonts w:ascii="Arial" w:cs="Arial" w:eastAsia="Arial" w:hAnsi="Arial"/>
                <w:sz w:val="14"/>
                <w:szCs w:val="14"/>
                <w:color w:val="auto"/>
              </w:rPr>
              <w:t>Credit Facility payable (cost—$85,600,000 and $75,500,000, respectively) (See Notes 5 and 9)</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85,600,000</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75,122,500</w:t>
            </w: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payable on Credit Facility</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150,135</w:t>
            </w: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161,550</w:t>
            </w:r>
          </w:p>
        </w:tc>
      </w:tr>
      <w:tr>
        <w:trPr>
          <w:trHeight w:val="149"/>
        </w:trPr>
        <w:tc>
          <w:tcPr>
            <w:tcW w:w="20" w:type="dxa"/>
            <w:vAlign w:val="bottom"/>
          </w:tcPr>
          <w:p>
            <w:pPr>
              <w:spacing w:after="0"/>
              <w:rPr>
                <w:sz w:val="12"/>
                <w:szCs w:val="12"/>
                <w:color w:val="auto"/>
              </w:rPr>
            </w:pPr>
          </w:p>
        </w:tc>
        <w:tc>
          <w:tcPr>
            <w:tcW w:w="8640" w:type="dxa"/>
            <w:vAlign w:val="bottom"/>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548,779</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424,747</w:t>
            </w: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Performance-based incentive fee payable (See Note 3)</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658,545</w:t>
            </w: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506,314</w:t>
            </w:r>
          </w:p>
        </w:tc>
      </w:tr>
      <w:tr>
        <w:trPr>
          <w:trHeight w:val="149"/>
        </w:trPr>
        <w:tc>
          <w:tcPr>
            <w:tcW w:w="20" w:type="dxa"/>
            <w:vAlign w:val="bottom"/>
          </w:tcPr>
          <w:p>
            <w:pPr>
              <w:spacing w:after="0"/>
              <w:rPr>
                <w:sz w:val="12"/>
                <w:szCs w:val="12"/>
                <w:color w:val="auto"/>
              </w:rPr>
            </w:pPr>
          </w:p>
        </w:tc>
        <w:tc>
          <w:tcPr>
            <w:tcW w:w="8640" w:type="dxa"/>
            <w:vAlign w:val="bottom"/>
          </w:tcPr>
          <w:p>
            <w:pPr>
              <w:spacing w:after="0" w:line="149" w:lineRule="exact"/>
              <w:rPr>
                <w:sz w:val="20"/>
                <w:szCs w:val="20"/>
                <w:color w:val="auto"/>
              </w:rPr>
            </w:pPr>
            <w:r>
              <w:rPr>
                <w:rFonts w:ascii="Arial" w:cs="Arial" w:eastAsia="Arial" w:hAnsi="Arial"/>
                <w:sz w:val="14"/>
                <w:szCs w:val="14"/>
                <w:color w:val="auto"/>
              </w:rPr>
              <w:t>Accrued other expenses</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781,707</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447,120</w:t>
            </w: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sales load charges (See Note 3)</w:t>
            </w: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2,055,000</w:t>
            </w:r>
          </w:p>
        </w:tc>
        <w:tc>
          <w:tcPr>
            <w:tcW w:w="8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8640" w:type="dxa"/>
            <w:vAlign w:val="bottom"/>
          </w:tcPr>
          <w:p>
            <w:pPr>
              <w:ind w:left="860"/>
              <w:spacing w:after="0" w:line="155" w:lineRule="exact"/>
              <w:rPr>
                <w:sz w:val="20"/>
                <w:szCs w:val="20"/>
                <w:color w:val="auto"/>
              </w:rPr>
            </w:pPr>
            <w:r>
              <w:rPr>
                <w:rFonts w:ascii="Arial" w:cs="Arial" w:eastAsia="Arial" w:hAnsi="Arial"/>
                <w:sz w:val="14"/>
                <w:szCs w:val="14"/>
                <w:b w:val="1"/>
                <w:bCs w:val="1"/>
                <w:color w:val="auto"/>
              </w:rPr>
              <w:t>Total liabilities</w:t>
            </w:r>
          </w:p>
        </w:tc>
        <w:tc>
          <w:tcPr>
            <w:tcW w:w="100" w:type="dxa"/>
            <w:vAlign w:val="bottom"/>
          </w:tcPr>
          <w:p>
            <w:pPr>
              <w:spacing w:after="0"/>
              <w:rPr>
                <w:sz w:val="14"/>
                <w:szCs w:val="14"/>
                <w:color w:val="auto"/>
              </w:rPr>
            </w:pPr>
          </w:p>
        </w:tc>
        <w:tc>
          <w:tcPr>
            <w:tcW w:w="110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w w:val="87"/>
              </w:rPr>
              <w:t>119,155,827</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82,622,784</w:t>
            </w: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8640" w:type="dxa"/>
            <w:vAlign w:val="bottom"/>
          </w:tcPr>
          <w:p>
            <w:pPr>
              <w:spacing w:after="0" w:line="138" w:lineRule="exact"/>
              <w:rPr>
                <w:sz w:val="20"/>
                <w:szCs w:val="20"/>
                <w:color w:val="auto"/>
              </w:rPr>
            </w:pPr>
            <w:r>
              <w:rPr>
                <w:rFonts w:ascii="Arial" w:cs="Arial" w:eastAsia="Arial" w:hAnsi="Arial"/>
                <w:sz w:val="14"/>
                <w:szCs w:val="14"/>
                <w:color w:val="auto"/>
              </w:rPr>
              <w:t>Common stock, 10,304,692 and 6,850,667 shares issued and outstanding, respectively.</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8640" w:type="dxa"/>
            <w:vAlign w:val="bottom"/>
          </w:tcPr>
          <w:p>
            <w:pPr>
              <w:ind w:left="200"/>
              <w:spacing w:after="0" w:line="159" w:lineRule="exact"/>
              <w:rPr>
                <w:sz w:val="20"/>
                <w:szCs w:val="20"/>
                <w:color w:val="auto"/>
              </w:rPr>
            </w:pPr>
            <w:r>
              <w:rPr>
                <w:rFonts w:ascii="Arial" w:cs="Arial" w:eastAsia="Arial" w:hAnsi="Arial"/>
                <w:sz w:val="14"/>
                <w:szCs w:val="14"/>
                <w:color w:val="auto"/>
              </w:rPr>
              <w:t>Par value $0.001 per share and 100,000,000 shares authorized.</w:t>
            </w:r>
          </w:p>
        </w:tc>
        <w:tc>
          <w:tcPr>
            <w:tcW w:w="10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10,305</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6,851</w:t>
            </w: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143,146,743</w:t>
            </w: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95,192,222</w:t>
            </w:r>
          </w:p>
        </w:tc>
      </w:tr>
      <w:tr>
        <w:trPr>
          <w:trHeight w:val="149"/>
        </w:trPr>
        <w:tc>
          <w:tcPr>
            <w:tcW w:w="20" w:type="dxa"/>
            <w:vAlign w:val="bottom"/>
          </w:tcPr>
          <w:p>
            <w:pPr>
              <w:spacing w:after="0"/>
              <w:rPr>
                <w:sz w:val="12"/>
                <w:szCs w:val="12"/>
                <w:color w:val="auto"/>
              </w:rPr>
            </w:pPr>
          </w:p>
        </w:tc>
        <w:tc>
          <w:tcPr>
            <w:tcW w:w="8640" w:type="dxa"/>
            <w:vAlign w:val="bottom"/>
          </w:tcPr>
          <w:p>
            <w:pPr>
              <w:spacing w:after="0" w:line="149" w:lineRule="exact"/>
              <w:rPr>
                <w:sz w:val="20"/>
                <w:szCs w:val="20"/>
                <w:color w:val="auto"/>
              </w:rPr>
            </w:pPr>
            <w:r>
              <w:rPr>
                <w:rFonts w:ascii="Arial" w:cs="Arial" w:eastAsia="Arial" w:hAnsi="Arial"/>
                <w:sz w:val="14"/>
                <w:szCs w:val="14"/>
                <w:color w:val="auto"/>
              </w:rPr>
              <w:t>Distributions in excess of net investment income</w:t>
            </w:r>
          </w:p>
        </w:tc>
        <w:tc>
          <w:tcPr>
            <w:tcW w:w="1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(517,645)</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(1,313,000)</w:t>
            </w: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net realized gain on investments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4,430,774</w:t>
            </w: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1,223,913</w:t>
            </w:r>
          </w:p>
        </w:tc>
      </w:tr>
      <w:tr>
        <w:trPr>
          <w:trHeight w:val="149"/>
        </w:trPr>
        <w:tc>
          <w:tcPr>
            <w:tcW w:w="20" w:type="dxa"/>
            <w:vAlign w:val="bottom"/>
          </w:tcPr>
          <w:p>
            <w:pPr>
              <w:spacing w:after="0"/>
              <w:rPr>
                <w:sz w:val="12"/>
                <w:szCs w:val="12"/>
                <w:color w:val="auto"/>
              </w:rPr>
            </w:pPr>
          </w:p>
        </w:tc>
        <w:tc>
          <w:tcPr>
            <w:tcW w:w="8640" w:type="dxa"/>
            <w:vAlign w:val="bottom"/>
          </w:tcPr>
          <w:p>
            <w:pPr>
              <w:spacing w:after="0" w:line="149" w:lineRule="exact"/>
              <w:rPr>
                <w:sz w:val="20"/>
                <w:szCs w:val="20"/>
                <w:color w:val="auto"/>
              </w:rPr>
            </w:pPr>
            <w:r>
              <w:rPr>
                <w:rFonts w:ascii="Arial" w:cs="Arial" w:eastAsia="Arial" w:hAnsi="Arial"/>
                <w:sz w:val="14"/>
                <w:szCs w:val="14"/>
                <w:color w:val="auto"/>
              </w:rPr>
              <w:t>Net unrealized (depreciation) appreciation on investments</w:t>
            </w:r>
          </w:p>
        </w:tc>
        <w:tc>
          <w:tcPr>
            <w:tcW w:w="1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(2,977,051)</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256,391</w:t>
            </w: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depreciation on Credit Facility</w:t>
            </w: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377,500</w:t>
            </w:r>
          </w:p>
        </w:tc>
        <w:tc>
          <w:tcPr>
            <w:tcW w:w="8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8640" w:type="dxa"/>
            <w:vAlign w:val="bottom"/>
          </w:tcPr>
          <w:p>
            <w:pPr>
              <w:ind w:left="860"/>
              <w:spacing w:after="0" w:line="155" w:lineRule="exact"/>
              <w:rPr>
                <w:sz w:val="20"/>
                <w:szCs w:val="20"/>
                <w:color w:val="auto"/>
              </w:rPr>
            </w:pPr>
            <w:r>
              <w:rPr>
                <w:rFonts w:ascii="Arial" w:cs="Arial" w:eastAsia="Arial" w:hAnsi="Arial"/>
                <w:sz w:val="14"/>
                <w:szCs w:val="14"/>
                <w:b w:val="1"/>
                <w:bCs w:val="1"/>
                <w:color w:val="auto"/>
              </w:rPr>
              <w:t>Total net assets</w:t>
            </w: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7"/>
              </w:rPr>
              <w:t>144,093,126</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95,743,877</w:t>
            </w:r>
          </w:p>
        </w:tc>
        <w:tc>
          <w:tcPr>
            <w:tcW w:w="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b w:val="1"/>
                <w:bCs w:val="1"/>
                <w:color w:val="auto"/>
              </w:rPr>
              <w:t>Total liabilities and net assets</w:t>
            </w:r>
          </w:p>
        </w:tc>
        <w:tc>
          <w:tcPr>
            <w:tcW w:w="1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263,248,953</w:t>
            </w: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178,366,661</w:t>
            </w:r>
          </w:p>
        </w:tc>
        <w:tc>
          <w:tcPr>
            <w:tcW w:w="80" w:type="dxa"/>
            <w:vAlign w:val="bottom"/>
            <w:shd w:val="clear" w:color="auto" w:fill="CCEEFF"/>
          </w:tcPr>
          <w:p>
            <w:pPr>
              <w:spacing w:after="0"/>
              <w:rPr>
                <w:sz w:val="12"/>
                <w:szCs w:val="12"/>
                <w:color w:val="auto"/>
              </w:rPr>
            </w:pPr>
          </w:p>
        </w:tc>
      </w:tr>
      <w:tr>
        <w:trPr>
          <w:trHeight w:val="156"/>
        </w:trPr>
        <w:tc>
          <w:tcPr>
            <w:tcW w:w="86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asset value per share</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13.98</w:t>
            </w:r>
          </w:p>
        </w:tc>
        <w:tc>
          <w:tcPr>
            <w:tcW w:w="400" w:type="dxa"/>
            <w:vAlign w:val="bottom"/>
          </w:tcPr>
          <w:p>
            <w:pPr>
              <w:spacing w:after="0"/>
              <w:rPr>
                <w:sz w:val="13"/>
                <w:szCs w:val="13"/>
                <w:color w:val="auto"/>
              </w:rPr>
            </w:pPr>
          </w:p>
        </w:tc>
        <w:tc>
          <w:tcPr>
            <w:tcW w:w="600" w:type="dxa"/>
            <w:vAlign w:val="bottom"/>
            <w:gridSpan w:val="2"/>
          </w:tcPr>
          <w:p>
            <w:pPr>
              <w:ind w:left="340"/>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13.98</w:t>
            </w: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7"/>
              </w:rPr>
              <w:t>Three Months Ended June 30,</w:t>
            </w:r>
          </w:p>
        </w:tc>
        <w:tc>
          <w:tcPr>
            <w:tcW w:w="80" w:type="dxa"/>
            <w:vAlign w:val="bottom"/>
          </w:tcPr>
          <w:p>
            <w:pPr>
              <w:spacing w:after="0"/>
              <w:rPr>
                <w:sz w:val="14"/>
                <w:szCs w:val="14"/>
                <w:color w:val="auto"/>
              </w:rPr>
            </w:pPr>
          </w:p>
        </w:tc>
        <w:tc>
          <w:tcPr>
            <w:tcW w:w="1820" w:type="dxa"/>
            <w:vAlign w:val="bottom"/>
            <w:gridSpan w:val="6"/>
          </w:tcPr>
          <w:p>
            <w:pPr>
              <w:spacing w:after="0"/>
              <w:rPr>
                <w:sz w:val="20"/>
                <w:szCs w:val="20"/>
                <w:color w:val="auto"/>
              </w:rPr>
            </w:pPr>
            <w:r>
              <w:rPr>
                <w:rFonts w:ascii="Arial" w:cs="Arial" w:eastAsia="Arial" w:hAnsi="Arial"/>
                <w:sz w:val="14"/>
                <w:szCs w:val="14"/>
                <w:b w:val="1"/>
                <w:bCs w:val="1"/>
                <w:color w:val="auto"/>
                <w:w w:val="94"/>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4,192,816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3,120,180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11,807,059</w:t>
            </w:r>
          </w:p>
        </w:tc>
        <w:tc>
          <w:tcPr>
            <w:tcW w:w="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8,387,545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Other income</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477,487</w:t>
            </w: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80,522</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965,794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223,915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investment income</w:t>
            </w: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4,670,303</w:t>
            </w:r>
          </w:p>
        </w:tc>
        <w:tc>
          <w:tcPr>
            <w:tcW w:w="3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3,200,702</w:t>
            </w: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12,772,853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8,611,460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3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Base management fee (See Note 3)</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548,779</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383,673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1,464,403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1,069,870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37,709</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(117,536)</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1,017,929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58,204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and expenses on the Credit Facility (See Note 9)</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375,640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409,732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1,342,103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1,031,208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144,052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147,097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452,876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435,056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317,192</w:t>
            </w:r>
          </w:p>
        </w:tc>
        <w:tc>
          <w:tcPr>
            <w:tcW w:w="3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254,743</w:t>
            </w: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956,400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974,330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0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Expenses before excise tax expense and amendment costs</w:t>
            </w: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1,423,372</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1,077,709</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5,233,711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3,568,668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Excise tax</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29,355</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96,768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Credit Facility amendment costs (See Note 9)</w:t>
            </w:r>
          </w:p>
        </w:tc>
        <w:tc>
          <w:tcPr>
            <w:tcW w:w="80" w:type="dxa"/>
            <w:vAlign w:val="bottom"/>
          </w:tcPr>
          <w:p>
            <w:pPr>
              <w:spacing w:after="0"/>
              <w:rPr>
                <w:sz w:val="13"/>
                <w:szCs w:val="13"/>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276,500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276,500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expenses</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1,452,727</w:t>
            </w:r>
          </w:p>
        </w:tc>
        <w:tc>
          <w:tcPr>
            <w:tcW w:w="30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1,354,209</w:t>
            </w: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5,830,479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3,845,168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0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3,217,576</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1,846,493</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6,942,374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4,766,292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(loss) gain on investments and Credit Facility:</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line="149" w:lineRule="exact"/>
              <w:rPr>
                <w:sz w:val="20"/>
                <w:szCs w:val="20"/>
                <w:color w:val="auto"/>
              </w:rPr>
            </w:pPr>
            <w:r>
              <w:rPr>
                <w:rFonts w:ascii="Arial" w:cs="Arial" w:eastAsia="Arial" w:hAnsi="Arial"/>
                <w:sz w:val="14"/>
                <w:szCs w:val="14"/>
                <w:color w:val="auto"/>
              </w:rPr>
              <w:t>Net realized gain on non-controlled, non-affiliated investments</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1,659,391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217,718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3,206,861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623,605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(depreciation) appreciation on:</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Non-controlled, non-affiliated investments</w:t>
            </w: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(3,309,840)</w:t>
            </w:r>
          </w:p>
        </w:tc>
        <w:tc>
          <w:tcPr>
            <w:tcW w:w="1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7"/>
              </w:rPr>
              <w:t>(1,709,804)</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7"/>
              </w:rPr>
              <w:t>(3,233,442)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2,355,750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Credit Facility (appreciation) depreciation (See Note 5)</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(377,500)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Net change in unrealized (depreciation) appreciation on investments and Credit Facility</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(3,309,840)</w:t>
            </w:r>
          </w:p>
        </w:tc>
        <w:tc>
          <w:tcPr>
            <w:tcW w:w="160" w:type="dxa"/>
            <w:vAlign w:val="bottom"/>
          </w:tcPr>
          <w:p>
            <w:pPr>
              <w:spacing w:after="0"/>
              <w:rPr>
                <w:sz w:val="13"/>
                <w:szCs w:val="13"/>
                <w:color w:val="auto"/>
              </w:rPr>
            </w:pPr>
          </w:p>
        </w:tc>
        <w:tc>
          <w:tcPr>
            <w:tcW w:w="9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7"/>
              </w:rPr>
              <w:t>(1,676,804)</w:t>
            </w:r>
          </w:p>
        </w:tc>
        <w:tc>
          <w:tcPr>
            <w:tcW w:w="80" w:type="dxa"/>
            <w:vAlign w:val="bottom"/>
          </w:tcPr>
          <w:p>
            <w:pPr>
              <w:spacing w:after="0"/>
              <w:rPr>
                <w:sz w:val="13"/>
                <w:szCs w:val="13"/>
                <w:color w:val="auto"/>
              </w:rPr>
            </w:pPr>
          </w:p>
        </w:tc>
        <w:tc>
          <w:tcPr>
            <w:tcW w:w="8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7"/>
              </w:rPr>
              <w:t>(3,610,942)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2,627,750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 from investments and Credit Facility</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(1,650,449)</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7"/>
              </w:rPr>
              <w:t>(1,459,086)</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(404,081)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3,251,355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increase in net assets resulting from operations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20" w:type="dxa"/>
            <w:vAlign w:val="bottom"/>
            <w:gridSpan w:val="2"/>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1,567,127</w:t>
            </w:r>
          </w:p>
        </w:tc>
        <w:tc>
          <w:tcPr>
            <w:tcW w:w="30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387,407</w:t>
            </w:r>
          </w:p>
        </w:tc>
        <w:tc>
          <w:tcPr>
            <w:tcW w:w="2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6,538,293</w:t>
            </w:r>
          </w:p>
        </w:tc>
        <w:tc>
          <w:tcPr>
            <w:tcW w:w="160" w:type="dxa"/>
            <w:vAlign w:val="bottom"/>
          </w:tcPr>
          <w:p>
            <w:pPr>
              <w:spacing w:after="0"/>
              <w:rPr>
                <w:sz w:val="13"/>
                <w:szCs w:val="13"/>
                <w:color w:val="auto"/>
              </w:rPr>
            </w:pPr>
          </w:p>
        </w:tc>
        <w:tc>
          <w:tcPr>
            <w:tcW w:w="2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8,017,647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3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increase in net assets resulting from operations per common share</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0.15</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0.06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0.81</w:t>
            </w:r>
          </w:p>
        </w:tc>
        <w:tc>
          <w:tcPr>
            <w:tcW w:w="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20" w:type="dxa"/>
            <w:vAlign w:val="bottom"/>
            <w:gridSpan w:val="2"/>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0.31</w:t>
            </w:r>
          </w:p>
        </w:tc>
        <w:tc>
          <w:tcPr>
            <w:tcW w:w="30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0.27</w:t>
            </w:r>
          </w:p>
        </w:tc>
        <w:tc>
          <w:tcPr>
            <w:tcW w:w="2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0.86</w:t>
            </w:r>
          </w:p>
        </w:tc>
        <w:tc>
          <w:tcPr>
            <w:tcW w:w="160" w:type="dxa"/>
            <w:vAlign w:val="bottom"/>
          </w:tcPr>
          <w:p>
            <w:pPr>
              <w:spacing w:after="0"/>
              <w:rPr>
                <w:sz w:val="13"/>
                <w:szCs w:val="13"/>
                <w:color w:val="auto"/>
              </w:rPr>
            </w:pPr>
          </w:p>
        </w:tc>
        <w:tc>
          <w:tcPr>
            <w:tcW w:w="2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0.70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87"/>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in net assets from operations:</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420"/>
              <w:spacing w:after="0" w:line="149" w:lineRule="exact"/>
              <w:rPr>
                <w:sz w:val="20"/>
                <w:szCs w:val="20"/>
                <w:color w:val="auto"/>
              </w:rPr>
            </w:pPr>
            <w:r>
              <w:rPr>
                <w:rFonts w:ascii="Arial" w:cs="Arial" w:eastAsia="Arial" w:hAnsi="Arial"/>
                <w:sz w:val="14"/>
                <w:szCs w:val="14"/>
                <w:color w:val="auto"/>
              </w:rPr>
              <w:t>Net investment income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6,942,374</w:t>
            </w:r>
          </w:p>
        </w:tc>
        <w:tc>
          <w:tcPr>
            <w:tcW w:w="180" w:type="dxa"/>
            <w:vAlign w:val="bottom"/>
          </w:tcPr>
          <w:p>
            <w:pPr>
              <w:spacing w:after="0"/>
              <w:rPr>
                <w:sz w:val="12"/>
                <w:szCs w:val="12"/>
                <w:color w:val="auto"/>
              </w:rPr>
            </w:pPr>
          </w:p>
        </w:tc>
        <w:tc>
          <w:tcPr>
            <w:tcW w:w="2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4,766,292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realized gain on investments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3,206,861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623,605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420"/>
              <w:spacing w:after="0" w:line="149" w:lineRule="exact"/>
              <w:rPr>
                <w:sz w:val="20"/>
                <w:szCs w:val="20"/>
                <w:color w:val="auto"/>
              </w:rPr>
            </w:pPr>
            <w:r>
              <w:rPr>
                <w:rFonts w:ascii="Arial" w:cs="Arial" w:eastAsia="Arial" w:hAnsi="Arial"/>
                <w:sz w:val="14"/>
                <w:szCs w:val="14"/>
                <w:color w:val="auto"/>
              </w:rPr>
              <w:t>Net change in unrealized (depreciation) appreciation on investments</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(3,233,442)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2,355,750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change in unrealized (appreciation) depreciation on Credit Facility</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(377,500)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272,000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46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6,538,293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8,017,647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60" w:type="dxa"/>
            <w:vAlign w:val="bottom"/>
          </w:tcPr>
          <w:p>
            <w:pPr>
              <w:ind w:left="420"/>
              <w:spacing w:after="0" w:line="149" w:lineRule="exact"/>
              <w:rPr>
                <w:sz w:val="20"/>
                <w:szCs w:val="20"/>
                <w:color w:val="auto"/>
              </w:rPr>
            </w:pPr>
            <w:r>
              <w:rPr>
                <w:rFonts w:ascii="Arial" w:cs="Arial" w:eastAsia="Arial" w:hAnsi="Arial"/>
                <w:sz w:val="14"/>
                <w:szCs w:val="14"/>
                <w:color w:val="auto"/>
              </w:rPr>
              <w:t>Distributions</w:t>
            </w:r>
          </w:p>
        </w:tc>
        <w:tc>
          <w:tcPr>
            <w:tcW w:w="80" w:type="dxa"/>
            <w:vAlign w:val="bottom"/>
          </w:tcPr>
          <w:p>
            <w:pPr>
              <w:spacing w:after="0"/>
              <w:rPr>
                <w:sz w:val="13"/>
                <w:szCs w:val="13"/>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(6,147,019)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2"/>
              </w:rPr>
              <w:t>(4,589,945)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Capital transactions:</w:t>
            </w: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420"/>
              <w:spacing w:after="0" w:line="149" w:lineRule="exact"/>
              <w:rPr>
                <w:sz w:val="20"/>
                <w:szCs w:val="20"/>
                <w:color w:val="auto"/>
              </w:rPr>
            </w:pPr>
            <w:r>
              <w:rPr>
                <w:rFonts w:ascii="Arial" w:cs="Arial" w:eastAsia="Arial" w:hAnsi="Arial"/>
                <w:sz w:val="14"/>
                <w:szCs w:val="14"/>
                <w:color w:val="auto"/>
              </w:rPr>
              <w:t>Public offering and distributions reinvested</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48,357,975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Offering costs</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46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Net increase from capital transactions</w:t>
            </w: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47,957,975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in net assets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48,349,249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3,427,702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Beginning of period</w:t>
            </w: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95,743,877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92,072,105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60" w:type="dxa"/>
            <w:vAlign w:val="bottom"/>
          </w:tcPr>
          <w:p>
            <w:pPr>
              <w:ind w:left="420"/>
              <w:spacing w:after="0" w:line="155" w:lineRule="exact"/>
              <w:rPr>
                <w:sz w:val="20"/>
                <w:szCs w:val="20"/>
                <w:color w:val="auto"/>
              </w:rPr>
            </w:pPr>
            <w:r>
              <w:rPr>
                <w:rFonts w:ascii="Arial" w:cs="Arial" w:eastAsia="Arial" w:hAnsi="Arial"/>
                <w:sz w:val="14"/>
                <w:szCs w:val="14"/>
                <w:color w:val="auto"/>
              </w:rPr>
              <w:t>End of period</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89"/>
              </w:rPr>
              <w:t>144,093,126</w:t>
            </w:r>
          </w:p>
        </w:tc>
        <w:tc>
          <w:tcPr>
            <w:tcW w:w="180" w:type="dxa"/>
            <w:vAlign w:val="bottom"/>
          </w:tcPr>
          <w:p>
            <w:pPr>
              <w:spacing w:after="0"/>
              <w:rPr>
                <w:sz w:val="13"/>
                <w:szCs w:val="13"/>
                <w:color w:val="auto"/>
              </w:rPr>
            </w:pPr>
          </w:p>
        </w:tc>
        <w:tc>
          <w:tcPr>
            <w:tcW w:w="2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8"/>
              </w:rPr>
              <w:t>95,499,807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46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Distributions in excess of net investment income, end of period</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(517,645)</w:t>
            </w:r>
          </w:p>
        </w:tc>
        <w:tc>
          <w:tcPr>
            <w:tcW w:w="2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w w:val="92"/>
              </w:rPr>
              <w:t>(1,216,181)</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Capital share activity: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4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Shares issued from public offering</w:t>
            </w: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3,450,000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60" w:type="dxa"/>
            <w:vAlign w:val="bottom"/>
          </w:tcPr>
          <w:p>
            <w:pPr>
              <w:ind w:left="420"/>
              <w:spacing w:after="0" w:line="155" w:lineRule="exact"/>
              <w:rPr>
                <w:sz w:val="20"/>
                <w:szCs w:val="20"/>
                <w:color w:val="auto"/>
              </w:rPr>
            </w:pPr>
            <w:r>
              <w:rPr>
                <w:rFonts w:ascii="Arial" w:cs="Arial" w:eastAsia="Arial" w:hAnsi="Arial"/>
                <w:sz w:val="14"/>
                <w:szCs w:val="14"/>
                <w:color w:val="auto"/>
              </w:rPr>
              <w:t>Shares issued from reinvestment of dividends</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4,025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0"/>
              </w:rPr>
              <w:t>Nine Months Ended June 30,</w:t>
            </w:r>
          </w:p>
        </w:tc>
      </w:tr>
      <w:tr>
        <w:trPr>
          <w:trHeight w:val="142"/>
        </w:trPr>
        <w:tc>
          <w:tcPr>
            <w:tcW w:w="940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r>
      <w:tr>
        <w:trPr>
          <w:trHeight w:val="129"/>
        </w:trPr>
        <w:tc>
          <w:tcPr>
            <w:tcW w:w="94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9400" w:type="dxa"/>
            <w:vAlign w:val="bottom"/>
          </w:tcPr>
          <w:p>
            <w:pPr>
              <w:ind w:left="440"/>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6,538,293</w:t>
            </w:r>
          </w:p>
        </w:tc>
        <w:tc>
          <w:tcPr>
            <w:tcW w:w="22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8,017,647</w:t>
            </w:r>
          </w:p>
        </w:tc>
      </w:tr>
      <w:tr>
        <w:trPr>
          <w:trHeight w:val="149"/>
        </w:trPr>
        <w:tc>
          <w:tcPr>
            <w:tcW w:w="94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Adjustments to reconcile net increase in net assets resulting from operations to net cash used for operating activities:</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9400" w:type="dxa"/>
            <w:vAlign w:val="bottom"/>
          </w:tcPr>
          <w:p>
            <w:pPr>
              <w:ind w:left="880"/>
              <w:spacing w:after="0" w:line="149" w:lineRule="exact"/>
              <w:rPr>
                <w:sz w:val="20"/>
                <w:szCs w:val="20"/>
                <w:color w:val="auto"/>
              </w:rPr>
            </w:pPr>
            <w:r>
              <w:rPr>
                <w:rFonts w:ascii="Arial" w:cs="Arial" w:eastAsia="Arial" w:hAnsi="Arial"/>
                <w:sz w:val="14"/>
                <w:szCs w:val="14"/>
                <w:color w:val="auto"/>
              </w:rPr>
              <w:t>Net change in unrealized depreciation (appreciation) on investments</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3,233,442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(2,355,750)</w:t>
            </w:r>
          </w:p>
        </w:tc>
      </w:tr>
      <w:tr>
        <w:trPr>
          <w:trHeight w:val="149"/>
        </w:trPr>
        <w:tc>
          <w:tcPr>
            <w:tcW w:w="9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change in unrealized appreciation (depreciation) on Credit Facility</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377,500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(272,000)</w:t>
            </w:r>
          </w:p>
        </w:tc>
      </w:tr>
      <w:tr>
        <w:trPr>
          <w:trHeight w:val="149"/>
        </w:trPr>
        <w:tc>
          <w:tcPr>
            <w:tcW w:w="9400" w:type="dxa"/>
            <w:vAlign w:val="bottom"/>
          </w:tcPr>
          <w:p>
            <w:pPr>
              <w:ind w:left="880"/>
              <w:spacing w:after="0" w:line="149" w:lineRule="exact"/>
              <w:rPr>
                <w:sz w:val="20"/>
                <w:szCs w:val="20"/>
                <w:color w:val="auto"/>
              </w:rPr>
            </w:pPr>
            <w:r>
              <w:rPr>
                <w:rFonts w:ascii="Arial" w:cs="Arial" w:eastAsia="Arial" w:hAnsi="Arial"/>
                <w:sz w:val="14"/>
                <w:szCs w:val="14"/>
                <w:color w:val="auto"/>
              </w:rPr>
              <w:t>Net realized gain on investments</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(3,206,861)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(623,605)</w:t>
            </w:r>
          </w:p>
        </w:tc>
      </w:tr>
      <w:tr>
        <w:trPr>
          <w:trHeight w:val="149"/>
        </w:trPr>
        <w:tc>
          <w:tcPr>
            <w:tcW w:w="9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(853,119)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(502,435)</w:t>
            </w:r>
          </w:p>
        </w:tc>
      </w:tr>
      <w:tr>
        <w:trPr>
          <w:trHeight w:val="149"/>
        </w:trPr>
        <w:tc>
          <w:tcPr>
            <w:tcW w:w="9400" w:type="dxa"/>
            <w:vAlign w:val="bottom"/>
          </w:tcPr>
          <w:p>
            <w:pPr>
              <w:ind w:left="880"/>
              <w:spacing w:after="0" w:line="149" w:lineRule="exact"/>
              <w:rPr>
                <w:sz w:val="20"/>
                <w:szCs w:val="20"/>
                <w:color w:val="auto"/>
              </w:rPr>
            </w:pPr>
            <w:r>
              <w:rPr>
                <w:rFonts w:ascii="Arial" w:cs="Arial" w:eastAsia="Arial" w:hAnsi="Arial"/>
                <w:sz w:val="14"/>
                <w:szCs w:val="14"/>
                <w:color w:val="auto"/>
              </w:rPr>
              <w:t>Purchases of investments</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7"/>
              </w:rPr>
              <w:t>(198,297,678)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(99,875,195)</w:t>
            </w:r>
          </w:p>
        </w:tc>
      </w:tr>
      <w:tr>
        <w:trPr>
          <w:trHeight w:val="149"/>
        </w:trPr>
        <w:tc>
          <w:tcPr>
            <w:tcW w:w="9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Payments-in-kind interest</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(211,887)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(93,404)</w:t>
            </w:r>
          </w:p>
        </w:tc>
      </w:tr>
      <w:tr>
        <w:trPr>
          <w:trHeight w:val="149"/>
        </w:trPr>
        <w:tc>
          <w:tcPr>
            <w:tcW w:w="9400" w:type="dxa"/>
            <w:vAlign w:val="bottom"/>
          </w:tcPr>
          <w:p>
            <w:pPr>
              <w:ind w:left="88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2"/>
              </w:rPr>
              <w:t>120,656,091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1"/>
              </w:rPr>
              <w:t>57,033,401</w:t>
            </w:r>
          </w:p>
        </w:tc>
      </w:tr>
      <w:tr>
        <w:trPr>
          <w:trHeight w:val="149"/>
        </w:trPr>
        <w:tc>
          <w:tcPr>
            <w:tcW w:w="9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Decrease (increase) in interest receivable</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221,786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(289,794)</w:t>
            </w:r>
          </w:p>
        </w:tc>
      </w:tr>
      <w:tr>
        <w:trPr>
          <w:trHeight w:val="149"/>
        </w:trPr>
        <w:tc>
          <w:tcPr>
            <w:tcW w:w="9400" w:type="dxa"/>
            <w:vAlign w:val="bottom"/>
          </w:tcPr>
          <w:p>
            <w:pPr>
              <w:ind w:left="880"/>
              <w:spacing w:after="0" w:line="149" w:lineRule="exact"/>
              <w:rPr>
                <w:sz w:val="20"/>
                <w:szCs w:val="20"/>
                <w:color w:val="auto"/>
              </w:rPr>
            </w:pPr>
            <w:r>
              <w:rPr>
                <w:rFonts w:ascii="Arial" w:cs="Arial" w:eastAsia="Arial" w:hAnsi="Arial"/>
                <w:sz w:val="14"/>
                <w:szCs w:val="14"/>
                <w:color w:val="auto"/>
              </w:rPr>
              <w:t>(Increase) decrease in receivables for investments sold</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(3,247,899)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2,467,500</w:t>
            </w:r>
          </w:p>
        </w:tc>
      </w:tr>
      <w:tr>
        <w:trPr>
          <w:trHeight w:val="149"/>
        </w:trPr>
        <w:tc>
          <w:tcPr>
            <w:tcW w:w="9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Increase in prepaid expenses and other assets</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(85,795)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(118,687)</w:t>
            </w:r>
          </w:p>
        </w:tc>
      </w:tr>
      <w:tr>
        <w:trPr>
          <w:trHeight w:val="149"/>
        </w:trPr>
        <w:tc>
          <w:tcPr>
            <w:tcW w:w="9400" w:type="dxa"/>
            <w:vAlign w:val="bottom"/>
          </w:tcPr>
          <w:p>
            <w:pPr>
              <w:ind w:left="880"/>
              <w:spacing w:after="0" w:line="149" w:lineRule="exact"/>
              <w:rPr>
                <w:sz w:val="20"/>
                <w:szCs w:val="20"/>
                <w:color w:val="auto"/>
              </w:rPr>
            </w:pPr>
            <w:r>
              <w:rPr>
                <w:rFonts w:ascii="Arial" w:cs="Arial" w:eastAsia="Arial" w:hAnsi="Arial"/>
                <w:sz w:val="14"/>
                <w:szCs w:val="14"/>
                <w:color w:val="auto"/>
              </w:rPr>
              <w:t>Increase in payables for investments purchased</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27,157,500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7,078,630</w:t>
            </w:r>
          </w:p>
        </w:tc>
      </w:tr>
      <w:tr>
        <w:trPr>
          <w:trHeight w:val="149"/>
        </w:trPr>
        <w:tc>
          <w:tcPr>
            <w:tcW w:w="9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(Decrease) increase in interest payable on Credit Facility</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(11,415)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256,616</w:t>
            </w:r>
          </w:p>
        </w:tc>
      </w:tr>
      <w:tr>
        <w:trPr>
          <w:trHeight w:val="149"/>
        </w:trPr>
        <w:tc>
          <w:tcPr>
            <w:tcW w:w="9400" w:type="dxa"/>
            <w:vAlign w:val="bottom"/>
          </w:tcPr>
          <w:p>
            <w:pPr>
              <w:ind w:left="880"/>
              <w:spacing w:after="0" w:line="149" w:lineRule="exact"/>
              <w:rPr>
                <w:sz w:val="20"/>
                <w:szCs w:val="20"/>
                <w:color w:val="auto"/>
              </w:rPr>
            </w:pPr>
            <w:r>
              <w:rPr>
                <w:rFonts w:ascii="Arial" w:cs="Arial" w:eastAsia="Arial" w:hAnsi="Arial"/>
                <w:sz w:val="14"/>
                <w:szCs w:val="14"/>
                <w:color w:val="auto"/>
              </w:rPr>
              <w:t>Increase in management fee payable</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124,032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117,241</w:t>
            </w:r>
          </w:p>
        </w:tc>
      </w:tr>
      <w:tr>
        <w:trPr>
          <w:trHeight w:val="149"/>
        </w:trPr>
        <w:tc>
          <w:tcPr>
            <w:tcW w:w="9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Increase in performance-based incentive fee payable</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152,231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18,074</w:t>
            </w:r>
          </w:p>
        </w:tc>
      </w:tr>
      <w:tr>
        <w:trPr>
          <w:trHeight w:val="156"/>
        </w:trPr>
        <w:tc>
          <w:tcPr>
            <w:tcW w:w="9400" w:type="dxa"/>
            <w:vAlign w:val="bottom"/>
          </w:tcPr>
          <w:p>
            <w:pPr>
              <w:ind w:left="880"/>
              <w:spacing w:after="0" w:line="149" w:lineRule="exact"/>
              <w:rPr>
                <w:sz w:val="20"/>
                <w:szCs w:val="20"/>
                <w:color w:val="auto"/>
              </w:rPr>
            </w:pPr>
            <w:r>
              <w:rPr>
                <w:rFonts w:ascii="Arial" w:cs="Arial" w:eastAsia="Arial" w:hAnsi="Arial"/>
                <w:sz w:val="14"/>
                <w:szCs w:val="14"/>
                <w:color w:val="auto"/>
              </w:rPr>
              <w:t>Increase in accrued other expenses</w:t>
            </w: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334,587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254,390</w:t>
            </w:r>
          </w:p>
        </w:tc>
        <w:tc>
          <w:tcPr>
            <w:tcW w:w="80" w:type="dxa"/>
            <w:vAlign w:val="bottom"/>
          </w:tcPr>
          <w:p>
            <w:pPr>
              <w:spacing w:after="0"/>
              <w:rPr>
                <w:sz w:val="13"/>
                <w:szCs w:val="13"/>
                <w:color w:val="auto"/>
              </w:rPr>
            </w:pPr>
          </w:p>
        </w:tc>
      </w:tr>
      <w:tr>
        <w:trPr>
          <w:trHeight w:val="149"/>
        </w:trPr>
        <w:tc>
          <w:tcPr>
            <w:tcW w:w="940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Net cash used for operating activities</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5"/>
              </w:rPr>
              <w:t>(47,119,192)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(28,887,371)</w:t>
            </w:r>
          </w:p>
        </w:tc>
      </w:tr>
      <w:tr>
        <w:trPr>
          <w:trHeight w:val="156"/>
        </w:trPr>
        <w:tc>
          <w:tcPr>
            <w:tcW w:w="940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9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Public offering</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48,300,000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9400" w:type="dxa"/>
            <w:vAlign w:val="bottom"/>
          </w:tcPr>
          <w:p>
            <w:pPr>
              <w:ind w:left="880"/>
              <w:spacing w:after="0" w:line="149" w:lineRule="exact"/>
              <w:rPr>
                <w:sz w:val="20"/>
                <w:szCs w:val="20"/>
                <w:color w:val="auto"/>
              </w:rPr>
            </w:pPr>
            <w:r>
              <w:rPr>
                <w:rFonts w:ascii="Arial" w:cs="Arial" w:eastAsia="Arial" w:hAnsi="Arial"/>
                <w:sz w:val="14"/>
                <w:szCs w:val="14"/>
                <w:color w:val="auto"/>
              </w:rPr>
              <w:t>Offering costs</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(400,000)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9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Deferred sales load paid</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(2,055,000)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9400" w:type="dxa"/>
            <w:vAlign w:val="bottom"/>
          </w:tcPr>
          <w:p>
            <w:pPr>
              <w:ind w:left="880"/>
              <w:spacing w:after="0" w:line="149" w:lineRule="exact"/>
              <w:rPr>
                <w:sz w:val="20"/>
                <w:szCs w:val="20"/>
                <w:color w:val="auto"/>
              </w:rPr>
            </w:pPr>
            <w:r>
              <w:rPr>
                <w:rFonts w:ascii="Arial" w:cs="Arial" w:eastAsia="Arial" w:hAnsi="Arial"/>
                <w:sz w:val="14"/>
                <w:szCs w:val="14"/>
                <w:color w:val="auto"/>
              </w:rPr>
              <w:t>Distributions paid to stockholders</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(5,735,436)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(4,521,440)</w:t>
            </w:r>
          </w:p>
        </w:tc>
      </w:tr>
      <w:tr>
        <w:trPr>
          <w:trHeight w:val="149"/>
        </w:trPr>
        <w:tc>
          <w:tcPr>
            <w:tcW w:w="94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Borrowings under Credit Facility (See Notes 5 and 9)</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121,450,000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71,450,000</w:t>
            </w:r>
          </w:p>
        </w:tc>
      </w:tr>
      <w:tr>
        <w:trPr>
          <w:trHeight w:val="156"/>
        </w:trPr>
        <w:tc>
          <w:tcPr>
            <w:tcW w:w="9400" w:type="dxa"/>
            <w:vAlign w:val="bottom"/>
          </w:tcPr>
          <w:p>
            <w:pPr>
              <w:ind w:left="880"/>
              <w:spacing w:after="0" w:line="149" w:lineRule="exact"/>
              <w:rPr>
                <w:sz w:val="20"/>
                <w:szCs w:val="20"/>
                <w:color w:val="auto"/>
              </w:rPr>
            </w:pPr>
            <w:r>
              <w:rPr>
                <w:rFonts w:ascii="Arial" w:cs="Arial" w:eastAsia="Arial" w:hAnsi="Arial"/>
                <w:sz w:val="14"/>
                <w:szCs w:val="14"/>
                <w:color w:val="auto"/>
              </w:rPr>
              <w:t>Repayments under Credit Facility (See Notes 5 and 9)</w:t>
            </w:r>
          </w:p>
        </w:tc>
        <w:tc>
          <w:tcPr>
            <w:tcW w:w="60" w:type="dxa"/>
            <w:vAlign w:val="bottom"/>
          </w:tcPr>
          <w:p>
            <w:pPr>
              <w:spacing w:after="0"/>
              <w:rPr>
                <w:sz w:val="13"/>
                <w:szCs w:val="13"/>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7"/>
              </w:rPr>
              <w:t>(111,350,000)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(41,700,000)</w:t>
            </w:r>
          </w:p>
        </w:tc>
      </w:tr>
      <w:tr>
        <w:trPr>
          <w:trHeight w:val="149"/>
        </w:trPr>
        <w:tc>
          <w:tcPr>
            <w:tcW w:w="940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50,209,564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25,228,560</w:t>
            </w:r>
          </w:p>
        </w:tc>
        <w:tc>
          <w:tcPr>
            <w:tcW w:w="80" w:type="dxa"/>
            <w:vAlign w:val="bottom"/>
            <w:shd w:val="clear" w:color="auto" w:fill="CCEEFF"/>
          </w:tcPr>
          <w:p>
            <w:pPr>
              <w:spacing w:after="0"/>
              <w:rPr>
                <w:sz w:val="12"/>
                <w:szCs w:val="12"/>
                <w:color w:val="auto"/>
              </w:rPr>
            </w:pPr>
          </w:p>
        </w:tc>
      </w:tr>
      <w:tr>
        <w:trPr>
          <w:trHeight w:val="156"/>
        </w:trPr>
        <w:tc>
          <w:tcPr>
            <w:tcW w:w="940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(decrease) in cash equivalents</w:t>
            </w:r>
          </w:p>
        </w:tc>
        <w:tc>
          <w:tcPr>
            <w:tcW w:w="6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3,090,372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4"/>
              </w:rPr>
              <w:t>(3,658,811)</w:t>
            </w:r>
          </w:p>
        </w:tc>
      </w:tr>
      <w:tr>
        <w:trPr>
          <w:trHeight w:val="149"/>
        </w:trPr>
        <w:tc>
          <w:tcPr>
            <w:tcW w:w="9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 beginning of period</w:t>
            </w: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3,845,803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6,987,450</w:t>
            </w:r>
          </w:p>
        </w:tc>
        <w:tc>
          <w:tcPr>
            <w:tcW w:w="80" w:type="dxa"/>
            <w:vAlign w:val="bottom"/>
            <w:shd w:val="clear" w:color="auto" w:fill="CCEEFF"/>
          </w:tcPr>
          <w:p>
            <w:pPr>
              <w:spacing w:after="0"/>
              <w:rPr>
                <w:sz w:val="12"/>
                <w:szCs w:val="12"/>
                <w:color w:val="auto"/>
              </w:rPr>
            </w:pPr>
          </w:p>
        </w:tc>
      </w:tr>
      <w:tr>
        <w:trPr>
          <w:trHeight w:val="156"/>
        </w:trPr>
        <w:tc>
          <w:tcPr>
            <w:tcW w:w="9400" w:type="dxa"/>
            <w:vAlign w:val="bottom"/>
          </w:tcPr>
          <w:p>
            <w:pPr>
              <w:spacing w:after="0" w:line="155" w:lineRule="exact"/>
              <w:rPr>
                <w:sz w:val="20"/>
                <w:szCs w:val="20"/>
                <w:color w:val="auto"/>
              </w:rPr>
            </w:pPr>
            <w:r>
              <w:rPr>
                <w:rFonts w:ascii="Arial" w:cs="Arial" w:eastAsia="Arial" w:hAnsi="Arial"/>
                <w:sz w:val="14"/>
                <w:szCs w:val="14"/>
                <w:b w:val="1"/>
                <w:bCs w:val="1"/>
                <w:color w:val="auto"/>
              </w:rPr>
              <w:t>Cash equivalents, end of period</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6,936,175</w:t>
            </w:r>
          </w:p>
        </w:tc>
        <w:tc>
          <w:tcPr>
            <w:tcW w:w="220" w:type="dxa"/>
            <w:vAlign w:val="bottom"/>
          </w:tcPr>
          <w:p>
            <w:pPr>
              <w:spacing w:after="0"/>
              <w:rPr>
                <w:sz w:val="13"/>
                <w:szCs w:val="13"/>
                <w:color w:val="auto"/>
              </w:rPr>
            </w:pP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3,328,639</w:t>
            </w:r>
          </w:p>
        </w:tc>
      </w:tr>
      <w:tr>
        <w:trPr>
          <w:trHeight w:val="20"/>
        </w:trPr>
        <w:tc>
          <w:tcPr>
            <w:tcW w:w="9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94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6"/>
        </w:trPr>
        <w:tc>
          <w:tcPr>
            <w:tcW w:w="9400" w:type="dxa"/>
            <w:vAlign w:val="bottom"/>
          </w:tcPr>
          <w:p>
            <w:pPr>
              <w:ind w:left="440"/>
              <w:spacing w:after="0" w:line="149" w:lineRule="exact"/>
              <w:rPr>
                <w:sz w:val="20"/>
                <w:szCs w:val="20"/>
                <w:color w:val="auto"/>
              </w:rPr>
            </w:pPr>
            <w:r>
              <w:rPr>
                <w:rFonts w:ascii="Arial" w:cs="Arial" w:eastAsia="Arial" w:hAnsi="Arial"/>
                <w:sz w:val="14"/>
                <w:szCs w:val="14"/>
                <w:color w:val="auto"/>
              </w:rPr>
              <w:t>Interest paid</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1,353,513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774,591</w:t>
            </w:r>
          </w:p>
        </w:tc>
        <w:tc>
          <w:tcPr>
            <w:tcW w:w="80" w:type="dxa"/>
            <w:vAlign w:val="bottom"/>
          </w:tcPr>
          <w:p>
            <w:pPr>
              <w:spacing w:after="0"/>
              <w:rPr>
                <w:sz w:val="13"/>
                <w:szCs w:val="13"/>
                <w:color w:val="auto"/>
              </w:rPr>
            </w:pPr>
          </w:p>
        </w:tc>
      </w:tr>
      <w:tr>
        <w:trPr>
          <w:trHeight w:val="149"/>
        </w:trPr>
        <w:tc>
          <w:tcPr>
            <w:tcW w:w="94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Excise taxes paid</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79,140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842</w:t>
            </w:r>
          </w:p>
        </w:tc>
        <w:tc>
          <w:tcPr>
            <w:tcW w:w="80" w:type="dxa"/>
            <w:vAlign w:val="bottom"/>
            <w:shd w:val="clear" w:color="auto" w:fill="CCEEFF"/>
          </w:tcPr>
          <w:p>
            <w:pPr>
              <w:spacing w:after="0"/>
              <w:rPr>
                <w:sz w:val="12"/>
                <w:szCs w:val="12"/>
                <w:color w:val="auto"/>
              </w:rPr>
            </w:pPr>
          </w:p>
        </w:tc>
      </w:tr>
      <w:tr>
        <w:trPr>
          <w:trHeight w:val="156"/>
        </w:trPr>
        <w:tc>
          <w:tcPr>
            <w:tcW w:w="9400" w:type="dxa"/>
            <w:vAlign w:val="bottom"/>
          </w:tcPr>
          <w:p>
            <w:pPr>
              <w:ind w:left="440"/>
              <w:spacing w:after="0" w:line="155" w:lineRule="exact"/>
              <w:rPr>
                <w:sz w:val="20"/>
                <w:szCs w:val="20"/>
                <w:color w:val="auto"/>
              </w:rPr>
            </w:pPr>
            <w:r>
              <w:rPr>
                <w:rFonts w:ascii="Arial" w:cs="Arial" w:eastAsia="Arial" w:hAnsi="Arial"/>
                <w:sz w:val="14"/>
                <w:szCs w:val="14"/>
                <w:color w:val="auto"/>
              </w:rPr>
              <w:t>Dividends reinvested</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57,975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2" w:lineRule="auto"/>
        <w:rPr>
          <w:sz w:val="20"/>
          <w:szCs w:val="20"/>
          <w:color w:val="auto"/>
        </w:rPr>
      </w:pPr>
      <w:r>
        <w:rPr>
          <w:rFonts w:ascii="Arial" w:cs="Arial" w:eastAsia="Arial" w:hAnsi="Arial"/>
          <w:sz w:val="14"/>
          <w:szCs w:val="14"/>
          <w:b w:val="1"/>
          <w:bCs w:val="1"/>
          <w:color w:val="auto"/>
        </w:rPr>
        <w:t>JUNE 30, 2013</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Basis Point</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Spread</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22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Industry</w:t>
            </w: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Current</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Above</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Par/</w:t>
            </w: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5"/>
        </w:trPr>
        <w:tc>
          <w:tcPr>
            <w:tcW w:w="3620" w:type="dxa"/>
            <w:vAlign w:val="bottom"/>
            <w:gridSpan w:val="3"/>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Coupon</w:t>
            </w:r>
          </w:p>
        </w:tc>
        <w:tc>
          <w:tcPr>
            <w:tcW w:w="1060" w:type="dxa"/>
            <w:vAlign w:val="bottom"/>
            <w:gridSpan w:val="2"/>
          </w:tcPr>
          <w:p>
            <w:pPr>
              <w:jc w:val="center"/>
              <w:ind w:right="400"/>
              <w:spacing w:after="0" w:line="135" w:lineRule="exact"/>
              <w:rPr>
                <w:sz w:val="20"/>
                <w:szCs w:val="20"/>
                <w:color w:val="auto"/>
              </w:rPr>
            </w:pPr>
            <w:r>
              <w:rPr>
                <w:rFonts w:ascii="Arial" w:cs="Arial" w:eastAsia="Arial" w:hAnsi="Arial"/>
                <w:sz w:val="10"/>
                <w:szCs w:val="10"/>
                <w:b w:val="1"/>
                <w:bCs w:val="1"/>
                <w:color w:val="auto"/>
              </w:rPr>
              <w:t xml:space="preserve">Index </w:t>
            </w:r>
            <w:r>
              <w:rPr>
                <w:rFonts w:ascii="Arial" w:cs="Arial" w:eastAsia="Arial" w:hAnsi="Arial"/>
                <w:sz w:val="15"/>
                <w:szCs w:val="15"/>
                <w:b w:val="1"/>
                <w:bCs w:val="1"/>
                <w:color w:val="auto"/>
                <w:vertAlign w:val="superscript"/>
              </w:rPr>
              <w:t>(1)</w:t>
            </w: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5"/>
              </w:rPr>
              <w:t>Shares</w:t>
            </w:r>
          </w:p>
        </w:tc>
        <w:tc>
          <w:tcPr>
            <w:tcW w:w="740" w:type="dxa"/>
            <w:vAlign w:val="bottom"/>
            <w:gridSpan w:val="2"/>
            <w:vMerge w:val="continue"/>
          </w:tcPr>
          <w:p>
            <w:pPr>
              <w:spacing w:after="0"/>
              <w:rPr>
                <w:sz w:val="13"/>
                <w:szCs w:val="13"/>
                <w:color w:val="auto"/>
              </w:rPr>
            </w:pPr>
          </w:p>
        </w:tc>
        <w:tc>
          <w:tcPr>
            <w:tcW w:w="780" w:type="dxa"/>
            <w:vAlign w:val="bottom"/>
            <w:gridSpan w:val="2"/>
          </w:tcPr>
          <w:p>
            <w:pPr>
              <w:jc w:val="right"/>
              <w:ind w:right="192"/>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86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10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gridSpan w:val="6"/>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Non-Affiliated Portfolio Companies—173.9% </w:t>
            </w:r>
            <w:r>
              <w:rPr>
                <w:rFonts w:ascii="Arial" w:cs="Arial" w:eastAsia="Arial" w:hAnsi="Arial"/>
                <w:sz w:val="17"/>
                <w:szCs w:val="17"/>
                <w:b w:val="1"/>
                <w:bCs w:val="1"/>
                <w:color w:val="auto"/>
                <w:vertAlign w:val="superscript"/>
              </w:rPr>
              <w:t>(3),(4)</w:t>
            </w: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Debt—158.6%</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AKA Diversified Holdings, Inc.</w:t>
            </w:r>
          </w:p>
        </w:tc>
        <w:tc>
          <w:tcPr>
            <w:tcW w:w="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5"/>
              </w:rPr>
              <w:t>12/21/2016</w:t>
            </w:r>
          </w:p>
        </w:tc>
        <w:tc>
          <w:tcPr>
            <w:tcW w:w="18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4"/>
                <w:szCs w:val="14"/>
                <w:color w:val="auto"/>
                <w:w w:val="94"/>
              </w:rPr>
              <w:t>Retail</w:t>
            </w:r>
          </w:p>
        </w:tc>
        <w:tc>
          <w:tcPr>
            <w:tcW w:w="10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0"/>
                <w:szCs w:val="10"/>
                <w:color w:val="auto"/>
              </w:rPr>
              <w:t>12.50%</w:t>
            </w:r>
            <w:r>
              <w:rPr>
                <w:rFonts w:ascii="Arial" w:cs="Arial" w:eastAsia="Arial" w:hAnsi="Arial"/>
                <w:sz w:val="15"/>
                <w:szCs w:val="15"/>
                <w:color w:val="auto"/>
                <w:vertAlign w:val="superscript"/>
              </w:rPr>
              <w:t>(9)</w:t>
            </w:r>
          </w:p>
        </w:tc>
        <w:tc>
          <w:tcPr>
            <w:tcW w:w="106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L+1,225</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2,717,710</w:t>
            </w:r>
          </w:p>
        </w:tc>
        <w:tc>
          <w:tcPr>
            <w:tcW w:w="2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w w:val="82"/>
              </w:rPr>
              <w:t>$2,670,310</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$ 2,730,020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(a/k/a Z Wireless Holdings, Inc.)</w:t>
            </w: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(PIK 1.50%)</w:t>
            </w: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ALG USA Holdings, LLC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02/28/2019</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Hotel, Gaming and Leisure</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7.00%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L+575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8,478,750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8,411,572</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8,436,356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Alvogen Pharma US,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05/23/2018</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7.00%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L+575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2,000,000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1,980,048</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1,977,500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AMF Bowling Centers, Inc.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06/29/2018</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Retail</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8.75%</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L+750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8,000,000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7,760,000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7,760,000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ARC Automotive Group,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11/15/2018</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Automotive</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6.25%</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L+500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2,537,250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2,514,984</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2,544,651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Aspen Dental Management, Inc.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10/06/2016</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6"/>
              </w:rPr>
              <w:t>Consumer Services</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7.00%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L+550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2,955,000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2,928,969</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2,844,187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ATI Holdings,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12/20/2019</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5.75%</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L+450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2,985,000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2,957,250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2,988,731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Attachmate Corporation</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11/22/2017</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High Tech Industries</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7.27%</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L+575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2,775,000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2,731,151</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2,775,000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07/31/2017</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Automotive</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6.50%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L+500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964,483</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962,051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946,801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BBB Industries, LLC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03/27/2019</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Automotive</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5.50%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L+425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2,962,500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2,938,980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2,958,797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BBTS Borrower LP</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06/04/2019</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7"/>
              </w:rPr>
              <w:t>Energy: Oil and Gas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7.75%</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L+650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6,982,500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6,913,161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6,938,859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CBAC Borrower, LLC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07/02/2020</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Hotel, Gaming and Leisure</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8.25%</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L+700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5,000,000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4,950,000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5,062,500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Charlotte Russe, Inc. </w:t>
            </w:r>
            <w:r>
              <w:rPr>
                <w:rFonts w:ascii="Arial" w:cs="Arial" w:eastAsia="Arial" w:hAnsi="Arial"/>
                <w:sz w:val="17"/>
                <w:szCs w:val="17"/>
                <w:color w:val="auto"/>
                <w:vertAlign w:val="superscript"/>
              </w:rPr>
              <w:t>(8)</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05/22/2019</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Retail</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6.75%</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L+550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990,178</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DCS Business Services, Inc.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03/19/2018</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Business Services</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7.25%</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L+575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3,612,201</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3,560,664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3,558,018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Document Technologies,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12/03/2018</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Business Services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5.50%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L+425</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966,117</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958,929</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963,702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DS Waters of America, Inc.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08/29/2017</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Beverage, Food and Tobacco</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10.50%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L+900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3,935,000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3,871,074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3,969,431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EAG,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07/28/2017</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Business Services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6.75%</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P+350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913,149</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909,840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910,866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Edmenturn, Inc.</w:t>
            </w:r>
          </w:p>
        </w:tc>
        <w:tc>
          <w:tcPr>
            <w:tcW w:w="3080" w:type="dxa"/>
            <w:vAlign w:val="bottom"/>
            <w:gridSpan w:val="4"/>
          </w:tcPr>
          <w:p>
            <w:pPr>
              <w:spacing w:after="0" w:line="149" w:lineRule="exact"/>
              <w:rPr>
                <w:sz w:val="20"/>
                <w:szCs w:val="20"/>
                <w:color w:val="auto"/>
              </w:rPr>
            </w:pPr>
            <w:r>
              <w:rPr>
                <w:rFonts w:ascii="Arial" w:cs="Arial" w:eastAsia="Arial" w:hAnsi="Arial"/>
                <w:sz w:val="14"/>
                <w:szCs w:val="14"/>
                <w:color w:val="auto"/>
                <w:w w:val="96"/>
              </w:rPr>
              <w:t>05/17/2018   Media: Broadcasting and Subscription</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6.00%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L+475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950,625</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950,625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950,625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EIG Investors Corp.</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11/12/2019</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High Tech Industries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6.25%</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L+500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1,990,000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1,972,136</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1,999,950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05/18/2018</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Chemicals, Plastics and Rubber</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6.75%</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L+550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2,476,244</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2,456,884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2,470,054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eResearchtechnology,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05/02/2018</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6.00%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L+475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2,977,538</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2,963,028</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2,977,537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Fishnet Security, Inc.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11/30/2017</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High Tech Industries</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7.75%</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L+650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3,656,625</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3,631,095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3,656,625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GFA Brands,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07/02/2018</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Beverage, Food and Tobacco</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7.00%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L+575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1,935,000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1,902,550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1,942,256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Granite Broadcasting Corporation</w:t>
            </w:r>
          </w:p>
        </w:tc>
        <w:tc>
          <w:tcPr>
            <w:tcW w:w="3080" w:type="dxa"/>
            <w:vAlign w:val="bottom"/>
            <w:gridSpan w:val="4"/>
          </w:tcPr>
          <w:p>
            <w:pPr>
              <w:spacing w:after="0" w:line="149" w:lineRule="exact"/>
              <w:rPr>
                <w:sz w:val="20"/>
                <w:szCs w:val="20"/>
                <w:color w:val="auto"/>
              </w:rPr>
            </w:pPr>
            <w:r>
              <w:rPr>
                <w:rFonts w:ascii="Arial" w:cs="Arial" w:eastAsia="Arial" w:hAnsi="Arial"/>
                <w:sz w:val="14"/>
                <w:szCs w:val="14"/>
                <w:color w:val="auto"/>
                <w:w w:val="96"/>
              </w:rPr>
              <w:t>05/23/2018   Media: Broadcasting and Subscription</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6.75%</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L+550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2,992,500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2,985,035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3,007,462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Graton Economic Development Authority </w:t>
            </w:r>
            <w:r>
              <w:rPr>
                <w:rFonts w:ascii="Arial" w:cs="Arial" w:eastAsia="Arial" w:hAnsi="Arial"/>
                <w:sz w:val="17"/>
                <w:szCs w:val="17"/>
                <w:color w:val="auto"/>
                <w:vertAlign w:val="superscript"/>
              </w:rPr>
              <w:t>(5), (8)</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09/02/2019</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7"/>
              </w:rPr>
              <w:t>Hotel, Gaming and Leisure</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9.63%</w:t>
            </w: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3,000,000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3,000,000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3,285,000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GSE Environmental, Inc. </w:t>
            </w:r>
            <w:r>
              <w:rPr>
                <w:rFonts w:ascii="Arial" w:cs="Arial" w:eastAsia="Arial" w:hAnsi="Arial"/>
                <w:sz w:val="17"/>
                <w:szCs w:val="17"/>
                <w:color w:val="auto"/>
                <w:vertAlign w:val="superscript"/>
              </w:rPr>
              <w:t>(8)</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05/27/2016</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9"/>
              </w:rPr>
              <w:t>Environmental Industries</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7.00%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L+550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2,941,857</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2,932,779</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2,919,794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Help/Systems Holdings,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06/28/2019</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High Tech Industries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5.50%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L+450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5,000,000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4,950,000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4,950,000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04/01/2019</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Retail</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5.75%</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L+450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2,962,500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2,911,471</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2,969,906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Howard Berger Co. LLC </w:t>
            </w:r>
            <w:r>
              <w:rPr>
                <w:rFonts w:ascii="Arial" w:cs="Arial" w:eastAsia="Arial" w:hAnsi="Arial"/>
                <w:sz w:val="17"/>
                <w:szCs w:val="17"/>
                <w:color w:val="auto"/>
                <w:vertAlign w:val="superscript"/>
              </w:rPr>
              <w:t>(8)</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08/03/2017</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Wholesale</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7.00%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L+575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2,592,540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2,562,226</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2,566,614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03/30/2017</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Automotive</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11.50%</w:t>
            </w: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2,000,000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1,968,051</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2,190,000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iEnergizer Limited and Aptara, Inc. </w:t>
            </w:r>
            <w:r>
              <w:rPr>
                <w:rFonts w:ascii="Arial" w:cs="Arial" w:eastAsia="Arial" w:hAnsi="Arial"/>
                <w:sz w:val="17"/>
                <w:szCs w:val="17"/>
                <w:color w:val="auto"/>
                <w:vertAlign w:val="superscript"/>
              </w:rPr>
              <w:t>(6)</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05/01/2019</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Business Services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7.25%</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L+600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9,000,000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8,848,361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8,842,500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Ikaria Acquisition Inc.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09/25/2017</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7.75%</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L+650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1,687,250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1,678,814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1,678,814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InfuSystem Holdings,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11/30/2016</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12.13%</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P+625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2,175,000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2,175,000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2,185,683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tcPr>
          <w:p>
            <w:pPr>
              <w:spacing w:after="0" w:line="138" w:lineRule="exact"/>
              <w:rPr>
                <w:sz w:val="20"/>
                <w:szCs w:val="20"/>
                <w:color w:val="auto"/>
              </w:rPr>
            </w:pPr>
            <w:r>
              <w:rPr>
                <w:rFonts w:ascii="Arial" w:cs="Arial" w:eastAsia="Arial" w:hAnsi="Arial"/>
                <w:sz w:val="14"/>
                <w:szCs w:val="14"/>
                <w:color w:val="auto"/>
              </w:rPr>
              <w:t>Instant Web, Inc.</w:t>
            </w:r>
          </w:p>
        </w:tc>
        <w:tc>
          <w:tcPr>
            <w:tcW w:w="620" w:type="dxa"/>
            <w:vAlign w:val="bottom"/>
          </w:tcPr>
          <w:p>
            <w:pPr>
              <w:spacing w:after="0" w:line="138" w:lineRule="exact"/>
              <w:rPr>
                <w:sz w:val="20"/>
                <w:szCs w:val="20"/>
                <w:color w:val="auto"/>
              </w:rPr>
            </w:pPr>
            <w:r>
              <w:rPr>
                <w:rFonts w:ascii="Arial" w:cs="Arial" w:eastAsia="Arial" w:hAnsi="Arial"/>
                <w:sz w:val="14"/>
                <w:szCs w:val="14"/>
                <w:color w:val="auto"/>
                <w:w w:val="85"/>
              </w:rPr>
              <w:t>08/07/2014</w:t>
            </w:r>
          </w:p>
        </w:tc>
        <w:tc>
          <w:tcPr>
            <w:tcW w:w="180" w:type="dxa"/>
            <w:vAlign w:val="bottom"/>
          </w:tcPr>
          <w:p>
            <w:pPr>
              <w:spacing w:after="0"/>
              <w:rPr>
                <w:sz w:val="11"/>
                <w:szCs w:val="11"/>
                <w:color w:val="auto"/>
              </w:rPr>
            </w:pPr>
          </w:p>
        </w:tc>
        <w:tc>
          <w:tcPr>
            <w:tcW w:w="2280" w:type="dxa"/>
            <w:vAlign w:val="bottom"/>
            <w:gridSpan w:val="2"/>
          </w:tcPr>
          <w:p>
            <w:pPr>
              <w:jc w:val="center"/>
              <w:ind w:right="180"/>
              <w:spacing w:after="0" w:line="138" w:lineRule="exact"/>
              <w:rPr>
                <w:sz w:val="20"/>
                <w:szCs w:val="20"/>
                <w:color w:val="auto"/>
              </w:rPr>
            </w:pPr>
            <w:r>
              <w:rPr>
                <w:rFonts w:ascii="Arial" w:cs="Arial" w:eastAsia="Arial" w:hAnsi="Arial"/>
                <w:sz w:val="14"/>
                <w:szCs w:val="14"/>
                <w:color w:val="auto"/>
                <w:w w:val="90"/>
              </w:rPr>
              <w:t>Media: Advertising, Printing and</w:t>
            </w:r>
          </w:p>
        </w:tc>
        <w:tc>
          <w:tcPr>
            <w:tcW w:w="1060" w:type="dxa"/>
            <w:vAlign w:val="bottom"/>
            <w:gridSpan w:val="2"/>
          </w:tcPr>
          <w:p>
            <w:pPr>
              <w:jc w:val="right"/>
              <w:ind w:right="220"/>
              <w:spacing w:after="0" w:line="138" w:lineRule="exact"/>
              <w:rPr>
                <w:sz w:val="20"/>
                <w:szCs w:val="20"/>
                <w:color w:val="auto"/>
              </w:rPr>
            </w:pPr>
            <w:r>
              <w:rPr>
                <w:rFonts w:ascii="Arial" w:cs="Arial" w:eastAsia="Arial" w:hAnsi="Arial"/>
                <w:sz w:val="10"/>
                <w:szCs w:val="10"/>
                <w:color w:val="auto"/>
              </w:rPr>
              <w:t>3.57%</w:t>
            </w:r>
            <w:r>
              <w:rPr>
                <w:rFonts w:ascii="Arial" w:cs="Arial" w:eastAsia="Arial" w:hAnsi="Arial"/>
                <w:sz w:val="15"/>
                <w:szCs w:val="15"/>
                <w:color w:val="auto"/>
                <w:vertAlign w:val="superscript"/>
              </w:rPr>
              <w:t>(9)</w:t>
            </w:r>
          </w:p>
        </w:tc>
        <w:tc>
          <w:tcPr>
            <w:tcW w:w="1060" w:type="dxa"/>
            <w:vAlign w:val="bottom"/>
            <w:gridSpan w:val="2"/>
          </w:tcPr>
          <w:p>
            <w:pPr>
              <w:jc w:val="right"/>
              <w:ind w:right="420"/>
              <w:spacing w:after="0" w:line="138" w:lineRule="exact"/>
              <w:rPr>
                <w:sz w:val="20"/>
                <w:szCs w:val="20"/>
                <w:color w:val="auto"/>
              </w:rPr>
            </w:pPr>
            <w:r>
              <w:rPr>
                <w:rFonts w:ascii="Arial" w:cs="Arial" w:eastAsia="Arial" w:hAnsi="Arial"/>
                <w:sz w:val="14"/>
                <w:szCs w:val="14"/>
                <w:color w:val="auto"/>
              </w:rPr>
              <w:t>L+338</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w w:val="89"/>
              </w:rPr>
              <w:t>6,836,508</w:t>
            </w:r>
          </w:p>
        </w:tc>
        <w:tc>
          <w:tcPr>
            <w:tcW w:w="280" w:type="dxa"/>
            <w:vAlign w:val="bottom"/>
          </w:tcPr>
          <w:p>
            <w:pPr>
              <w:spacing w:after="0"/>
              <w:rPr>
                <w:sz w:val="11"/>
                <w:szCs w:val="11"/>
                <w:color w:val="auto"/>
              </w:rPr>
            </w:pPr>
          </w:p>
        </w:tc>
        <w:tc>
          <w:tcPr>
            <w:tcW w:w="74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w w:val="93"/>
              </w:rPr>
              <w:t>6,659,730</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4,802,647</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8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89"/>
              </w:rPr>
              <w:t>Publishing</w:t>
            </w: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Jackson Hewitt Tax Service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10/16/2017</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6"/>
              </w:rPr>
              <w:t>Consumer Services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10.00%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L+850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3,293,750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3,176,610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3,186,703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K2 Pure Solutions NoCal, L.P.</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09/10/2015</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Chemicals, Plastics and Rubber</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10.50%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P+725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5,895,141</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5,930,326</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5,806,714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LifeCare Holdings LLC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11/30/2018</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6.50%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L+525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6,000,000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5,911,128</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5,865,000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Lineage Logistics, LLC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04/26/2019</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Beverage, Food and Tobacco</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4.50%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L+350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5,000,000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4,975,805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4,978,125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Meritas Schools Holdings, LLC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06/25/2019</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6"/>
              </w:rPr>
              <w:t>Consumer Services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7.00%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L+575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3,000,000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2,970,047</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2,998,125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Milk Specialties Company</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11/09/2018</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Consumer Goods: Non-Durable</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7.00%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L+575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3,391,500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3,361,772</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3,408,458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05/07/2018</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7.00%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L+550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2,354,516</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2,350,291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2,350,984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MX USA, Inc.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05/01/2017</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6.50%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L+525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2,960,964</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2,925,114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2,960,964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NAB Holdings, LLC</w:t>
            </w:r>
          </w:p>
        </w:tc>
        <w:tc>
          <w:tcPr>
            <w:tcW w:w="3080" w:type="dxa"/>
            <w:vAlign w:val="bottom"/>
            <w:gridSpan w:val="4"/>
            <w:shd w:val="clear" w:color="auto" w:fill="CCEEFF"/>
          </w:tcPr>
          <w:p>
            <w:pPr>
              <w:spacing w:after="0" w:line="138" w:lineRule="exact"/>
              <w:rPr>
                <w:sz w:val="20"/>
                <w:szCs w:val="20"/>
                <w:color w:val="auto"/>
              </w:rPr>
            </w:pPr>
            <w:r>
              <w:rPr>
                <w:rFonts w:ascii="Arial" w:cs="Arial" w:eastAsia="Arial" w:hAnsi="Arial"/>
                <w:sz w:val="14"/>
                <w:szCs w:val="14"/>
                <w:color w:val="auto"/>
                <w:w w:val="95"/>
              </w:rPr>
              <w:t>04/24/2018   Banking, Finance, Insurance and Real</w:t>
            </w:r>
          </w:p>
        </w:tc>
        <w:tc>
          <w:tcPr>
            <w:tcW w:w="1060" w:type="dxa"/>
            <w:vAlign w:val="bottom"/>
            <w:gridSpan w:val="2"/>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7.00%</w:t>
            </w:r>
          </w:p>
        </w:tc>
        <w:tc>
          <w:tcPr>
            <w:tcW w:w="106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L+550</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946,500</w:t>
            </w:r>
          </w:p>
        </w:tc>
        <w:tc>
          <w:tcPr>
            <w:tcW w:w="2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934,857</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948,866</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jc w:val="center"/>
              <w:ind w:right="180"/>
              <w:spacing w:after="0" w:line="159" w:lineRule="exact"/>
              <w:rPr>
                <w:sz w:val="20"/>
                <w:szCs w:val="20"/>
                <w:color w:val="auto"/>
              </w:rPr>
            </w:pPr>
            <w:r>
              <w:rPr>
                <w:rFonts w:ascii="Arial" w:cs="Arial" w:eastAsia="Arial" w:hAnsi="Arial"/>
                <w:sz w:val="14"/>
                <w:szCs w:val="14"/>
                <w:color w:val="auto"/>
                <w:w w:val="85"/>
              </w:rPr>
              <w:t>Estate</w:t>
            </w:r>
          </w:p>
        </w:tc>
        <w:tc>
          <w:tcPr>
            <w:tcW w:w="5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Northfield Park Associates LLC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12/19/2018</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Hotel, Gaming and Leisure</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9.00%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L+775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4,500,000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4,416,217</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4,623,750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Orbitz Worldwide, Inc., Term Loan 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03/25/2019</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7"/>
              </w:rPr>
              <w:t>Transportation: Consumer</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5.75%</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L+475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4,000,000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4,000,000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4,010,000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Packaging Coordinators, Inc.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05/15/2020</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Containers, Packaging and Glass</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5.50%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L+425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2,500,000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2,487,614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Pelican Products,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07/11/2018</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Containers, Packaging and Glass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7.00%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L+550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1,485,000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1,460,059</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1,485,000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Penton Media, Inc. </w:t>
            </w:r>
            <w:r>
              <w:rPr>
                <w:rFonts w:ascii="Arial" w:cs="Arial" w:eastAsia="Arial" w:hAnsi="Arial"/>
                <w:sz w:val="15"/>
                <w:szCs w:val="15"/>
                <w:color w:val="auto"/>
                <w:vertAlign w:val="superscript"/>
              </w:rPr>
              <w:t>(8)</w:t>
            </w:r>
          </w:p>
        </w:tc>
        <w:tc>
          <w:tcPr>
            <w:tcW w:w="620" w:type="dxa"/>
            <w:vAlign w:val="bottom"/>
          </w:tcPr>
          <w:p>
            <w:pPr>
              <w:spacing w:after="0" w:line="138" w:lineRule="exact"/>
              <w:rPr>
                <w:sz w:val="20"/>
                <w:szCs w:val="20"/>
                <w:color w:val="auto"/>
              </w:rPr>
            </w:pPr>
            <w:r>
              <w:rPr>
                <w:rFonts w:ascii="Arial" w:cs="Arial" w:eastAsia="Arial" w:hAnsi="Arial"/>
                <w:sz w:val="14"/>
                <w:szCs w:val="14"/>
                <w:color w:val="auto"/>
                <w:w w:val="85"/>
              </w:rPr>
              <w:t>08/01/2014</w:t>
            </w:r>
          </w:p>
        </w:tc>
        <w:tc>
          <w:tcPr>
            <w:tcW w:w="180" w:type="dxa"/>
            <w:vAlign w:val="bottom"/>
          </w:tcPr>
          <w:p>
            <w:pPr>
              <w:spacing w:after="0"/>
              <w:rPr>
                <w:sz w:val="11"/>
                <w:szCs w:val="11"/>
                <w:color w:val="auto"/>
              </w:rPr>
            </w:pPr>
          </w:p>
        </w:tc>
        <w:tc>
          <w:tcPr>
            <w:tcW w:w="2280" w:type="dxa"/>
            <w:vAlign w:val="bottom"/>
            <w:gridSpan w:val="2"/>
          </w:tcPr>
          <w:p>
            <w:pPr>
              <w:jc w:val="center"/>
              <w:ind w:right="160"/>
              <w:spacing w:after="0" w:line="138" w:lineRule="exact"/>
              <w:rPr>
                <w:sz w:val="20"/>
                <w:szCs w:val="20"/>
                <w:color w:val="auto"/>
              </w:rPr>
            </w:pPr>
            <w:r>
              <w:rPr>
                <w:rFonts w:ascii="Arial" w:cs="Arial" w:eastAsia="Arial" w:hAnsi="Arial"/>
                <w:sz w:val="14"/>
                <w:szCs w:val="14"/>
                <w:color w:val="auto"/>
                <w:w w:val="89"/>
              </w:rPr>
              <w:t>Media: Diversified and Production</w:t>
            </w:r>
          </w:p>
        </w:tc>
        <w:tc>
          <w:tcPr>
            <w:tcW w:w="1060" w:type="dxa"/>
            <w:vAlign w:val="bottom"/>
            <w:gridSpan w:val="2"/>
          </w:tcPr>
          <w:p>
            <w:pPr>
              <w:jc w:val="right"/>
              <w:ind w:right="360"/>
              <w:spacing w:after="0" w:line="138" w:lineRule="exact"/>
              <w:rPr>
                <w:sz w:val="20"/>
                <w:szCs w:val="20"/>
                <w:color w:val="auto"/>
              </w:rPr>
            </w:pPr>
            <w:r>
              <w:rPr>
                <w:rFonts w:ascii="Arial" w:cs="Arial" w:eastAsia="Arial" w:hAnsi="Arial"/>
                <w:sz w:val="14"/>
                <w:szCs w:val="14"/>
                <w:color w:val="auto"/>
              </w:rPr>
              <w:t>6.00%</w:t>
            </w:r>
          </w:p>
        </w:tc>
        <w:tc>
          <w:tcPr>
            <w:tcW w:w="1060" w:type="dxa"/>
            <w:vAlign w:val="bottom"/>
            <w:gridSpan w:val="2"/>
          </w:tcPr>
          <w:p>
            <w:pPr>
              <w:jc w:val="right"/>
              <w:ind w:right="420"/>
              <w:spacing w:after="0" w:line="138" w:lineRule="exact"/>
              <w:rPr>
                <w:sz w:val="20"/>
                <w:szCs w:val="20"/>
                <w:color w:val="auto"/>
              </w:rPr>
            </w:pPr>
            <w:r>
              <w:rPr>
                <w:rFonts w:ascii="Arial" w:cs="Arial" w:eastAsia="Arial" w:hAnsi="Arial"/>
                <w:sz w:val="14"/>
                <w:szCs w:val="14"/>
                <w:color w:val="auto"/>
              </w:rPr>
              <w:t>L+500</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w w:val="89"/>
              </w:rPr>
              <w:t>5,509,179</w:t>
            </w:r>
          </w:p>
        </w:tc>
        <w:tc>
          <w:tcPr>
            <w:tcW w:w="280" w:type="dxa"/>
            <w:vAlign w:val="bottom"/>
          </w:tcPr>
          <w:p>
            <w:pPr>
              <w:spacing w:after="0"/>
              <w:rPr>
                <w:sz w:val="11"/>
                <w:szCs w:val="11"/>
                <w:color w:val="auto"/>
              </w:rPr>
            </w:pPr>
          </w:p>
        </w:tc>
        <w:tc>
          <w:tcPr>
            <w:tcW w:w="74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w w:val="93"/>
              </w:rPr>
              <w:t>5,182,543</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5,247,493</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color w:val="auto"/>
              </w:rPr>
              <w:t>(PIK 2.00%)</w:t>
            </w: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Polyconcept Finance B.V.</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06/28/2019</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Consumer Goods: Non-Durable</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7.00%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P+375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8,000,000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7,920,000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7,800,000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Premier Dental Services, Inc.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11/01/2018</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6"/>
              </w:rPr>
              <w:t>Consumer Services</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8.25%</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L+700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3,383,000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3,291,106</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3,399,915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RiverBoat Corporation of Mississippi </w:t>
            </w:r>
            <w:r>
              <w:rPr>
                <w:rFonts w:ascii="Arial" w:cs="Arial" w:eastAsia="Arial" w:hAnsi="Arial"/>
                <w:sz w:val="17"/>
                <w:szCs w:val="17"/>
                <w:color w:val="auto"/>
                <w:vertAlign w:val="superscript"/>
              </w:rPr>
              <w:t>(8)</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11/29/2016</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7"/>
              </w:rPr>
              <w:t>Hotel, Gaming and Leisure</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10.00%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L+875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4,250,000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4,177,840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4,175,625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Sabre Industries, Inc.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08/24/2018</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Construction and Building</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5.75%</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L+475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2,985,000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2,945,873</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2,983,134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Securus Technologies Holdings, Inc. </w:t>
            </w:r>
            <w:r>
              <w:rPr>
                <w:rFonts w:ascii="Arial" w:cs="Arial" w:eastAsia="Arial" w:hAnsi="Arial"/>
                <w:sz w:val="17"/>
                <w:szCs w:val="17"/>
                <w:color w:val="auto"/>
                <w:vertAlign w:val="superscript"/>
              </w:rPr>
              <w:t>(8)</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04/30/2020</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Telecommunications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4.75%</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L+350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2,000,000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1,980,571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1,978,750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04/21/2017</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3"/>
              </w:rPr>
              <w:t>Aerospace and Defense</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7.50%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L+600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2,765,755</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2,746,298</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2,689,697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 George’s University Scholastic Services LLC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12/20/2017</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6"/>
              </w:rPr>
              <w:t>Consumer Services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8.50%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L+700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2,422,500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2,379,019</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2,425,528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Steward Health Care System LLC </w:t>
            </w:r>
            <w:r>
              <w:rPr>
                <w:rFonts w:ascii="Arial" w:cs="Arial" w:eastAsia="Arial" w:hAnsi="Arial"/>
                <w:sz w:val="17"/>
                <w:szCs w:val="17"/>
                <w:color w:val="auto"/>
                <w:vertAlign w:val="superscript"/>
              </w:rPr>
              <w:t>(8)</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04/13/2020</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6.75%</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L+550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2,000,000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1,980,663</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Sutherland Global Services,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03/06/2019</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Business Services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7.25%</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L+600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987,500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968,700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982,563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tcPr>
          <w:p>
            <w:pPr>
              <w:spacing w:after="0" w:line="138" w:lineRule="exact"/>
              <w:rPr>
                <w:sz w:val="20"/>
                <w:szCs w:val="20"/>
                <w:color w:val="auto"/>
              </w:rPr>
            </w:pPr>
            <w:r>
              <w:rPr>
                <w:rFonts w:ascii="Arial" w:cs="Arial" w:eastAsia="Arial" w:hAnsi="Arial"/>
                <w:sz w:val="14"/>
                <w:szCs w:val="14"/>
                <w:color w:val="auto"/>
              </w:rPr>
              <w:t>The National Underwriter Company</w:t>
            </w:r>
          </w:p>
        </w:tc>
        <w:tc>
          <w:tcPr>
            <w:tcW w:w="620" w:type="dxa"/>
            <w:vAlign w:val="bottom"/>
          </w:tcPr>
          <w:p>
            <w:pPr>
              <w:spacing w:after="0" w:line="138" w:lineRule="exact"/>
              <w:rPr>
                <w:sz w:val="20"/>
                <w:szCs w:val="20"/>
                <w:color w:val="auto"/>
              </w:rPr>
            </w:pPr>
            <w:r>
              <w:rPr>
                <w:rFonts w:ascii="Arial" w:cs="Arial" w:eastAsia="Arial" w:hAnsi="Arial"/>
                <w:sz w:val="14"/>
                <w:szCs w:val="14"/>
                <w:color w:val="auto"/>
                <w:w w:val="85"/>
              </w:rPr>
              <w:t>05/31/2018</w:t>
            </w:r>
          </w:p>
        </w:tc>
        <w:tc>
          <w:tcPr>
            <w:tcW w:w="180" w:type="dxa"/>
            <w:vAlign w:val="bottom"/>
          </w:tcPr>
          <w:p>
            <w:pPr>
              <w:spacing w:after="0"/>
              <w:rPr>
                <w:sz w:val="11"/>
                <w:szCs w:val="11"/>
                <w:color w:val="auto"/>
              </w:rPr>
            </w:pPr>
          </w:p>
        </w:tc>
        <w:tc>
          <w:tcPr>
            <w:tcW w:w="2280" w:type="dxa"/>
            <w:vAlign w:val="bottom"/>
            <w:gridSpan w:val="2"/>
          </w:tcPr>
          <w:p>
            <w:pPr>
              <w:jc w:val="center"/>
              <w:ind w:right="180"/>
              <w:spacing w:after="0" w:line="138" w:lineRule="exact"/>
              <w:rPr>
                <w:sz w:val="20"/>
                <w:szCs w:val="20"/>
                <w:color w:val="auto"/>
              </w:rPr>
            </w:pPr>
            <w:r>
              <w:rPr>
                <w:rFonts w:ascii="Arial" w:cs="Arial" w:eastAsia="Arial" w:hAnsi="Arial"/>
                <w:sz w:val="14"/>
                <w:szCs w:val="14"/>
                <w:color w:val="auto"/>
                <w:w w:val="90"/>
              </w:rPr>
              <w:t>Media: Advertising, Printing and</w:t>
            </w:r>
          </w:p>
        </w:tc>
        <w:tc>
          <w:tcPr>
            <w:tcW w:w="1060" w:type="dxa"/>
            <w:vAlign w:val="bottom"/>
            <w:gridSpan w:val="2"/>
          </w:tcPr>
          <w:p>
            <w:pPr>
              <w:jc w:val="right"/>
              <w:ind w:right="360"/>
              <w:spacing w:after="0" w:line="138" w:lineRule="exact"/>
              <w:rPr>
                <w:sz w:val="20"/>
                <w:szCs w:val="20"/>
                <w:color w:val="auto"/>
              </w:rPr>
            </w:pPr>
            <w:r>
              <w:rPr>
                <w:rFonts w:ascii="Arial" w:cs="Arial" w:eastAsia="Arial" w:hAnsi="Arial"/>
                <w:sz w:val="14"/>
                <w:szCs w:val="14"/>
                <w:color w:val="auto"/>
              </w:rPr>
              <w:t>6.00%</w:t>
            </w:r>
          </w:p>
        </w:tc>
        <w:tc>
          <w:tcPr>
            <w:tcW w:w="1060" w:type="dxa"/>
            <w:vAlign w:val="bottom"/>
            <w:gridSpan w:val="2"/>
          </w:tcPr>
          <w:p>
            <w:pPr>
              <w:jc w:val="right"/>
              <w:ind w:right="420"/>
              <w:spacing w:after="0" w:line="138" w:lineRule="exact"/>
              <w:rPr>
                <w:sz w:val="20"/>
                <w:szCs w:val="20"/>
                <w:color w:val="auto"/>
              </w:rPr>
            </w:pPr>
            <w:r>
              <w:rPr>
                <w:rFonts w:ascii="Arial" w:cs="Arial" w:eastAsia="Arial" w:hAnsi="Arial"/>
                <w:sz w:val="14"/>
                <w:szCs w:val="14"/>
                <w:color w:val="auto"/>
              </w:rPr>
              <w:t>L+475</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w w:val="89"/>
              </w:rPr>
              <w:t>4,500,000</w:t>
            </w:r>
          </w:p>
        </w:tc>
        <w:tc>
          <w:tcPr>
            <w:tcW w:w="280" w:type="dxa"/>
            <w:vAlign w:val="bottom"/>
          </w:tcPr>
          <w:p>
            <w:pPr>
              <w:spacing w:after="0"/>
              <w:rPr>
                <w:sz w:val="11"/>
                <w:szCs w:val="11"/>
                <w:color w:val="auto"/>
              </w:rPr>
            </w:pPr>
          </w:p>
        </w:tc>
        <w:tc>
          <w:tcPr>
            <w:tcW w:w="74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w w:val="93"/>
              </w:rPr>
              <w:t>4,455,703</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4,477,500</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8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89"/>
              </w:rPr>
              <w:t>Publishing</w:t>
            </w: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Therakos, Inc.</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12/27/2017</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7.50%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L+625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2,985,000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2,901,936</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2,977,538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Travelport LLC</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85"/>
              </w:rPr>
              <w:t>06/26/2019</w:t>
            </w:r>
          </w:p>
        </w:tc>
        <w:tc>
          <w:tcPr>
            <w:tcW w:w="18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Transportation: Consumer</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6.25%</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L+500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6,000,000</w:t>
            </w:r>
          </w:p>
        </w:tc>
        <w:tc>
          <w:tcPr>
            <w:tcW w:w="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5,910,129</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5,925,000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TriNet HR Corporation</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10/24/2018</w:t>
            </w:r>
          </w:p>
        </w:tc>
        <w:tc>
          <w:tcPr>
            <w:tcW w:w="18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High Tech Industries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6.50%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L+525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1,994,992</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1,994,992</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1,990,005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2" w:lineRule="auto"/>
        <w:rPr>
          <w:sz w:val="20"/>
          <w:szCs w:val="20"/>
          <w:color w:val="auto"/>
        </w:rPr>
      </w:pPr>
      <w:r>
        <w:rPr>
          <w:rFonts w:ascii="Arial" w:cs="Arial" w:eastAsia="Arial" w:hAnsi="Arial"/>
          <w:sz w:val="14"/>
          <w:szCs w:val="14"/>
          <w:b w:val="1"/>
          <w:bCs w:val="1"/>
          <w:color w:val="auto"/>
        </w:rPr>
        <w:t>JUNE 30, 2013</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Basis Point</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Spread</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98"/>
              </w:rPr>
              <w:t>Current</w:t>
            </w:r>
          </w:p>
        </w:tc>
        <w:tc>
          <w:tcPr>
            <w:tcW w:w="8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4"/>
              </w:rPr>
              <w:t>Above</w:t>
            </w:r>
          </w:p>
        </w:tc>
        <w:tc>
          <w:tcPr>
            <w:tcW w:w="580" w:type="dxa"/>
            <w:vAlign w:val="bottom"/>
          </w:tcPr>
          <w:p>
            <w:pPr>
              <w:jc w:val="right"/>
              <w:ind w:right="92"/>
              <w:spacing w:after="0" w:line="135" w:lineRule="exact"/>
              <w:rPr>
                <w:sz w:val="20"/>
                <w:szCs w:val="20"/>
                <w:color w:val="auto"/>
              </w:rPr>
            </w:pPr>
            <w:r>
              <w:rPr>
                <w:rFonts w:ascii="Arial" w:cs="Arial" w:eastAsia="Arial" w:hAnsi="Arial"/>
                <w:sz w:val="14"/>
                <w:szCs w:val="14"/>
                <w:b w:val="1"/>
                <w:bCs w:val="1"/>
                <w:color w:val="auto"/>
              </w:rPr>
              <w:t>Par/</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 xml:space="preserve">Fair Value </w:t>
            </w:r>
            <w:r>
              <w:rPr>
                <w:rFonts w:ascii="Arial" w:cs="Arial" w:eastAsia="Arial" w:hAnsi="Arial"/>
                <w:sz w:val="22"/>
                <w:szCs w:val="22"/>
                <w:b w:val="1"/>
                <w:bCs w:val="1"/>
                <w:color w:val="auto"/>
                <w:w w:val="90"/>
                <w:vertAlign w:val="superscript"/>
              </w:rPr>
              <w:t>(2)</w:t>
            </w:r>
          </w:p>
        </w:tc>
        <w:tc>
          <w:tcPr>
            <w:tcW w:w="0" w:type="dxa"/>
            <w:vAlign w:val="bottom"/>
          </w:tcPr>
          <w:p>
            <w:pPr>
              <w:spacing w:after="0"/>
              <w:rPr>
                <w:sz w:val="1"/>
                <w:szCs w:val="1"/>
                <w:color w:val="auto"/>
              </w:rPr>
            </w:pPr>
          </w:p>
        </w:tc>
      </w:tr>
      <w:tr>
        <w:trPr>
          <w:trHeight w:val="176"/>
        </w:trPr>
        <w:tc>
          <w:tcPr>
            <w:tcW w:w="29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Maturity</w:t>
            </w:r>
          </w:p>
        </w:tc>
        <w:tc>
          <w:tcPr>
            <w:tcW w:w="3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Coupon</w:t>
            </w:r>
          </w:p>
        </w:tc>
        <w:tc>
          <w:tcPr>
            <w:tcW w:w="800" w:type="dxa"/>
            <w:vAlign w:val="bottom"/>
            <w:gridSpan w:val="2"/>
          </w:tcPr>
          <w:p>
            <w:pPr>
              <w:jc w:val="center"/>
              <w:ind w:right="160"/>
              <w:spacing w:after="0" w:line="176" w:lineRule="exact"/>
              <w:rPr>
                <w:sz w:val="20"/>
                <w:szCs w:val="20"/>
                <w:color w:val="auto"/>
              </w:rPr>
            </w:pPr>
            <w:r>
              <w:rPr>
                <w:rFonts w:ascii="Arial" w:cs="Arial" w:eastAsia="Arial" w:hAnsi="Arial"/>
                <w:sz w:val="13"/>
                <w:szCs w:val="13"/>
                <w:b w:val="1"/>
                <w:bCs w:val="1"/>
                <w:color w:val="auto"/>
                <w:w w:val="89"/>
              </w:rPr>
              <w:t xml:space="preserve">Index </w:t>
            </w:r>
            <w:r>
              <w:rPr>
                <w:rFonts w:ascii="Arial" w:cs="Arial" w:eastAsia="Arial" w:hAnsi="Arial"/>
                <w:sz w:val="20"/>
                <w:szCs w:val="20"/>
                <w:b w:val="1"/>
                <w:bCs w:val="1"/>
                <w:color w:val="auto"/>
                <w:w w:val="89"/>
                <w:vertAlign w:val="superscript"/>
              </w:rPr>
              <w:t>(1)</w:t>
            </w:r>
          </w:p>
        </w:tc>
        <w:tc>
          <w:tcPr>
            <w:tcW w:w="580" w:type="dxa"/>
            <w:vAlign w:val="bottom"/>
          </w:tcPr>
          <w:p>
            <w:pPr>
              <w:jc w:val="right"/>
              <w:ind w:right="12"/>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gridSpan w:val="2"/>
            <w:vMerge w:val="restart"/>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shd w:val="clear" w:color="auto" w:fill="CCEEFF"/>
          </w:tcPr>
          <w:p>
            <w:pPr>
              <w:spacing w:after="0" w:line="142" w:lineRule="exact"/>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16"/>
                <w:szCs w:val="16"/>
                <w:color w:val="auto"/>
                <w:vertAlign w:val="superscript"/>
              </w:rPr>
              <w:t>(8)</w:t>
            </w:r>
          </w:p>
        </w:tc>
        <w:tc>
          <w:tcPr>
            <w:tcW w:w="80" w:type="dxa"/>
            <w:vAlign w:val="bottom"/>
            <w:vMerge w:val="continue"/>
            <w:shd w:val="clear" w:color="auto" w:fill="CCEEFF"/>
          </w:tcPr>
          <w:p>
            <w:pPr>
              <w:spacing w:after="0"/>
              <w:rPr>
                <w:sz w:val="12"/>
                <w:szCs w:val="12"/>
                <w:color w:val="auto"/>
              </w:rPr>
            </w:pPr>
          </w:p>
        </w:tc>
        <w:tc>
          <w:tcPr>
            <w:tcW w:w="62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04/16/2018</w:t>
            </w:r>
          </w:p>
        </w:tc>
        <w:tc>
          <w:tcPr>
            <w:tcW w:w="100" w:type="dxa"/>
            <w:vAlign w:val="bottom"/>
            <w:vMerge w:val="continue"/>
            <w:shd w:val="clear" w:color="auto" w:fill="CCEEFF"/>
          </w:tcPr>
          <w:p>
            <w:pPr>
              <w:spacing w:after="0"/>
              <w:rPr>
                <w:sz w:val="12"/>
                <w:szCs w:val="12"/>
                <w:color w:val="auto"/>
              </w:rPr>
            </w:pPr>
          </w:p>
        </w:tc>
        <w:tc>
          <w:tcPr>
            <w:tcW w:w="33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Telecommunications</w:t>
            </w:r>
          </w:p>
        </w:tc>
        <w:tc>
          <w:tcPr>
            <w:tcW w:w="100" w:type="dxa"/>
            <w:vAlign w:val="bottom"/>
            <w:vMerge w:val="continue"/>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11.75%</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P+850</w:t>
            </w:r>
          </w:p>
        </w:tc>
        <w:tc>
          <w:tcPr>
            <w:tcW w:w="160" w:type="dxa"/>
            <w:vAlign w:val="bottom"/>
            <w:vMerge w:val="continue"/>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2,009,957</w:t>
            </w:r>
          </w:p>
        </w:tc>
        <w:tc>
          <w:tcPr>
            <w:tcW w:w="3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1,961,916</w:t>
            </w:r>
          </w:p>
        </w:tc>
        <w:tc>
          <w:tcPr>
            <w:tcW w:w="20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800" w:type="dxa"/>
            <w:vAlign w:val="bottom"/>
            <w:tcBorders>
              <w:right w:val="single" w:sz="8" w:color="CCEEFF"/>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1,839,110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tcPr>
          <w:p>
            <w:pPr>
              <w:spacing w:after="0" w:line="149" w:lineRule="exact"/>
              <w:rPr>
                <w:sz w:val="20"/>
                <w:szCs w:val="20"/>
                <w:color w:val="auto"/>
              </w:rPr>
            </w:pPr>
            <w:r>
              <w:rPr>
                <w:rFonts w:ascii="Arial" w:cs="Arial" w:eastAsia="Arial" w:hAnsi="Arial"/>
                <w:sz w:val="14"/>
                <w:szCs w:val="14"/>
                <w:color w:val="auto"/>
              </w:rPr>
              <w:t>Univita Health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06/19/2017</w:t>
            </w:r>
          </w:p>
        </w:tc>
        <w:tc>
          <w:tcPr>
            <w:tcW w:w="100" w:type="dxa"/>
            <w:vAlign w:val="bottom"/>
          </w:tcPr>
          <w:p>
            <w:pPr>
              <w:spacing w:after="0"/>
              <w:rPr>
                <w:sz w:val="12"/>
                <w:szCs w:val="12"/>
                <w:color w:val="auto"/>
              </w:rPr>
            </w:pPr>
          </w:p>
        </w:tc>
        <w:tc>
          <w:tcPr>
            <w:tcW w:w="34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Consumer Services</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6.50%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2,940,363</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2,918,979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2,822,749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Viamedia Services Corp.</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04/19/2016</w:t>
            </w:r>
          </w:p>
        </w:tc>
        <w:tc>
          <w:tcPr>
            <w:tcW w:w="10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0"/>
              </w:rPr>
              <w:t>Media: Advertising, Printing and Publishing</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3,491,833</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3,463,776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3,491,833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Virtual Radiologic Corporation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12/22/2016</w:t>
            </w:r>
          </w:p>
        </w:tc>
        <w:tc>
          <w:tcPr>
            <w:tcW w:w="100" w:type="dxa"/>
            <w:vAlign w:val="bottom"/>
          </w:tcPr>
          <w:p>
            <w:pPr>
              <w:spacing w:after="0"/>
              <w:rPr>
                <w:sz w:val="12"/>
                <w:szCs w:val="12"/>
                <w:color w:val="auto"/>
              </w:rPr>
            </w:pPr>
          </w:p>
        </w:tc>
        <w:tc>
          <w:tcPr>
            <w:tcW w:w="34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7.75%</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P+450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2,947,500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2,927,091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1,915,875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Water Pik,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08/10/2017</w:t>
            </w:r>
          </w:p>
        </w:tc>
        <w:tc>
          <w:tcPr>
            <w:tcW w:w="10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6"/>
              </w:rPr>
              <w:t>Consumer Goods: Durable</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6.77%</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3,363,750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3,356,481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3,355,341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Wilton Brands, LLC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08/30/2018</w:t>
            </w:r>
          </w:p>
        </w:tc>
        <w:tc>
          <w:tcPr>
            <w:tcW w:w="100" w:type="dxa"/>
            <w:vAlign w:val="bottom"/>
          </w:tcPr>
          <w:p>
            <w:pPr>
              <w:spacing w:after="0"/>
              <w:rPr>
                <w:sz w:val="12"/>
                <w:szCs w:val="12"/>
                <w:color w:val="auto"/>
              </w:rPr>
            </w:pPr>
          </w:p>
        </w:tc>
        <w:tc>
          <w:tcPr>
            <w:tcW w:w="34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Consumer Goods: Non-Durable</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L+625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3,272,500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3,217,620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3,256,138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YP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06/04/2018</w:t>
            </w:r>
          </w:p>
        </w:tc>
        <w:tc>
          <w:tcPr>
            <w:tcW w:w="10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0"/>
              </w:rPr>
              <w:t>Media: Advertising, Printing and Publishing</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8.05%</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L+675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5,985,000</w:t>
            </w: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5,836,762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5,910,188</w:t>
            </w:r>
          </w:p>
        </w:tc>
        <w:tc>
          <w:tcPr>
            <w:tcW w:w="0" w:type="dxa"/>
            <w:vAlign w:val="bottom"/>
          </w:tcPr>
          <w:p>
            <w:pPr>
              <w:spacing w:after="0"/>
              <w:rPr>
                <w:sz w:val="1"/>
                <w:szCs w:val="1"/>
                <w:color w:val="auto"/>
              </w:rPr>
            </w:pPr>
          </w:p>
        </w:tc>
      </w:tr>
      <w:tr>
        <w:trPr>
          <w:trHeight w:val="163"/>
        </w:trPr>
        <w:tc>
          <w:tcPr>
            <w:tcW w:w="29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84"/>
              </w:rPr>
              <w:t>229,974,784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jc w:val="right"/>
              <w:ind w:right="12"/>
              <w:spacing w:after="0" w:line="155" w:lineRule="exact"/>
              <w:rPr>
                <w:sz w:val="20"/>
                <w:szCs w:val="20"/>
                <w:color w:val="auto"/>
              </w:rPr>
            </w:pPr>
            <w:r>
              <w:rPr>
                <w:rFonts w:ascii="Arial" w:cs="Arial" w:eastAsia="Arial" w:hAnsi="Arial"/>
                <w:sz w:val="14"/>
                <w:szCs w:val="14"/>
                <w:color w:val="auto"/>
                <w:w w:val="89"/>
              </w:rPr>
              <w:t>228,527,557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Second Lien Secured Debt—9.2% </w:t>
            </w:r>
            <w:r>
              <w:rPr>
                <w:rFonts w:ascii="Arial" w:cs="Arial" w:eastAsia="Arial" w:hAnsi="Arial"/>
                <w:sz w:val="17"/>
                <w:szCs w:val="17"/>
                <w:b w:val="1"/>
                <w:bCs w:val="1"/>
                <w:color w:val="auto"/>
                <w:vertAlign w:val="superscript"/>
              </w:rPr>
              <w:t>(8)</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(5)</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09/01/2017</w:t>
            </w:r>
          </w:p>
        </w:tc>
        <w:tc>
          <w:tcPr>
            <w:tcW w:w="100" w:type="dxa"/>
            <w:vAlign w:val="bottom"/>
          </w:tcPr>
          <w:p>
            <w:pPr>
              <w:spacing w:after="0"/>
              <w:rPr>
                <w:sz w:val="12"/>
                <w:szCs w:val="12"/>
                <w:color w:val="auto"/>
              </w:rPr>
            </w:pPr>
          </w:p>
        </w:tc>
        <w:tc>
          <w:tcPr>
            <w:tcW w:w="34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Metals and Mining</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3,000,000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3,157,500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10/23/2019</w:t>
            </w:r>
          </w:p>
        </w:tc>
        <w:tc>
          <w:tcPr>
            <w:tcW w:w="10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Energy: Oil and Gas</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L+975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1,906,607</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1,860,066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1,939,973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tcPr>
          <w:p>
            <w:pPr>
              <w:spacing w:after="0" w:line="149" w:lineRule="exact"/>
              <w:rPr>
                <w:sz w:val="20"/>
                <w:szCs w:val="20"/>
                <w:color w:val="auto"/>
              </w:rPr>
            </w:pPr>
            <w:r>
              <w:rPr>
                <w:rFonts w:ascii="Arial" w:cs="Arial" w:eastAsia="Arial" w:hAnsi="Arial"/>
                <w:sz w:val="14"/>
                <w:szCs w:val="14"/>
                <w:color w:val="auto"/>
              </w:rPr>
              <w:t>Cannery Casino Resorts,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10/02/2019</w:t>
            </w:r>
          </w:p>
        </w:tc>
        <w:tc>
          <w:tcPr>
            <w:tcW w:w="100" w:type="dxa"/>
            <w:vAlign w:val="bottom"/>
          </w:tcPr>
          <w:p>
            <w:pPr>
              <w:spacing w:after="0"/>
              <w:rPr>
                <w:sz w:val="12"/>
                <w:szCs w:val="12"/>
                <w:color w:val="auto"/>
              </w:rPr>
            </w:pPr>
          </w:p>
        </w:tc>
        <w:tc>
          <w:tcPr>
            <w:tcW w:w="34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Hotel, Gaming and Leisure</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10.00%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L+875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1,700,000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1,670,556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1,610,750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Gastar Exploration USA, Inc. </w:t>
            </w:r>
            <w:r>
              <w:rPr>
                <w:rFonts w:ascii="Arial" w:cs="Arial" w:eastAsia="Arial" w:hAnsi="Arial"/>
                <w:sz w:val="17"/>
                <w:szCs w:val="17"/>
                <w:color w:val="auto"/>
                <w:vertAlign w:val="superscript"/>
              </w:rPr>
              <w:t>(5)</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05/15/2018</w:t>
            </w:r>
          </w:p>
        </w:tc>
        <w:tc>
          <w:tcPr>
            <w:tcW w:w="10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Energy: Oil and Gas</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8.63%</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tcPr>
          <w:p>
            <w:pPr>
              <w:spacing w:after="0" w:line="149" w:lineRule="exact"/>
              <w:rPr>
                <w:sz w:val="20"/>
                <w:szCs w:val="20"/>
                <w:color w:val="auto"/>
              </w:rPr>
            </w:pPr>
            <w:r>
              <w:rPr>
                <w:rFonts w:ascii="Arial" w:cs="Arial" w:eastAsia="Arial" w:hAnsi="Arial"/>
                <w:sz w:val="14"/>
                <w:szCs w:val="14"/>
                <w:color w:val="auto"/>
              </w:rPr>
              <w:t>Language Line,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12/20/2016</w:t>
            </w:r>
          </w:p>
        </w:tc>
        <w:tc>
          <w:tcPr>
            <w:tcW w:w="100" w:type="dxa"/>
            <w:vAlign w:val="bottom"/>
          </w:tcPr>
          <w:p>
            <w:pPr>
              <w:spacing w:after="0"/>
              <w:rPr>
                <w:sz w:val="12"/>
                <w:szCs w:val="12"/>
                <w:color w:val="auto"/>
              </w:rPr>
            </w:pPr>
          </w:p>
        </w:tc>
        <w:tc>
          <w:tcPr>
            <w:tcW w:w="34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Consumer Services</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10.50%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L+875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3,000,000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2,955,000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2,942,499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05/15/2019</w:t>
            </w:r>
          </w:p>
        </w:tc>
        <w:tc>
          <w:tcPr>
            <w:tcW w:w="10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Hotel, Gaming and Leisure</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9.13%</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1,500,000</w:t>
            </w: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1,590,000</w:t>
            </w:r>
          </w:p>
        </w:tc>
        <w:tc>
          <w:tcPr>
            <w:tcW w:w="0" w:type="dxa"/>
            <w:vAlign w:val="bottom"/>
          </w:tcPr>
          <w:p>
            <w:pPr>
              <w:spacing w:after="0"/>
              <w:rPr>
                <w:sz w:val="1"/>
                <w:szCs w:val="1"/>
                <w:color w:val="auto"/>
              </w:rPr>
            </w:pPr>
          </w:p>
        </w:tc>
      </w:tr>
      <w:tr>
        <w:trPr>
          <w:trHeight w:val="163"/>
        </w:trPr>
        <w:tc>
          <w:tcPr>
            <w:tcW w:w="29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12,985,622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jc w:val="right"/>
              <w:ind w:right="12"/>
              <w:spacing w:after="0" w:line="155" w:lineRule="exact"/>
              <w:rPr>
                <w:sz w:val="20"/>
                <w:szCs w:val="20"/>
                <w:color w:val="auto"/>
              </w:rPr>
            </w:pPr>
            <w:r>
              <w:rPr>
                <w:rFonts w:ascii="Arial" w:cs="Arial" w:eastAsia="Arial" w:hAnsi="Arial"/>
                <w:sz w:val="14"/>
                <w:szCs w:val="14"/>
                <w:color w:val="auto"/>
                <w:w w:val="99"/>
              </w:rPr>
              <w:t>13,160,722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Subordinated Debt/Corporate Notes—6.0% </w:t>
            </w:r>
            <w:r>
              <w:rPr>
                <w:rFonts w:ascii="Arial" w:cs="Arial" w:eastAsia="Arial" w:hAnsi="Arial"/>
                <w:sz w:val="17"/>
                <w:szCs w:val="17"/>
                <w:b w:val="1"/>
                <w:bCs w:val="1"/>
                <w:color w:val="auto"/>
                <w:vertAlign w:val="superscript"/>
              </w:rPr>
              <w:t>(8)</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11/15/2015</w:t>
            </w:r>
          </w:p>
        </w:tc>
        <w:tc>
          <w:tcPr>
            <w:tcW w:w="100" w:type="dxa"/>
            <w:vAlign w:val="bottom"/>
          </w:tcPr>
          <w:p>
            <w:pPr>
              <w:spacing w:after="0"/>
              <w:rPr>
                <w:sz w:val="12"/>
                <w:szCs w:val="12"/>
                <w:color w:val="auto"/>
              </w:rPr>
            </w:pPr>
          </w:p>
        </w:tc>
        <w:tc>
          <w:tcPr>
            <w:tcW w:w="34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Consumer Goods: Non-Durable</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11.63%</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4,100,000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3,851,875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2,050,000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Credit Infonet,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10/26/2018</w:t>
            </w:r>
          </w:p>
        </w:tc>
        <w:tc>
          <w:tcPr>
            <w:tcW w:w="10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7"/>
              </w:rPr>
              <w:t>High Tech Industries</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12.25%</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1,987,500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1,948,498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1,989,416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gridSpan w:val="2"/>
          </w:tcPr>
          <w:p>
            <w:pPr>
              <w:spacing w:after="0" w:line="138" w:lineRule="exact"/>
              <w:rPr>
                <w:sz w:val="20"/>
                <w:szCs w:val="20"/>
                <w:color w:val="auto"/>
              </w:rPr>
            </w:pPr>
            <w:r>
              <w:rPr>
                <w:rFonts w:ascii="Arial" w:cs="Arial" w:eastAsia="Arial" w:hAnsi="Arial"/>
                <w:sz w:val="14"/>
                <w:szCs w:val="14"/>
                <w:color w:val="auto"/>
              </w:rPr>
              <w:t>Varel International Energy Mezzanine Funding</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01/15/2018</w:t>
            </w:r>
          </w:p>
        </w:tc>
        <w:tc>
          <w:tcPr>
            <w:tcW w:w="100" w:type="dxa"/>
            <w:vAlign w:val="bottom"/>
          </w:tcPr>
          <w:p>
            <w:pPr>
              <w:spacing w:after="0"/>
              <w:rPr>
                <w:sz w:val="11"/>
                <w:szCs w:val="11"/>
                <w:color w:val="auto"/>
              </w:rPr>
            </w:pPr>
          </w:p>
        </w:tc>
        <w:tc>
          <w:tcPr>
            <w:tcW w:w="34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Energy: Oil and Gas</w:t>
            </w:r>
          </w:p>
        </w:tc>
        <w:tc>
          <w:tcPr>
            <w:tcW w:w="9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14.00%</w:t>
            </w:r>
          </w:p>
        </w:tc>
        <w:tc>
          <w:tcPr>
            <w:tcW w:w="8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w w:val="89"/>
              </w:rPr>
              <w:t>1,792,215</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1,759,659</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1,771,822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00" w:type="dxa"/>
            <w:vAlign w:val="bottom"/>
            <w:gridSpan w:val="2"/>
          </w:tcPr>
          <w:p>
            <w:pPr>
              <w:ind w:left="200"/>
              <w:spacing w:after="0"/>
              <w:rPr>
                <w:sz w:val="20"/>
                <w:szCs w:val="20"/>
                <w:color w:val="auto"/>
              </w:rPr>
            </w:pPr>
            <w:r>
              <w:rPr>
                <w:rFonts w:ascii="Arial" w:cs="Arial" w:eastAsia="Arial" w:hAnsi="Arial"/>
                <w:sz w:val="14"/>
                <w:szCs w:val="14"/>
                <w:color w:val="auto"/>
              </w:rPr>
              <w:t>Corp.</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w w:val="95"/>
              </w:rPr>
              <w:t>(PIK 4.00%)</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Vestcom International,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06/27/2019</w:t>
            </w:r>
          </w:p>
        </w:tc>
        <w:tc>
          <w:tcPr>
            <w:tcW w:w="10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0"/>
              </w:rPr>
              <w:t>Media: Advertising, Printing and Publishing</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12.00%</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2,859,027</w:t>
            </w: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2,804,358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2,836,907</w:t>
            </w:r>
          </w:p>
        </w:tc>
        <w:tc>
          <w:tcPr>
            <w:tcW w:w="0" w:type="dxa"/>
            <w:vAlign w:val="bottom"/>
          </w:tcPr>
          <w:p>
            <w:pPr>
              <w:spacing w:after="0"/>
              <w:rPr>
                <w:sz w:val="1"/>
                <w:szCs w:val="1"/>
                <w:color w:val="auto"/>
              </w:rPr>
            </w:pPr>
          </w:p>
        </w:tc>
      </w:tr>
      <w:tr>
        <w:trPr>
          <w:trHeight w:val="163"/>
        </w:trPr>
        <w:tc>
          <w:tcPr>
            <w:tcW w:w="29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10,364,390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8,648,145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Equity—0.1% </w:t>
            </w:r>
            <w:r>
              <w:rPr>
                <w:rFonts w:ascii="Arial" w:cs="Arial" w:eastAsia="Arial" w:hAnsi="Arial"/>
                <w:sz w:val="17"/>
                <w:szCs w:val="17"/>
                <w:b w:val="1"/>
                <w:bCs w:val="1"/>
                <w:color w:val="auto"/>
                <w:vertAlign w:val="superscript"/>
              </w:rPr>
              <w:t>(7), (8)</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gridSpan w:val="2"/>
          </w:tcPr>
          <w:p>
            <w:pPr>
              <w:spacing w:after="0" w:line="138" w:lineRule="exact"/>
              <w:rPr>
                <w:sz w:val="20"/>
                <w:szCs w:val="20"/>
                <w:color w:val="auto"/>
              </w:rPr>
            </w:pPr>
            <w:r>
              <w:rPr>
                <w:rFonts w:ascii="Arial" w:cs="Arial" w:eastAsia="Arial" w:hAnsi="Arial"/>
                <w:sz w:val="14"/>
                <w:szCs w:val="14"/>
                <w:color w:val="auto"/>
              </w:rPr>
              <w:t>Vestcom Parent Holdings, Inc. (Vestcom</w:t>
            </w:r>
          </w:p>
        </w:tc>
        <w:tc>
          <w:tcPr>
            <w:tcW w:w="72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w:t>
            </w:r>
          </w:p>
        </w:tc>
        <w:tc>
          <w:tcPr>
            <w:tcW w:w="3400" w:type="dxa"/>
            <w:vAlign w:val="bottom"/>
            <w:gridSpan w:val="2"/>
          </w:tcPr>
          <w:p>
            <w:pPr>
              <w:jc w:val="center"/>
              <w:ind w:right="80"/>
              <w:spacing w:after="0" w:line="138" w:lineRule="exact"/>
              <w:rPr>
                <w:sz w:val="20"/>
                <w:szCs w:val="20"/>
                <w:color w:val="auto"/>
              </w:rPr>
            </w:pPr>
            <w:r>
              <w:rPr>
                <w:rFonts w:ascii="Arial" w:cs="Arial" w:eastAsia="Arial" w:hAnsi="Arial"/>
                <w:sz w:val="14"/>
                <w:szCs w:val="14"/>
                <w:color w:val="auto"/>
                <w:w w:val="90"/>
              </w:rPr>
              <w:t>Media: Advertising, Printing and Publishing</w:t>
            </w:r>
          </w:p>
        </w:tc>
        <w:tc>
          <w:tcPr>
            <w:tcW w:w="90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15,179</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166,667</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177,988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9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International, Inc.)</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in Non-Controlled, Non-Affiliated Portfolio Companies</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253,491,463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89"/>
              </w:rPr>
              <w:t>250,514,412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Equivalents—4.8%</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BlackRock Liquidity Funds,</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5,187,667</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5,187,667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Temp Cash, Institutional Shares</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gridSpan w:val="2"/>
          </w:tcPr>
          <w:p>
            <w:pPr>
              <w:spacing w:after="0" w:line="138" w:lineRule="exact"/>
              <w:rPr>
                <w:sz w:val="20"/>
                <w:szCs w:val="20"/>
                <w:color w:val="auto"/>
              </w:rPr>
            </w:pPr>
            <w:r>
              <w:rPr>
                <w:rFonts w:ascii="Arial" w:cs="Arial" w:eastAsia="Arial" w:hAnsi="Arial"/>
                <w:sz w:val="14"/>
                <w:szCs w:val="14"/>
                <w:color w:val="auto"/>
              </w:rPr>
              <w:t>BlackRock Liquidity Funds,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1,748,508</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1,748,508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9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Temp Fund, Institutional Shares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Equivalents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6,936,175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6,936,175</w:t>
            </w:r>
          </w:p>
        </w:tc>
        <w:tc>
          <w:tcPr>
            <w:tcW w:w="0" w:type="dxa"/>
            <w:vAlign w:val="bottom"/>
          </w:tcPr>
          <w:p>
            <w:pPr>
              <w:spacing w:after="0"/>
              <w:rPr>
                <w:sz w:val="1"/>
                <w:szCs w:val="1"/>
                <w:color w:val="auto"/>
              </w:rPr>
            </w:pPr>
          </w:p>
        </w:tc>
      </w:tr>
      <w:tr>
        <w:trPr>
          <w:trHeight w:val="156"/>
        </w:trPr>
        <w:tc>
          <w:tcPr>
            <w:tcW w:w="29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87"/>
              </w:rPr>
              <w:t>Total Investments and Cash Equivalents—178.7%</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84"/>
              </w:rPr>
              <w:t>260,427,638</w:t>
            </w:r>
          </w:p>
        </w:tc>
        <w:tc>
          <w:tcPr>
            <w:tcW w:w="240" w:type="dxa"/>
            <w:vAlign w:val="bottom"/>
            <w:gridSpan w:val="3"/>
          </w:tcPr>
          <w:p>
            <w:pPr>
              <w:ind w:left="18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2"/>
              <w:spacing w:after="0" w:line="155" w:lineRule="exact"/>
              <w:rPr>
                <w:sz w:val="20"/>
                <w:szCs w:val="20"/>
                <w:color w:val="auto"/>
              </w:rPr>
            </w:pPr>
            <w:r>
              <w:rPr>
                <w:rFonts w:ascii="Arial" w:cs="Arial" w:eastAsia="Arial" w:hAnsi="Arial"/>
                <w:sz w:val="14"/>
                <w:szCs w:val="14"/>
                <w:color w:val="auto"/>
                <w:w w:val="89"/>
              </w:rPr>
              <w:t>257,450,587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w w:val="94"/>
              </w:rPr>
              <w:t>Liabilities in Excess of Other Assets—(78.7)%</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84"/>
              </w:rPr>
              <w:t>(113,357,461)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gridSpan w:val="3"/>
          </w:tcPr>
          <w:p>
            <w:pPr>
              <w:ind w:left="18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9"/>
              </w:rPr>
              <w:t>144,093,126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51765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1" w:lineRule="exact"/>
        <w:rPr>
          <w:sz w:val="20"/>
          <w:szCs w:val="20"/>
          <w:color w:val="auto"/>
        </w:rPr>
      </w:pPr>
    </w:p>
    <w:p>
      <w:pPr>
        <w:ind w:left="220" w:right="260" w:hanging="212"/>
        <w:spacing w:after="0" w:line="230" w:lineRule="auto"/>
        <w:tabs>
          <w:tab w:leader="none" w:pos="2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w:t>
      </w:r>
    </w:p>
    <w:p>
      <w:pPr>
        <w:ind w:left="220" w:hanging="212"/>
        <w:spacing w:after="0" w:line="221" w:lineRule="auto"/>
        <w:tabs>
          <w:tab w:leader="none" w:pos="2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220" w:right="220" w:hanging="212"/>
        <w:spacing w:after="0" w:line="258" w:lineRule="auto"/>
        <w:tabs>
          <w:tab w:leader="none" w:pos="2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220" w:right="260" w:hanging="212"/>
        <w:spacing w:after="0" w:line="258" w:lineRule="auto"/>
        <w:tabs>
          <w:tab w:leader="none" w:pos="2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220" w:right="400" w:hanging="212"/>
        <w:spacing w:after="0" w:line="221" w:lineRule="auto"/>
        <w:tabs>
          <w:tab w:leader="none" w:pos="2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220" w:hanging="212"/>
        <w:spacing w:after="0" w:line="221" w:lineRule="auto"/>
        <w:tabs>
          <w:tab w:leader="none" w:pos="2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220" w:hanging="212"/>
        <w:spacing w:after="0" w:line="221" w:lineRule="auto"/>
        <w:tabs>
          <w:tab w:leader="none" w:pos="2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220" w:hanging="212"/>
        <w:spacing w:after="0" w:line="221" w:lineRule="auto"/>
        <w:tabs>
          <w:tab w:leader="none" w:pos="2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220" w:hanging="212"/>
        <w:spacing w:after="0"/>
        <w:tabs>
          <w:tab w:leader="none" w:pos="2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500" w:type="dxa"/>
            <w:vAlign w:val="bottom"/>
            <w:vMerge w:val="restart"/>
          </w:tcPr>
          <w:p>
            <w:pPr>
              <w:jc w:val="center"/>
              <w:ind w:left="312"/>
              <w:spacing w:after="0"/>
              <w:rPr>
                <w:sz w:val="20"/>
                <w:szCs w:val="20"/>
                <w:color w:val="auto"/>
              </w:rPr>
            </w:pPr>
            <w:r>
              <w:rPr>
                <w:rFonts w:ascii="Arial" w:cs="Arial" w:eastAsia="Arial" w:hAnsi="Arial"/>
                <w:sz w:val="14"/>
                <w:szCs w:val="14"/>
                <w:b w:val="1"/>
                <w:bCs w:val="1"/>
                <w:color w:val="auto"/>
                <w:w w:val="95"/>
              </w:rPr>
              <w:t>Maturity</w:t>
            </w:r>
          </w:p>
        </w:tc>
        <w:tc>
          <w:tcPr>
            <w:tcW w:w="204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90"/>
              </w:rPr>
              <w:t>Industry</w:t>
            </w:r>
          </w:p>
        </w:tc>
        <w:tc>
          <w:tcPr>
            <w:tcW w:w="1040" w:type="dxa"/>
            <w:vAlign w:val="bottom"/>
          </w:tcPr>
          <w:p>
            <w:pPr>
              <w:ind w:left="180"/>
              <w:spacing w:after="0"/>
              <w:rPr>
                <w:sz w:val="20"/>
                <w:szCs w:val="20"/>
                <w:color w:val="auto"/>
              </w:rPr>
            </w:pPr>
            <w:r>
              <w:rPr>
                <w:rFonts w:ascii="Arial" w:cs="Arial" w:eastAsia="Arial" w:hAnsi="Arial"/>
                <w:sz w:val="14"/>
                <w:szCs w:val="14"/>
                <w:b w:val="1"/>
                <w:bCs w:val="1"/>
                <w:color w:val="auto"/>
              </w:rPr>
              <w:t>Current</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Above</w:t>
            </w: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Par/</w:t>
            </w: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9"/>
        </w:trPr>
        <w:tc>
          <w:tcPr>
            <w:tcW w:w="3280" w:type="dxa"/>
            <w:vAlign w:val="bottom"/>
            <w:gridSpan w:val="2"/>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2040" w:type="dxa"/>
            <w:vAlign w:val="bottom"/>
            <w:vMerge w:val="continue"/>
          </w:tcPr>
          <w:p>
            <w:pPr>
              <w:spacing w:after="0"/>
              <w:rPr>
                <w:sz w:val="12"/>
                <w:szCs w:val="12"/>
                <w:color w:val="auto"/>
              </w:rPr>
            </w:pPr>
          </w:p>
        </w:tc>
        <w:tc>
          <w:tcPr>
            <w:tcW w:w="104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Coupon</w:t>
            </w:r>
          </w:p>
        </w:tc>
        <w:tc>
          <w:tcPr>
            <w:tcW w:w="9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Shares</w:t>
            </w:r>
          </w:p>
        </w:tc>
        <w:tc>
          <w:tcPr>
            <w:tcW w:w="860" w:type="dxa"/>
            <w:vAlign w:val="bottom"/>
            <w:gridSpan w:val="2"/>
            <w:vMerge w:val="continue"/>
          </w:tcPr>
          <w:p>
            <w:pPr>
              <w:spacing w:after="0"/>
              <w:rPr>
                <w:sz w:val="12"/>
                <w:szCs w:val="12"/>
                <w:color w:val="auto"/>
              </w:rPr>
            </w:pPr>
          </w:p>
        </w:tc>
        <w:tc>
          <w:tcPr>
            <w:tcW w:w="640" w:type="dxa"/>
            <w:vAlign w:val="bottom"/>
          </w:tcPr>
          <w:p>
            <w:pPr>
              <w:jc w:val="right"/>
              <w:ind w:right="193"/>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260" w:type="dxa"/>
            <w:vAlign w:val="bottom"/>
            <w:tcBorders>
              <w:top w:val="single" w:sz="8" w:color="auto"/>
            </w:tcBorders>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204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Non-Controlled, Non-Affiliated Portfolio Companies—179.5%</w:t>
            </w:r>
            <w:r>
              <w:rPr>
                <w:rFonts w:ascii="Arial" w:cs="Arial" w:eastAsia="Arial" w:hAnsi="Arial"/>
                <w:sz w:val="17"/>
                <w:szCs w:val="17"/>
                <w:b w:val="1"/>
                <w:bCs w:val="1"/>
                <w:color w:val="auto"/>
                <w:vertAlign w:val="superscript"/>
              </w:rPr>
              <w:t>(3),(4)</w:t>
            </w:r>
          </w:p>
        </w:tc>
        <w:tc>
          <w:tcPr>
            <w:tcW w:w="20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Debt—156.9%</w:t>
            </w:r>
          </w:p>
        </w:tc>
        <w:tc>
          <w:tcPr>
            <w:tcW w:w="1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03/25/2015</w:t>
            </w:r>
          </w:p>
        </w:tc>
        <w:tc>
          <w:tcPr>
            <w:tcW w:w="2040" w:type="dxa"/>
            <w:vAlign w:val="bottom"/>
            <w:shd w:val="clear" w:color="auto" w:fill="CCEEFF"/>
          </w:tcPr>
          <w:p>
            <w:pPr>
              <w:jc w:val="center"/>
              <w:ind w:right="52"/>
              <w:spacing w:after="0" w:line="149" w:lineRule="exact"/>
              <w:rPr>
                <w:sz w:val="20"/>
                <w:szCs w:val="20"/>
                <w:color w:val="auto"/>
              </w:rPr>
            </w:pPr>
            <w:r>
              <w:rPr>
                <w:rFonts w:ascii="Arial" w:cs="Arial" w:eastAsia="Arial" w:hAnsi="Arial"/>
                <w:sz w:val="14"/>
                <w:szCs w:val="14"/>
                <w:color w:val="auto"/>
                <w:w w:val="87"/>
              </w:rPr>
              <w:t>Telecommunications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10.00%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L+800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214,286</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  214,838</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  214,018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tcPr>
          <w:p>
            <w:pPr>
              <w:spacing w:after="0" w:line="138" w:lineRule="exact"/>
              <w:rPr>
                <w:sz w:val="20"/>
                <w:szCs w:val="20"/>
                <w:color w:val="auto"/>
              </w:rPr>
            </w:pPr>
            <w:r>
              <w:rPr>
                <w:rFonts w:ascii="Arial" w:cs="Arial" w:eastAsia="Arial" w:hAnsi="Arial"/>
                <w:sz w:val="14"/>
                <w:szCs w:val="14"/>
                <w:color w:val="auto"/>
              </w:rPr>
              <w:t>Archipelago Learning, Inc.</w:t>
            </w:r>
          </w:p>
        </w:tc>
        <w:tc>
          <w:tcPr>
            <w:tcW w:w="1500" w:type="dxa"/>
            <w:vAlign w:val="bottom"/>
          </w:tcPr>
          <w:p>
            <w:pPr>
              <w:jc w:val="center"/>
              <w:ind w:left="312"/>
              <w:spacing w:after="0" w:line="138" w:lineRule="exact"/>
              <w:rPr>
                <w:sz w:val="20"/>
                <w:szCs w:val="20"/>
                <w:color w:val="auto"/>
              </w:rPr>
            </w:pPr>
            <w:r>
              <w:rPr>
                <w:rFonts w:ascii="Arial" w:cs="Arial" w:eastAsia="Arial" w:hAnsi="Arial"/>
                <w:sz w:val="14"/>
                <w:szCs w:val="14"/>
                <w:color w:val="auto"/>
                <w:w w:val="85"/>
              </w:rPr>
              <w:t>05/17/2018</w:t>
            </w:r>
          </w:p>
        </w:tc>
        <w:tc>
          <w:tcPr>
            <w:tcW w:w="2040" w:type="dxa"/>
            <w:vAlign w:val="bottom"/>
          </w:tcPr>
          <w:p>
            <w:pPr>
              <w:jc w:val="center"/>
              <w:ind w:right="52"/>
              <w:spacing w:after="0" w:line="138" w:lineRule="exact"/>
              <w:rPr>
                <w:sz w:val="20"/>
                <w:szCs w:val="20"/>
                <w:color w:val="auto"/>
              </w:rPr>
            </w:pPr>
            <w:r>
              <w:rPr>
                <w:rFonts w:ascii="Arial" w:cs="Arial" w:eastAsia="Arial" w:hAnsi="Arial"/>
                <w:sz w:val="14"/>
                <w:szCs w:val="14"/>
                <w:color w:val="auto"/>
                <w:w w:val="87"/>
              </w:rPr>
              <w:t>Media, Broadcasting and</w:t>
            </w:r>
          </w:p>
        </w:tc>
        <w:tc>
          <w:tcPr>
            <w:tcW w:w="1040" w:type="dxa"/>
            <w:vAlign w:val="bottom"/>
          </w:tcPr>
          <w:p>
            <w:pPr>
              <w:jc w:val="right"/>
              <w:ind w:right="173"/>
              <w:spacing w:after="0" w:line="138" w:lineRule="exact"/>
              <w:rPr>
                <w:sz w:val="20"/>
                <w:szCs w:val="20"/>
                <w:color w:val="auto"/>
              </w:rPr>
            </w:pPr>
            <w:r>
              <w:rPr>
                <w:rFonts w:ascii="Arial" w:cs="Arial" w:eastAsia="Arial" w:hAnsi="Arial"/>
                <w:sz w:val="14"/>
                <w:szCs w:val="14"/>
                <w:color w:val="auto"/>
              </w:rPr>
              <w:t>7.50%</w:t>
            </w:r>
          </w:p>
        </w:tc>
        <w:tc>
          <w:tcPr>
            <w:tcW w:w="900" w:type="dxa"/>
            <w:vAlign w:val="bottom"/>
          </w:tcPr>
          <w:p>
            <w:pPr>
              <w:jc w:val="right"/>
              <w:ind w:right="73"/>
              <w:spacing w:after="0" w:line="138" w:lineRule="exact"/>
              <w:rPr>
                <w:sz w:val="20"/>
                <w:szCs w:val="20"/>
                <w:color w:val="auto"/>
              </w:rPr>
            </w:pPr>
            <w:r>
              <w:rPr>
                <w:rFonts w:ascii="Arial" w:cs="Arial" w:eastAsia="Arial" w:hAnsi="Arial"/>
                <w:sz w:val="14"/>
                <w:szCs w:val="14"/>
                <w:color w:val="auto"/>
              </w:rPr>
              <w:t>L+600</w:t>
            </w:r>
          </w:p>
        </w:tc>
        <w:tc>
          <w:tcPr>
            <w:tcW w:w="92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987,500</w:t>
            </w:r>
          </w:p>
        </w:tc>
        <w:tc>
          <w:tcPr>
            <w:tcW w:w="20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959,574</w:t>
            </w:r>
          </w:p>
        </w:tc>
        <w:tc>
          <w:tcPr>
            <w:tcW w:w="26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987,500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40" w:type="dxa"/>
            <w:vAlign w:val="bottom"/>
          </w:tcPr>
          <w:p>
            <w:pPr>
              <w:jc w:val="center"/>
              <w:ind w:right="52"/>
              <w:spacing w:after="0" w:line="159" w:lineRule="exact"/>
              <w:rPr>
                <w:sz w:val="20"/>
                <w:szCs w:val="20"/>
                <w:color w:val="auto"/>
              </w:rPr>
            </w:pPr>
            <w:r>
              <w:rPr>
                <w:rFonts w:ascii="Arial" w:cs="Arial" w:eastAsia="Arial" w:hAnsi="Arial"/>
                <w:sz w:val="14"/>
                <w:szCs w:val="14"/>
                <w:color w:val="auto"/>
                <w:w w:val="88"/>
              </w:rPr>
              <w:t>Subscription</w:t>
            </w: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Aspen Dental Management, Inc.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10/06/2016</w:t>
            </w:r>
          </w:p>
        </w:tc>
        <w:tc>
          <w:tcPr>
            <w:tcW w:w="2040" w:type="dxa"/>
            <w:vAlign w:val="bottom"/>
            <w:shd w:val="clear" w:color="auto" w:fill="CCEEFF"/>
          </w:tcPr>
          <w:p>
            <w:pPr>
              <w:jc w:val="center"/>
              <w:ind w:right="52"/>
              <w:spacing w:after="0" w:line="149" w:lineRule="exact"/>
              <w:rPr>
                <w:sz w:val="20"/>
                <w:szCs w:val="20"/>
                <w:color w:val="auto"/>
              </w:rPr>
            </w:pPr>
            <w:r>
              <w:rPr>
                <w:rFonts w:ascii="Arial" w:cs="Arial" w:eastAsia="Arial" w:hAnsi="Arial"/>
                <w:sz w:val="14"/>
                <w:szCs w:val="14"/>
                <w:color w:val="auto"/>
                <w:w w:val="85"/>
              </w:rPr>
              <w:t>Consumer Services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2,977,500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2,937,079</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2,962,613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Attachmate Corporation</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11/22/2017</w:t>
            </w:r>
          </w:p>
        </w:tc>
        <w:tc>
          <w:tcPr>
            <w:tcW w:w="20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8"/>
              </w:rPr>
              <w:t>High Tech Industries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7.25%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L+575</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2,943,750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2,888,381</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2,960,309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07/31/2017</w:t>
            </w:r>
          </w:p>
        </w:tc>
        <w:tc>
          <w:tcPr>
            <w:tcW w:w="2040" w:type="dxa"/>
            <w:vAlign w:val="bottom"/>
            <w:shd w:val="clear" w:color="auto" w:fill="CCEEFF"/>
          </w:tcPr>
          <w:p>
            <w:pPr>
              <w:jc w:val="center"/>
              <w:ind w:right="52"/>
              <w:spacing w:after="0" w:line="149" w:lineRule="exact"/>
              <w:rPr>
                <w:sz w:val="20"/>
                <w:szCs w:val="20"/>
                <w:color w:val="auto"/>
              </w:rPr>
            </w:pPr>
            <w:r>
              <w:rPr>
                <w:rFonts w:ascii="Arial" w:cs="Arial" w:eastAsia="Arial" w:hAnsi="Arial"/>
                <w:sz w:val="14"/>
                <w:szCs w:val="14"/>
                <w:color w:val="auto"/>
                <w:w w:val="91"/>
              </w:rPr>
              <w:t>Automotive</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L+500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990,000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985,747</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987,525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Blue Coat Systems, Inc.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02/15/2018</w:t>
            </w:r>
          </w:p>
        </w:tc>
        <w:tc>
          <w:tcPr>
            <w:tcW w:w="20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8"/>
              </w:rPr>
              <w:t>High Tech Industries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7.50%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L+600</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3,975,000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3,902,979</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4,014,750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 Overhead Doors, Inc.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08/17/2017</w:t>
            </w:r>
          </w:p>
        </w:tc>
        <w:tc>
          <w:tcPr>
            <w:tcW w:w="2040" w:type="dxa"/>
            <w:vAlign w:val="bottom"/>
            <w:shd w:val="clear" w:color="auto" w:fill="CCEEFF"/>
          </w:tcPr>
          <w:p>
            <w:pPr>
              <w:jc w:val="center"/>
              <w:ind w:right="52"/>
              <w:spacing w:after="0" w:line="149" w:lineRule="exact"/>
              <w:rPr>
                <w:sz w:val="20"/>
                <w:szCs w:val="20"/>
                <w:color w:val="auto"/>
              </w:rPr>
            </w:pPr>
            <w:r>
              <w:rPr>
                <w:rFonts w:ascii="Arial" w:cs="Arial" w:eastAsia="Arial" w:hAnsi="Arial"/>
                <w:sz w:val="14"/>
                <w:szCs w:val="14"/>
                <w:color w:val="auto"/>
                <w:w w:val="86"/>
              </w:rPr>
              <w:t>Consumer Goods: Durable</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7.25%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L+575</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3,866,119</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3,801,408</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3,859,675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DCS Business Services, Inc.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03/19/2018</w:t>
            </w:r>
          </w:p>
        </w:tc>
        <w:tc>
          <w:tcPr>
            <w:tcW w:w="20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Business Services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7.25%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L+575</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3,733,125</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3,673,063</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3,677,128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Document Technologies, Inc.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12/01/2016</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5"/>
              </w:rPr>
              <w:t>Business Services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L+500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990,000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981,827</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987,525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DS Waters of America, Inc.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08/29/2017</w:t>
            </w:r>
          </w:p>
        </w:tc>
        <w:tc>
          <w:tcPr>
            <w:tcW w:w="20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Beverage, Food and Tobacco</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10.50%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L+900</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3,980,000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3,904,846</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4,109,350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EAG, Inc.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07/28/2017</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5"/>
              </w:rPr>
              <w:t>Business Services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6.75%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P+350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950,104</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946,081</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945,353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EIG Investors Corp.</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04/20/2018</w:t>
            </w:r>
          </w:p>
        </w:tc>
        <w:tc>
          <w:tcPr>
            <w:tcW w:w="20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8"/>
              </w:rPr>
              <w:t>High Tech Industries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7.75%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L+625</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3,990,000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3,952,867</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4,009,950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05/18/2018</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5"/>
              </w:rPr>
              <w:t>Chemicals, Plastics and Rubber</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6.75%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1,995,000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1,975,762</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2,004,975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eResearchtechnology, Inc.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05/02/2018</w:t>
            </w:r>
          </w:p>
        </w:tc>
        <w:tc>
          <w:tcPr>
            <w:tcW w:w="20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8.00%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L+650</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2,884,003</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2,962,500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Fundtech (US FT HOLDCO, INC.)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11/30/2017</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5"/>
              </w:rPr>
              <w:t>Business Services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7.50%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L+600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2,977,500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2,898,672</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2,977,500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GFA Brands, Inc.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07/02/2018</w:t>
            </w:r>
          </w:p>
        </w:tc>
        <w:tc>
          <w:tcPr>
            <w:tcW w:w="20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Beverage, Food and Tobacco</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L+575</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1,995,000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1,956,496</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2,012,456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Graton Economic Development Authority </w:t>
            </w:r>
            <w:r>
              <w:rPr>
                <w:rFonts w:ascii="Arial" w:cs="Arial" w:eastAsia="Arial" w:hAnsi="Arial"/>
                <w:sz w:val="17"/>
                <w:szCs w:val="17"/>
                <w:color w:val="auto"/>
                <w:vertAlign w:val="superscript"/>
              </w:rPr>
              <w:t>(5), (8)</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09/02/2019</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7"/>
              </w:rPr>
              <w:t>Hotel, Gaming and Leisure</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9.63%</w:t>
            </w:r>
          </w:p>
        </w:tc>
        <w:tc>
          <w:tcPr>
            <w:tcW w:w="90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3,000,000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3,000,000</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3,120,000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Gundle/SLT Environmental, Inc.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05/27/2016</w:t>
            </w:r>
          </w:p>
        </w:tc>
        <w:tc>
          <w:tcPr>
            <w:tcW w:w="20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9"/>
              </w:rPr>
              <w:t>Environmental Industries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2,956,829</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2,933,351</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2,934,653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Healogics, Inc. (f/k/a National Healing Corp.)</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11/30/2017</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8.25%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L+675</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4,962,500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4,742,008</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4,925,281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04/01/2019</w:t>
            </w:r>
          </w:p>
        </w:tc>
        <w:tc>
          <w:tcPr>
            <w:tcW w:w="204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9"/>
              </w:rPr>
              <w:t>Retail</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7.25%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L+600</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2,985,000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2,929,228</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2,992,463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Howard Berger Co. LLC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08/03/2017</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8"/>
              </w:rPr>
              <w:t>Wholesale</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L+575</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2,743,125</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2,702,953</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2,715,694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03/30/2017</w:t>
            </w:r>
          </w:p>
        </w:tc>
        <w:tc>
          <w:tcPr>
            <w:tcW w:w="204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1"/>
              </w:rPr>
              <w:t>Automotive</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11.50%</w:t>
            </w:r>
          </w:p>
        </w:tc>
        <w:tc>
          <w:tcPr>
            <w:tcW w:w="90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2,000,000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1,963,159</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2,125,000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Ikaria Acquisition Inc.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06/22/2016</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7.75%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L+650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1,700,000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1,691,500</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1,649,000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tcPr>
          <w:p>
            <w:pPr>
              <w:spacing w:after="0" w:line="138" w:lineRule="exact"/>
              <w:rPr>
                <w:sz w:val="20"/>
                <w:szCs w:val="20"/>
                <w:color w:val="auto"/>
              </w:rPr>
            </w:pPr>
            <w:r>
              <w:rPr>
                <w:rFonts w:ascii="Arial" w:cs="Arial" w:eastAsia="Arial" w:hAnsi="Arial"/>
                <w:sz w:val="14"/>
                <w:szCs w:val="14"/>
                <w:color w:val="auto"/>
              </w:rPr>
              <w:t>Instant Web, Inc.</w:t>
            </w:r>
          </w:p>
        </w:tc>
        <w:tc>
          <w:tcPr>
            <w:tcW w:w="1500" w:type="dxa"/>
            <w:vAlign w:val="bottom"/>
          </w:tcPr>
          <w:p>
            <w:pPr>
              <w:jc w:val="center"/>
              <w:ind w:left="312"/>
              <w:spacing w:after="0" w:line="138" w:lineRule="exact"/>
              <w:rPr>
                <w:sz w:val="20"/>
                <w:szCs w:val="20"/>
                <w:color w:val="auto"/>
              </w:rPr>
            </w:pPr>
            <w:r>
              <w:rPr>
                <w:rFonts w:ascii="Arial" w:cs="Arial" w:eastAsia="Arial" w:hAnsi="Arial"/>
                <w:sz w:val="14"/>
                <w:szCs w:val="14"/>
                <w:color w:val="auto"/>
                <w:w w:val="85"/>
              </w:rPr>
              <w:t>08/07/2014</w:t>
            </w:r>
          </w:p>
        </w:tc>
        <w:tc>
          <w:tcPr>
            <w:tcW w:w="2040" w:type="dxa"/>
            <w:vAlign w:val="bottom"/>
          </w:tcPr>
          <w:p>
            <w:pPr>
              <w:jc w:val="center"/>
              <w:ind w:right="72"/>
              <w:spacing w:after="0" w:line="138" w:lineRule="exact"/>
              <w:rPr>
                <w:sz w:val="20"/>
                <w:szCs w:val="20"/>
                <w:color w:val="auto"/>
              </w:rPr>
            </w:pPr>
            <w:r>
              <w:rPr>
                <w:rFonts w:ascii="Arial" w:cs="Arial" w:eastAsia="Arial" w:hAnsi="Arial"/>
                <w:sz w:val="14"/>
                <w:szCs w:val="14"/>
                <w:color w:val="auto"/>
                <w:w w:val="90"/>
              </w:rPr>
              <w:t>Media: Advertising, Printing and</w:t>
            </w:r>
          </w:p>
        </w:tc>
        <w:tc>
          <w:tcPr>
            <w:tcW w:w="1040" w:type="dxa"/>
            <w:vAlign w:val="bottom"/>
          </w:tcPr>
          <w:p>
            <w:pPr>
              <w:jc w:val="right"/>
              <w:ind w:right="33"/>
              <w:spacing w:after="0" w:line="138" w:lineRule="exact"/>
              <w:rPr>
                <w:sz w:val="20"/>
                <w:szCs w:val="20"/>
                <w:color w:val="auto"/>
              </w:rPr>
            </w:pPr>
            <w:r>
              <w:rPr>
                <w:rFonts w:ascii="Arial" w:cs="Arial" w:eastAsia="Arial" w:hAnsi="Arial"/>
                <w:sz w:val="10"/>
                <w:szCs w:val="10"/>
                <w:color w:val="auto"/>
              </w:rPr>
              <w:t>3.59%</w:t>
            </w:r>
            <w:r>
              <w:rPr>
                <w:rFonts w:ascii="Arial" w:cs="Arial" w:eastAsia="Arial" w:hAnsi="Arial"/>
                <w:sz w:val="15"/>
                <w:szCs w:val="15"/>
                <w:color w:val="auto"/>
                <w:vertAlign w:val="superscript"/>
              </w:rPr>
              <w:t>(9)</w:t>
            </w:r>
          </w:p>
        </w:tc>
        <w:tc>
          <w:tcPr>
            <w:tcW w:w="900" w:type="dxa"/>
            <w:vAlign w:val="bottom"/>
          </w:tcPr>
          <w:p>
            <w:pPr>
              <w:jc w:val="right"/>
              <w:ind w:right="73"/>
              <w:spacing w:after="0" w:line="138" w:lineRule="exact"/>
              <w:rPr>
                <w:sz w:val="20"/>
                <w:szCs w:val="20"/>
                <w:color w:val="auto"/>
              </w:rPr>
            </w:pPr>
            <w:r>
              <w:rPr>
                <w:rFonts w:ascii="Arial" w:cs="Arial" w:eastAsia="Arial" w:hAnsi="Arial"/>
                <w:sz w:val="14"/>
                <w:szCs w:val="14"/>
                <w:color w:val="auto"/>
              </w:rPr>
              <w:t>L+338</w:t>
            </w:r>
          </w:p>
        </w:tc>
        <w:tc>
          <w:tcPr>
            <w:tcW w:w="92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6,836,508</w:t>
            </w:r>
          </w:p>
        </w:tc>
        <w:tc>
          <w:tcPr>
            <w:tcW w:w="20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6,534,349</w:t>
            </w:r>
          </w:p>
        </w:tc>
        <w:tc>
          <w:tcPr>
            <w:tcW w:w="26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w w:val="99"/>
              </w:rPr>
              <w:t>5,247,020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40" w:type="dxa"/>
            <w:vAlign w:val="bottom"/>
          </w:tcPr>
          <w:p>
            <w:pPr>
              <w:jc w:val="center"/>
              <w:ind w:right="72"/>
              <w:spacing w:after="0" w:line="159" w:lineRule="exact"/>
              <w:rPr>
                <w:sz w:val="20"/>
                <w:szCs w:val="20"/>
                <w:color w:val="auto"/>
              </w:rPr>
            </w:pPr>
            <w:r>
              <w:rPr>
                <w:rFonts w:ascii="Arial" w:cs="Arial" w:eastAsia="Arial" w:hAnsi="Arial"/>
                <w:sz w:val="14"/>
                <w:szCs w:val="14"/>
                <w:color w:val="auto"/>
                <w:w w:val="89"/>
              </w:rPr>
              <w:t>Publishing</w:t>
            </w: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09/10/2015</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5"/>
              </w:rPr>
              <w:t>Chemicals, Plastics and Rubber</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10.00%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L+775</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5,476,250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5,512,699</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5,558,394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(6), (8)</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06/02/2014</w:t>
            </w:r>
          </w:p>
        </w:tc>
        <w:tc>
          <w:tcPr>
            <w:tcW w:w="204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7"/>
              </w:rPr>
              <w:t>Consumer Goods: Non-Durable</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8.50%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L+700</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4,937,500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4,845,282</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4,863,438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Medpace Intermediateco, Inc.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06/19/2017</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5"/>
              </w:rPr>
              <w:t>Business Services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L+500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1,844,649</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1,821,373</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1,766,252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MModal Inc.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08/16/2019</w:t>
            </w:r>
          </w:p>
        </w:tc>
        <w:tc>
          <w:tcPr>
            <w:tcW w:w="20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Business Services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6.75%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3,400,000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3,349,374</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3,351,125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05/07/2018</w:t>
            </w:r>
          </w:p>
        </w:tc>
        <w:tc>
          <w:tcPr>
            <w:tcW w:w="2040" w:type="dxa"/>
            <w:vAlign w:val="bottom"/>
            <w:shd w:val="clear" w:color="auto" w:fill="CCEEFF"/>
          </w:tcPr>
          <w:p>
            <w:pPr>
              <w:jc w:val="center"/>
              <w:ind w:right="52"/>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3,950,000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3,916,596</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3,921,611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1"/>
                <w:szCs w:val="11"/>
                <w:color w:val="auto"/>
              </w:rPr>
              <w:t xml:space="preserve">MOSAID Technologies Incorporated </w:t>
            </w:r>
            <w:r>
              <w:rPr>
                <w:rFonts w:ascii="Arial" w:cs="Arial" w:eastAsia="Arial" w:hAnsi="Arial"/>
                <w:sz w:val="17"/>
                <w:szCs w:val="17"/>
                <w:color w:val="auto"/>
                <w:vertAlign w:val="superscript"/>
              </w:rPr>
              <w:t>(6)</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12/23/2016</w:t>
            </w:r>
          </w:p>
        </w:tc>
        <w:tc>
          <w:tcPr>
            <w:tcW w:w="20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8"/>
              </w:rPr>
              <w:t>High Tech Industries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8.50%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L+700</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2,887,500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2,826,368</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2,887,500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MX USA, Inc. and KAN-DI-KI, LLC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05/01/2017</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L+525</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2,985,000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2,943,607</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2,955,150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tcPr>
          <w:p>
            <w:pPr>
              <w:spacing w:after="0" w:line="138" w:lineRule="exact"/>
              <w:rPr>
                <w:sz w:val="20"/>
                <w:szCs w:val="20"/>
                <w:color w:val="auto"/>
              </w:rPr>
            </w:pPr>
            <w:r>
              <w:rPr>
                <w:rFonts w:ascii="Arial" w:cs="Arial" w:eastAsia="Arial" w:hAnsi="Arial"/>
                <w:sz w:val="14"/>
                <w:szCs w:val="14"/>
                <w:color w:val="auto"/>
              </w:rPr>
              <w:t>NAB Holdings, LLC</w:t>
            </w:r>
          </w:p>
        </w:tc>
        <w:tc>
          <w:tcPr>
            <w:tcW w:w="1500" w:type="dxa"/>
            <w:vAlign w:val="bottom"/>
          </w:tcPr>
          <w:p>
            <w:pPr>
              <w:jc w:val="center"/>
              <w:ind w:left="312"/>
              <w:spacing w:after="0" w:line="138" w:lineRule="exact"/>
              <w:rPr>
                <w:sz w:val="20"/>
                <w:szCs w:val="20"/>
                <w:color w:val="auto"/>
              </w:rPr>
            </w:pPr>
            <w:r>
              <w:rPr>
                <w:rFonts w:ascii="Arial" w:cs="Arial" w:eastAsia="Arial" w:hAnsi="Arial"/>
                <w:sz w:val="14"/>
                <w:szCs w:val="14"/>
                <w:color w:val="auto"/>
                <w:w w:val="85"/>
              </w:rPr>
              <w:t>04/24/2018</w:t>
            </w:r>
          </w:p>
        </w:tc>
        <w:tc>
          <w:tcPr>
            <w:tcW w:w="2040" w:type="dxa"/>
            <w:vAlign w:val="bottom"/>
          </w:tcPr>
          <w:p>
            <w:pPr>
              <w:jc w:val="center"/>
              <w:ind w:right="72"/>
              <w:spacing w:after="0" w:line="138" w:lineRule="exact"/>
              <w:rPr>
                <w:sz w:val="20"/>
                <w:szCs w:val="20"/>
                <w:color w:val="auto"/>
              </w:rPr>
            </w:pPr>
            <w:r>
              <w:rPr>
                <w:rFonts w:ascii="Arial" w:cs="Arial" w:eastAsia="Arial" w:hAnsi="Arial"/>
                <w:sz w:val="14"/>
                <w:szCs w:val="14"/>
                <w:color w:val="auto"/>
                <w:w w:val="86"/>
              </w:rPr>
              <w:t>Banking, Finance, Insurance and</w:t>
            </w:r>
          </w:p>
        </w:tc>
        <w:tc>
          <w:tcPr>
            <w:tcW w:w="1040" w:type="dxa"/>
            <w:vAlign w:val="bottom"/>
          </w:tcPr>
          <w:p>
            <w:pPr>
              <w:jc w:val="right"/>
              <w:ind w:right="173"/>
              <w:spacing w:after="0" w:line="138" w:lineRule="exact"/>
              <w:rPr>
                <w:sz w:val="20"/>
                <w:szCs w:val="20"/>
                <w:color w:val="auto"/>
              </w:rPr>
            </w:pPr>
            <w:r>
              <w:rPr>
                <w:rFonts w:ascii="Arial" w:cs="Arial" w:eastAsia="Arial" w:hAnsi="Arial"/>
                <w:sz w:val="14"/>
                <w:szCs w:val="14"/>
                <w:color w:val="auto"/>
              </w:rPr>
              <w:t>7.00%</w:t>
            </w:r>
          </w:p>
        </w:tc>
        <w:tc>
          <w:tcPr>
            <w:tcW w:w="900" w:type="dxa"/>
            <w:vAlign w:val="bottom"/>
          </w:tcPr>
          <w:p>
            <w:pPr>
              <w:jc w:val="right"/>
              <w:ind w:right="73"/>
              <w:spacing w:after="0" w:line="138" w:lineRule="exact"/>
              <w:rPr>
                <w:sz w:val="20"/>
                <w:szCs w:val="20"/>
                <w:color w:val="auto"/>
              </w:rPr>
            </w:pPr>
            <w:r>
              <w:rPr>
                <w:rFonts w:ascii="Arial" w:cs="Arial" w:eastAsia="Arial" w:hAnsi="Arial"/>
                <w:sz w:val="14"/>
                <w:szCs w:val="14"/>
                <w:color w:val="auto"/>
              </w:rPr>
              <w:t>L+550</w:t>
            </w:r>
          </w:p>
        </w:tc>
        <w:tc>
          <w:tcPr>
            <w:tcW w:w="92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987,500</w:t>
            </w:r>
          </w:p>
        </w:tc>
        <w:tc>
          <w:tcPr>
            <w:tcW w:w="20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973,817</w:t>
            </w:r>
          </w:p>
        </w:tc>
        <w:tc>
          <w:tcPr>
            <w:tcW w:w="26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997,375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40" w:type="dxa"/>
            <w:vAlign w:val="bottom"/>
          </w:tcPr>
          <w:p>
            <w:pPr>
              <w:jc w:val="center"/>
              <w:ind w:right="72"/>
              <w:spacing w:after="0" w:line="159" w:lineRule="exact"/>
              <w:rPr>
                <w:sz w:val="20"/>
                <w:szCs w:val="20"/>
                <w:color w:val="auto"/>
              </w:rPr>
            </w:pPr>
            <w:r>
              <w:rPr>
                <w:rFonts w:ascii="Arial" w:cs="Arial" w:eastAsia="Arial" w:hAnsi="Arial"/>
                <w:sz w:val="14"/>
                <w:szCs w:val="14"/>
                <w:color w:val="auto"/>
                <w:w w:val="85"/>
              </w:rPr>
              <w:t>Real Estate</w:t>
            </w: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Pelican Products, Inc.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07/11/2018</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5"/>
              </w:rPr>
              <w:t>Containers, Packaging and Glass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1,496,250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1,467,389</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1,492,509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tcPr>
          <w:p>
            <w:pPr>
              <w:spacing w:after="0" w:line="138" w:lineRule="exact"/>
              <w:rPr>
                <w:sz w:val="20"/>
                <w:szCs w:val="20"/>
                <w:color w:val="auto"/>
              </w:rPr>
            </w:pPr>
            <w:r>
              <w:rPr>
                <w:rFonts w:ascii="Arial" w:cs="Arial" w:eastAsia="Arial" w:hAnsi="Arial"/>
                <w:sz w:val="14"/>
                <w:szCs w:val="14"/>
                <w:color w:val="auto"/>
              </w:rPr>
              <w:t>Penton Media, Inc.</w:t>
            </w:r>
          </w:p>
        </w:tc>
        <w:tc>
          <w:tcPr>
            <w:tcW w:w="1500" w:type="dxa"/>
            <w:vAlign w:val="bottom"/>
          </w:tcPr>
          <w:p>
            <w:pPr>
              <w:jc w:val="center"/>
              <w:ind w:left="312"/>
              <w:spacing w:after="0" w:line="138" w:lineRule="exact"/>
              <w:rPr>
                <w:sz w:val="20"/>
                <w:szCs w:val="20"/>
                <w:color w:val="auto"/>
              </w:rPr>
            </w:pPr>
            <w:r>
              <w:rPr>
                <w:rFonts w:ascii="Arial" w:cs="Arial" w:eastAsia="Arial" w:hAnsi="Arial"/>
                <w:sz w:val="14"/>
                <w:szCs w:val="14"/>
                <w:color w:val="auto"/>
                <w:w w:val="85"/>
              </w:rPr>
              <w:t>08/01/2014</w:t>
            </w:r>
          </w:p>
        </w:tc>
        <w:tc>
          <w:tcPr>
            <w:tcW w:w="2040" w:type="dxa"/>
            <w:vAlign w:val="bottom"/>
          </w:tcPr>
          <w:p>
            <w:pPr>
              <w:jc w:val="center"/>
              <w:ind w:right="52"/>
              <w:spacing w:after="0" w:line="138" w:lineRule="exact"/>
              <w:rPr>
                <w:sz w:val="20"/>
                <w:szCs w:val="20"/>
                <w:color w:val="auto"/>
              </w:rPr>
            </w:pPr>
            <w:r>
              <w:rPr>
                <w:rFonts w:ascii="Arial" w:cs="Arial" w:eastAsia="Arial" w:hAnsi="Arial"/>
                <w:sz w:val="14"/>
                <w:szCs w:val="14"/>
                <w:color w:val="auto"/>
                <w:w w:val="89"/>
              </w:rPr>
              <w:t>Media: Diversified and Production</w:t>
            </w:r>
          </w:p>
        </w:tc>
        <w:tc>
          <w:tcPr>
            <w:tcW w:w="1040" w:type="dxa"/>
            <w:vAlign w:val="bottom"/>
          </w:tcPr>
          <w:p>
            <w:pPr>
              <w:jc w:val="right"/>
              <w:ind w:right="173"/>
              <w:spacing w:after="0" w:line="138" w:lineRule="exact"/>
              <w:rPr>
                <w:sz w:val="20"/>
                <w:szCs w:val="20"/>
                <w:color w:val="auto"/>
              </w:rPr>
            </w:pPr>
            <w:r>
              <w:rPr>
                <w:rFonts w:ascii="Arial" w:cs="Arial" w:eastAsia="Arial" w:hAnsi="Arial"/>
                <w:sz w:val="14"/>
                <w:szCs w:val="14"/>
                <w:color w:val="auto"/>
              </w:rPr>
              <w:t>5.00%</w:t>
            </w:r>
          </w:p>
        </w:tc>
        <w:tc>
          <w:tcPr>
            <w:tcW w:w="900" w:type="dxa"/>
            <w:vAlign w:val="bottom"/>
          </w:tcPr>
          <w:p>
            <w:pPr>
              <w:jc w:val="right"/>
              <w:ind w:right="73"/>
              <w:spacing w:after="0" w:line="138" w:lineRule="exact"/>
              <w:rPr>
                <w:sz w:val="20"/>
                <w:szCs w:val="20"/>
                <w:color w:val="auto"/>
              </w:rPr>
            </w:pPr>
            <w:r>
              <w:rPr>
                <w:rFonts w:ascii="Arial" w:cs="Arial" w:eastAsia="Arial" w:hAnsi="Arial"/>
                <w:sz w:val="14"/>
                <w:szCs w:val="14"/>
                <w:color w:val="auto"/>
              </w:rPr>
              <w:t>L+400</w:t>
            </w:r>
          </w:p>
        </w:tc>
        <w:tc>
          <w:tcPr>
            <w:tcW w:w="92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5,497,407</w:t>
            </w:r>
          </w:p>
        </w:tc>
        <w:tc>
          <w:tcPr>
            <w:tcW w:w="20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4,931,995</w:t>
            </w:r>
          </w:p>
        </w:tc>
        <w:tc>
          <w:tcPr>
            <w:tcW w:w="26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w w:val="99"/>
              </w:rPr>
              <w:t>4,439,156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ind w:left="160"/>
              <w:spacing w:after="0"/>
              <w:rPr>
                <w:sz w:val="20"/>
                <w:szCs w:val="20"/>
                <w:color w:val="auto"/>
              </w:rPr>
            </w:pPr>
            <w:r>
              <w:rPr>
                <w:rFonts w:ascii="Arial" w:cs="Arial" w:eastAsia="Arial" w:hAnsi="Arial"/>
                <w:sz w:val="14"/>
                <w:szCs w:val="14"/>
                <w:color w:val="auto"/>
              </w:rPr>
              <w:t>(PIK 1.00%)</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Potter’s Holdings II, L.P.</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05/08/2017</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5"/>
              </w:rPr>
              <w:t>Containers, Packaging and Glass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L+450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1,975,000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1,958,715</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1,967,594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Pro Mach, Inc.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07/06/2017</w:t>
            </w:r>
          </w:p>
        </w:tc>
        <w:tc>
          <w:tcPr>
            <w:tcW w:w="20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9"/>
              </w:rPr>
              <w:t>Capital Equipment</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L+475</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978,077</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970,036</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967,889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Renaissance Learning, Inc.</w:t>
            </w:r>
          </w:p>
        </w:tc>
        <w:tc>
          <w:tcPr>
            <w:tcW w:w="1500" w:type="dxa"/>
            <w:vAlign w:val="bottom"/>
            <w:shd w:val="clear" w:color="auto" w:fill="CCEEFF"/>
          </w:tcPr>
          <w:p>
            <w:pPr>
              <w:jc w:val="center"/>
              <w:ind w:left="312"/>
              <w:spacing w:after="0" w:line="138" w:lineRule="exact"/>
              <w:rPr>
                <w:sz w:val="20"/>
                <w:szCs w:val="20"/>
                <w:color w:val="auto"/>
              </w:rPr>
            </w:pPr>
            <w:r>
              <w:rPr>
                <w:rFonts w:ascii="Arial" w:cs="Arial" w:eastAsia="Arial" w:hAnsi="Arial"/>
                <w:sz w:val="14"/>
                <w:szCs w:val="14"/>
                <w:color w:val="auto"/>
                <w:w w:val="85"/>
              </w:rPr>
              <w:t>10/19/2017</w:t>
            </w:r>
          </w:p>
        </w:tc>
        <w:tc>
          <w:tcPr>
            <w:tcW w:w="2040" w:type="dxa"/>
            <w:vAlign w:val="bottom"/>
            <w:shd w:val="clear" w:color="auto" w:fill="CCEEFF"/>
          </w:tcPr>
          <w:p>
            <w:pPr>
              <w:jc w:val="center"/>
              <w:ind w:right="52"/>
              <w:spacing w:after="0" w:line="138" w:lineRule="exact"/>
              <w:rPr>
                <w:sz w:val="20"/>
                <w:szCs w:val="20"/>
                <w:color w:val="auto"/>
              </w:rPr>
            </w:pPr>
            <w:r>
              <w:rPr>
                <w:rFonts w:ascii="Arial" w:cs="Arial" w:eastAsia="Arial" w:hAnsi="Arial"/>
                <w:sz w:val="14"/>
                <w:szCs w:val="14"/>
                <w:color w:val="auto"/>
                <w:w w:val="87"/>
              </w:rPr>
              <w:t>Media: Broadcasting and</w:t>
            </w:r>
          </w:p>
        </w:tc>
        <w:tc>
          <w:tcPr>
            <w:tcW w:w="104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7.75%</w:t>
            </w:r>
          </w:p>
        </w:tc>
        <w:tc>
          <w:tcPr>
            <w:tcW w:w="900" w:type="dxa"/>
            <w:vAlign w:val="bottom"/>
            <w:shd w:val="clear" w:color="auto" w:fill="CCEEFF"/>
          </w:tcPr>
          <w:p>
            <w:pPr>
              <w:jc w:val="right"/>
              <w:ind w:right="73"/>
              <w:spacing w:after="0" w:line="138" w:lineRule="exact"/>
              <w:rPr>
                <w:sz w:val="20"/>
                <w:szCs w:val="20"/>
                <w:color w:val="auto"/>
              </w:rPr>
            </w:pPr>
            <w:r>
              <w:rPr>
                <w:rFonts w:ascii="Arial" w:cs="Arial" w:eastAsia="Arial" w:hAnsi="Arial"/>
                <w:sz w:val="14"/>
                <w:szCs w:val="14"/>
                <w:color w:val="auto"/>
              </w:rPr>
              <w:t>L+625</w:t>
            </w:r>
          </w:p>
        </w:tc>
        <w:tc>
          <w:tcPr>
            <w:tcW w:w="920" w:type="dxa"/>
            <w:vAlign w:val="bottom"/>
            <w:shd w:val="clear" w:color="auto" w:fill="CCEEFF"/>
          </w:tcPr>
          <w:p>
            <w:pPr>
              <w:jc w:val="right"/>
              <w:ind w:right="152"/>
              <w:spacing w:after="0" w:line="138" w:lineRule="exact"/>
              <w:rPr>
                <w:sz w:val="20"/>
                <w:szCs w:val="20"/>
                <w:color w:val="auto"/>
              </w:rPr>
            </w:pPr>
            <w:r>
              <w:rPr>
                <w:rFonts w:ascii="Arial" w:cs="Arial" w:eastAsia="Arial" w:hAnsi="Arial"/>
                <w:sz w:val="14"/>
                <w:szCs w:val="14"/>
                <w:color w:val="auto"/>
              </w:rPr>
              <w:t>1,980,000</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1,909,788</w:t>
            </w: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1,994,850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040" w:type="dxa"/>
            <w:vAlign w:val="bottom"/>
            <w:shd w:val="clear" w:color="auto" w:fill="CCEEFF"/>
          </w:tcPr>
          <w:p>
            <w:pPr>
              <w:jc w:val="center"/>
              <w:ind w:right="52"/>
              <w:spacing w:after="0" w:line="159" w:lineRule="exact"/>
              <w:rPr>
                <w:sz w:val="20"/>
                <w:szCs w:val="20"/>
                <w:color w:val="auto"/>
              </w:rPr>
            </w:pPr>
            <w:r>
              <w:rPr>
                <w:rFonts w:ascii="Arial" w:cs="Arial" w:eastAsia="Arial" w:hAnsi="Arial"/>
                <w:sz w:val="14"/>
                <w:szCs w:val="14"/>
                <w:color w:val="auto"/>
                <w:w w:val="88"/>
              </w:rPr>
              <w:t>Subscription</w:t>
            </w:r>
          </w:p>
        </w:tc>
        <w:tc>
          <w:tcPr>
            <w:tcW w:w="10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Rocket Software, Inc.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02/08/2018</w:t>
            </w:r>
          </w:p>
        </w:tc>
        <w:tc>
          <w:tcPr>
            <w:tcW w:w="20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8"/>
              </w:rPr>
              <w:t>High Tech Industries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3,970,000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3,898,141</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3,970,000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Sabre Industries, Inc.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08/24/2018</w:t>
            </w:r>
          </w:p>
        </w:tc>
        <w:tc>
          <w:tcPr>
            <w:tcW w:w="2040" w:type="dxa"/>
            <w:vAlign w:val="bottom"/>
            <w:shd w:val="clear" w:color="auto" w:fill="CCEEFF"/>
          </w:tcPr>
          <w:p>
            <w:pPr>
              <w:jc w:val="center"/>
              <w:ind w:right="52"/>
              <w:spacing w:after="0" w:line="149" w:lineRule="exact"/>
              <w:rPr>
                <w:sz w:val="20"/>
                <w:szCs w:val="20"/>
                <w:color w:val="auto"/>
              </w:rPr>
            </w:pPr>
            <w:r>
              <w:rPr>
                <w:rFonts w:ascii="Arial" w:cs="Arial" w:eastAsia="Arial" w:hAnsi="Arial"/>
                <w:sz w:val="14"/>
                <w:szCs w:val="14"/>
                <w:color w:val="auto"/>
                <w:w w:val="90"/>
              </w:rPr>
              <w:t>Construction and Building</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L+575</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3,000,000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2,955,509</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2,973,126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Securus Technologies, Inc.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05/31/2017</w:t>
            </w:r>
          </w:p>
        </w:tc>
        <w:tc>
          <w:tcPr>
            <w:tcW w:w="204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7"/>
              </w:rPr>
              <w:t>Telecommunications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L+525</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2,962,500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2,938,182</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2,960,648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Seven Seas Cruises S. DE R.L.</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12/21/2018</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7"/>
              </w:rPr>
              <w:t>Hotel, Gaming and Leisure</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L+500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1,500,000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1,485,300</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1,505,625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04/21/2017</w:t>
            </w:r>
          </w:p>
        </w:tc>
        <w:tc>
          <w:tcPr>
            <w:tcW w:w="204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5"/>
              </w:rPr>
              <w:t>Aerospace and Defense</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2,962,512</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2,939,052</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2,932,887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01/29/2018</w:t>
            </w:r>
          </w:p>
        </w:tc>
        <w:tc>
          <w:tcPr>
            <w:tcW w:w="2040" w:type="dxa"/>
            <w:vAlign w:val="bottom"/>
            <w:shd w:val="clear" w:color="auto" w:fill="CCEEFF"/>
          </w:tcPr>
          <w:p>
            <w:pPr>
              <w:jc w:val="center"/>
              <w:ind w:right="52"/>
              <w:spacing w:after="0" w:line="149" w:lineRule="exact"/>
              <w:rPr>
                <w:sz w:val="20"/>
                <w:szCs w:val="20"/>
                <w:color w:val="auto"/>
              </w:rPr>
            </w:pPr>
            <w:r>
              <w:rPr>
                <w:rFonts w:ascii="Arial" w:cs="Arial" w:eastAsia="Arial" w:hAnsi="Arial"/>
                <w:sz w:val="14"/>
                <w:szCs w:val="14"/>
                <w:color w:val="auto"/>
                <w:w w:val="87"/>
              </w:rPr>
              <w:t>Telecommunications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9.00%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L+750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150,000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147,935</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01/29/2018</w:t>
            </w:r>
          </w:p>
        </w:tc>
        <w:tc>
          <w:tcPr>
            <w:tcW w:w="204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7"/>
              </w:rPr>
              <w:t>Telecommunications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13.50%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L+1,200</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1,875,000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1,823,914</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1,914,375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Triple Point Technology, Inc.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10/27/2017</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8"/>
              </w:rPr>
              <w:t>High Tech Industries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8.00%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L+650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992,500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958,036</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992,500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UniTek Global Services, Inc.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04/16/2018</w:t>
            </w:r>
          </w:p>
        </w:tc>
        <w:tc>
          <w:tcPr>
            <w:tcW w:w="204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7"/>
              </w:rPr>
              <w:t>Telecommunications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9.00%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L+750</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1,995,000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1,935,550</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1,950,113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Univita Health Inc.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06/19/2017</w:t>
            </w:r>
          </w:p>
        </w:tc>
        <w:tc>
          <w:tcPr>
            <w:tcW w:w="2040" w:type="dxa"/>
            <w:vAlign w:val="bottom"/>
            <w:shd w:val="clear" w:color="auto" w:fill="CCEEFF"/>
          </w:tcPr>
          <w:p>
            <w:pPr>
              <w:jc w:val="center"/>
              <w:ind w:right="52"/>
              <w:spacing w:after="0" w:line="149" w:lineRule="exact"/>
              <w:rPr>
                <w:sz w:val="20"/>
                <w:szCs w:val="20"/>
                <w:color w:val="auto"/>
              </w:rPr>
            </w:pPr>
            <w:r>
              <w:rPr>
                <w:rFonts w:ascii="Arial" w:cs="Arial" w:eastAsia="Arial" w:hAnsi="Arial"/>
                <w:sz w:val="14"/>
                <w:szCs w:val="14"/>
                <w:color w:val="auto"/>
                <w:w w:val="85"/>
              </w:rPr>
              <w:t>Consumer Services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L+475</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2,962,500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2,938,318</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2,844,000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Valitas Health Services, Inc.</w:t>
            </w:r>
          </w:p>
        </w:tc>
        <w:tc>
          <w:tcPr>
            <w:tcW w:w="150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5"/>
              </w:rPr>
              <w:t>06/02/2017</w:t>
            </w:r>
          </w:p>
        </w:tc>
        <w:tc>
          <w:tcPr>
            <w:tcW w:w="20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5.75%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L+450</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1,481,250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1,474,945</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1,466,438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Vantage Specialties, Inc.</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02/09/2018</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5"/>
              </w:rPr>
              <w:t>Chemicals, Plastics and Rubber</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2,985,000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2,930,559</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2,999,925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tcPr>
          <w:p>
            <w:pPr>
              <w:spacing w:after="0" w:line="138" w:lineRule="exact"/>
              <w:rPr>
                <w:sz w:val="20"/>
                <w:szCs w:val="20"/>
                <w:color w:val="auto"/>
              </w:rPr>
            </w:pPr>
            <w:r>
              <w:rPr>
                <w:rFonts w:ascii="Arial" w:cs="Arial" w:eastAsia="Arial" w:hAnsi="Arial"/>
                <w:sz w:val="14"/>
                <w:szCs w:val="14"/>
                <w:color w:val="auto"/>
              </w:rPr>
              <w:t>Viamedia Services Corp.</w:t>
            </w:r>
          </w:p>
        </w:tc>
        <w:tc>
          <w:tcPr>
            <w:tcW w:w="1500" w:type="dxa"/>
            <w:vAlign w:val="bottom"/>
          </w:tcPr>
          <w:p>
            <w:pPr>
              <w:jc w:val="center"/>
              <w:ind w:left="312"/>
              <w:spacing w:after="0" w:line="138" w:lineRule="exact"/>
              <w:rPr>
                <w:sz w:val="20"/>
                <w:szCs w:val="20"/>
                <w:color w:val="auto"/>
              </w:rPr>
            </w:pPr>
            <w:r>
              <w:rPr>
                <w:rFonts w:ascii="Arial" w:cs="Arial" w:eastAsia="Arial" w:hAnsi="Arial"/>
                <w:sz w:val="14"/>
                <w:szCs w:val="14"/>
                <w:color w:val="auto"/>
                <w:w w:val="85"/>
              </w:rPr>
              <w:t>04/19/2016</w:t>
            </w:r>
          </w:p>
        </w:tc>
        <w:tc>
          <w:tcPr>
            <w:tcW w:w="2040" w:type="dxa"/>
            <w:vAlign w:val="bottom"/>
          </w:tcPr>
          <w:p>
            <w:pPr>
              <w:jc w:val="center"/>
              <w:ind w:right="72"/>
              <w:spacing w:after="0" w:line="138" w:lineRule="exact"/>
              <w:rPr>
                <w:sz w:val="20"/>
                <w:szCs w:val="20"/>
                <w:color w:val="auto"/>
              </w:rPr>
            </w:pPr>
            <w:r>
              <w:rPr>
                <w:rFonts w:ascii="Arial" w:cs="Arial" w:eastAsia="Arial" w:hAnsi="Arial"/>
                <w:sz w:val="14"/>
                <w:szCs w:val="14"/>
                <w:color w:val="auto"/>
                <w:w w:val="90"/>
              </w:rPr>
              <w:t>Media: Advertising, Printing and</w:t>
            </w:r>
          </w:p>
        </w:tc>
        <w:tc>
          <w:tcPr>
            <w:tcW w:w="1040" w:type="dxa"/>
            <w:vAlign w:val="bottom"/>
          </w:tcPr>
          <w:p>
            <w:pPr>
              <w:jc w:val="right"/>
              <w:ind w:right="173"/>
              <w:spacing w:after="0" w:line="138" w:lineRule="exact"/>
              <w:rPr>
                <w:sz w:val="20"/>
                <w:szCs w:val="20"/>
                <w:color w:val="auto"/>
              </w:rPr>
            </w:pPr>
            <w:r>
              <w:rPr>
                <w:rFonts w:ascii="Arial" w:cs="Arial" w:eastAsia="Arial" w:hAnsi="Arial"/>
                <w:sz w:val="14"/>
                <w:szCs w:val="14"/>
                <w:color w:val="auto"/>
              </w:rPr>
              <w:t>7.00%</w:t>
            </w:r>
          </w:p>
        </w:tc>
        <w:tc>
          <w:tcPr>
            <w:tcW w:w="900" w:type="dxa"/>
            <w:vAlign w:val="bottom"/>
          </w:tcPr>
          <w:p>
            <w:pPr>
              <w:jc w:val="right"/>
              <w:ind w:right="73"/>
              <w:spacing w:after="0" w:line="138" w:lineRule="exact"/>
              <w:rPr>
                <w:sz w:val="20"/>
                <w:szCs w:val="20"/>
                <w:color w:val="auto"/>
              </w:rPr>
            </w:pPr>
            <w:r>
              <w:rPr>
                <w:rFonts w:ascii="Arial" w:cs="Arial" w:eastAsia="Arial" w:hAnsi="Arial"/>
                <w:sz w:val="14"/>
                <w:szCs w:val="14"/>
                <w:color w:val="auto"/>
              </w:rPr>
              <w:t>L+550</w:t>
            </w:r>
          </w:p>
        </w:tc>
        <w:tc>
          <w:tcPr>
            <w:tcW w:w="92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4,187,556</w:t>
            </w:r>
          </w:p>
        </w:tc>
        <w:tc>
          <w:tcPr>
            <w:tcW w:w="20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4,147,483</w:t>
            </w:r>
          </w:p>
        </w:tc>
        <w:tc>
          <w:tcPr>
            <w:tcW w:w="26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w w:val="99"/>
              </w:rPr>
              <w:t>4,187,556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40" w:type="dxa"/>
            <w:vAlign w:val="bottom"/>
          </w:tcPr>
          <w:p>
            <w:pPr>
              <w:jc w:val="center"/>
              <w:ind w:right="72"/>
              <w:spacing w:after="0" w:line="159" w:lineRule="exact"/>
              <w:rPr>
                <w:sz w:val="20"/>
                <w:szCs w:val="20"/>
                <w:color w:val="auto"/>
              </w:rPr>
            </w:pPr>
            <w:r>
              <w:rPr>
                <w:rFonts w:ascii="Arial" w:cs="Arial" w:eastAsia="Arial" w:hAnsi="Arial"/>
                <w:sz w:val="14"/>
                <w:szCs w:val="14"/>
                <w:color w:val="auto"/>
                <w:w w:val="89"/>
              </w:rPr>
              <w:t>Publishing</w:t>
            </w: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Virtual Radiologic Corporation</w:t>
            </w:r>
          </w:p>
        </w:tc>
        <w:tc>
          <w:tcPr>
            <w:tcW w:w="150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5"/>
              </w:rPr>
              <w:t>12/22/2016</w:t>
            </w:r>
          </w:p>
        </w:tc>
        <w:tc>
          <w:tcPr>
            <w:tcW w:w="2040" w:type="dxa"/>
            <w:vAlign w:val="bottom"/>
            <w:shd w:val="clear" w:color="auto" w:fill="CCEEFF"/>
          </w:tcPr>
          <w:p>
            <w:pPr>
              <w:jc w:val="center"/>
              <w:ind w:right="72"/>
              <w:spacing w:after="0" w:line="149" w:lineRule="exact"/>
              <w:rPr>
                <w:sz w:val="20"/>
                <w:szCs w:val="20"/>
                <w:color w:val="auto"/>
              </w:rPr>
            </w:pPr>
            <w:r>
              <w:rPr>
                <w:rFonts w:ascii="Arial" w:cs="Arial" w:eastAsia="Arial" w:hAnsi="Arial"/>
                <w:sz w:val="14"/>
                <w:szCs w:val="14"/>
                <w:color w:val="auto"/>
                <w:w w:val="85"/>
              </w:rPr>
              <w:t>Business Services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7.75%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P+450</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2,970,000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2,940,842</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2,643,300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F-33</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1"/>
              </w:rPr>
              <w:t>Basis Point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Spread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9"/>
              </w:rPr>
              <w:t>Maturity</w:t>
            </w:r>
          </w:p>
        </w:tc>
        <w:tc>
          <w:tcPr>
            <w:tcW w:w="2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Industry</w:t>
            </w: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Current</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Above</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Par/</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5"/>
        </w:trPr>
        <w:tc>
          <w:tcPr>
            <w:tcW w:w="2980" w:type="dxa"/>
            <w:vAlign w:val="bottom"/>
            <w:gridSpan w:val="3"/>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840" w:type="dxa"/>
            <w:vAlign w:val="bottom"/>
            <w:gridSpan w:val="2"/>
            <w:vMerge w:val="continue"/>
          </w:tcPr>
          <w:p>
            <w:pPr>
              <w:spacing w:after="0"/>
              <w:rPr>
                <w:sz w:val="11"/>
                <w:szCs w:val="11"/>
                <w:color w:val="auto"/>
              </w:rPr>
            </w:pPr>
          </w:p>
        </w:tc>
        <w:tc>
          <w:tcPr>
            <w:tcW w:w="98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w w:val="94"/>
              </w:rPr>
              <w:t>Coupon</w:t>
            </w:r>
          </w:p>
        </w:tc>
        <w:tc>
          <w:tcPr>
            <w:tcW w:w="1060" w:type="dxa"/>
            <w:vAlign w:val="bottom"/>
            <w:gridSpan w:val="2"/>
          </w:tcPr>
          <w:p>
            <w:pPr>
              <w:jc w:val="center"/>
              <w:ind w:right="420"/>
              <w:spacing w:after="0" w:line="135" w:lineRule="exact"/>
              <w:rPr>
                <w:sz w:val="20"/>
                <w:szCs w:val="20"/>
                <w:color w:val="auto"/>
              </w:rPr>
            </w:pPr>
            <w:r>
              <w:rPr>
                <w:rFonts w:ascii="Arial" w:cs="Arial" w:eastAsia="Arial" w:hAnsi="Arial"/>
                <w:sz w:val="10"/>
                <w:szCs w:val="10"/>
                <w:b w:val="1"/>
                <w:bCs w:val="1"/>
                <w:color w:val="auto"/>
              </w:rPr>
              <w:t xml:space="preserve">Index </w:t>
            </w:r>
            <w:r>
              <w:rPr>
                <w:rFonts w:ascii="Arial" w:cs="Arial" w:eastAsia="Arial" w:hAnsi="Arial"/>
                <w:sz w:val="15"/>
                <w:szCs w:val="15"/>
                <w:b w:val="1"/>
                <w:bCs w:val="1"/>
                <w:color w:val="auto"/>
                <w:vertAlign w:val="superscript"/>
              </w:rPr>
              <w:t>(1)</w:t>
            </w:r>
          </w:p>
        </w:tc>
        <w:tc>
          <w:tcPr>
            <w:tcW w:w="6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233"/>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tcBorders>
            <w:vMerge w:val="restart"/>
            <w:shd w:val="clear" w:color="auto" w:fill="CCEEFF"/>
          </w:tcPr>
          <w:p>
            <w:pPr>
              <w:spacing w:after="0" w:line="155" w:lineRule="exact"/>
              <w:rPr>
                <w:sz w:val="20"/>
                <w:szCs w:val="20"/>
                <w:color w:val="auto"/>
              </w:rPr>
            </w:pPr>
            <w:r>
              <w:rPr>
                <w:rFonts w:ascii="Arial" w:cs="Arial" w:eastAsia="Arial" w:hAnsi="Arial"/>
                <w:sz w:val="14"/>
                <w:szCs w:val="14"/>
                <w:color w:val="auto"/>
              </w:rPr>
              <w:t>W3 CO.</w:t>
            </w:r>
          </w:p>
        </w:tc>
        <w:tc>
          <w:tcPr>
            <w:tcW w:w="22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2220" w:type="dxa"/>
            <w:vAlign w:val="bottom"/>
            <w:vMerge w:val="continue"/>
            <w:shd w:val="clear" w:color="auto" w:fill="CCEEFF"/>
          </w:tcPr>
          <w:p>
            <w:pPr>
              <w:spacing w:after="0"/>
              <w:rPr>
                <w:sz w:val="11"/>
                <w:szCs w:val="11"/>
                <w:color w:val="auto"/>
              </w:rPr>
            </w:pPr>
          </w:p>
        </w:tc>
        <w:tc>
          <w:tcPr>
            <w:tcW w:w="620" w:type="dxa"/>
            <w:vAlign w:val="bottom"/>
            <w:shd w:val="clear" w:color="auto" w:fill="CCEEFF"/>
          </w:tcPr>
          <w:p>
            <w:pPr>
              <w:jc w:val="center"/>
              <w:spacing w:after="0" w:line="136" w:lineRule="exact"/>
              <w:rPr>
                <w:sz w:val="20"/>
                <w:szCs w:val="20"/>
                <w:color w:val="auto"/>
              </w:rPr>
            </w:pPr>
            <w:r>
              <w:rPr>
                <w:rFonts w:ascii="Arial" w:cs="Arial" w:eastAsia="Arial" w:hAnsi="Arial"/>
                <w:sz w:val="14"/>
                <w:szCs w:val="14"/>
                <w:color w:val="auto"/>
                <w:w w:val="88"/>
              </w:rPr>
              <w:t>10/31/2017</w:t>
            </w:r>
          </w:p>
        </w:tc>
        <w:tc>
          <w:tcPr>
            <w:tcW w:w="180" w:type="dxa"/>
            <w:vAlign w:val="bottom"/>
            <w:vMerge w:val="continue"/>
            <w:shd w:val="clear" w:color="auto" w:fill="CCEEFF"/>
          </w:tcPr>
          <w:p>
            <w:pPr>
              <w:spacing w:after="0"/>
              <w:rPr>
                <w:sz w:val="11"/>
                <w:szCs w:val="11"/>
                <w:color w:val="auto"/>
              </w:rPr>
            </w:pPr>
          </w:p>
        </w:tc>
        <w:tc>
          <w:tcPr>
            <w:tcW w:w="2660" w:type="dxa"/>
            <w:vAlign w:val="bottom"/>
            <w:shd w:val="clear" w:color="auto" w:fill="CCEEFF"/>
          </w:tcPr>
          <w:p>
            <w:pPr>
              <w:jc w:val="center"/>
              <w:spacing w:after="0" w:line="136" w:lineRule="exact"/>
              <w:rPr>
                <w:sz w:val="20"/>
                <w:szCs w:val="20"/>
                <w:color w:val="auto"/>
              </w:rPr>
            </w:pPr>
            <w:r>
              <w:rPr>
                <w:rFonts w:ascii="Arial" w:cs="Arial" w:eastAsia="Arial" w:hAnsi="Arial"/>
                <w:sz w:val="14"/>
                <w:szCs w:val="14"/>
                <w:color w:val="auto"/>
                <w:w w:val="87"/>
              </w:rPr>
              <w:t>Energy: Oil and Gas</w:t>
            </w:r>
          </w:p>
        </w:tc>
        <w:tc>
          <w:tcPr>
            <w:tcW w:w="180" w:type="dxa"/>
            <w:vAlign w:val="bottom"/>
            <w:vMerge w:val="continue"/>
            <w:shd w:val="clear" w:color="auto" w:fill="CCEEFF"/>
          </w:tcPr>
          <w:p>
            <w:pPr>
              <w:spacing w:after="0"/>
              <w:rPr>
                <w:sz w:val="11"/>
                <w:szCs w:val="11"/>
                <w:color w:val="auto"/>
              </w:rPr>
            </w:pPr>
          </w:p>
        </w:tc>
        <w:tc>
          <w:tcPr>
            <w:tcW w:w="98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4"/>
                <w:szCs w:val="14"/>
                <w:color w:val="auto"/>
              </w:rPr>
              <w:t>7.50%</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L+625</w:t>
            </w:r>
          </w:p>
        </w:tc>
        <w:tc>
          <w:tcPr>
            <w:tcW w:w="420" w:type="dxa"/>
            <w:vAlign w:val="bottom"/>
            <w:vMerge w:val="continue"/>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9"/>
              </w:rPr>
              <w:t>1,985,000</w:t>
            </w:r>
          </w:p>
        </w:tc>
        <w:tc>
          <w:tcPr>
            <w:tcW w:w="10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1,916,035</w:t>
            </w:r>
          </w:p>
        </w:tc>
        <w:tc>
          <w:tcPr>
            <w:tcW w:w="14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1,982,519</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Water Pik,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08/10/2017</w:t>
            </w:r>
          </w:p>
        </w:tc>
        <w:tc>
          <w:tcPr>
            <w:tcW w:w="180" w:type="dxa"/>
            <w:vAlign w:val="bottom"/>
          </w:tcPr>
          <w:p>
            <w:pPr>
              <w:spacing w:after="0"/>
              <w:rPr>
                <w:sz w:val="12"/>
                <w:szCs w:val="12"/>
                <w:color w:val="auto"/>
              </w:rPr>
            </w:pPr>
          </w:p>
        </w:tc>
        <w:tc>
          <w:tcPr>
            <w:tcW w:w="2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Consumer Goods: Durable</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6.75%</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L+525</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3,465,000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3,434,281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3,456,338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WCA Waste Corporation</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03/23/2018</w:t>
            </w:r>
          </w:p>
        </w:tc>
        <w:tc>
          <w:tcPr>
            <w:tcW w:w="18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9"/>
              </w:rPr>
              <w:t>Environmental Industries</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5.50%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L+425</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995,000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985,787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998,316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Wilton Brands,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08/30/2018</w:t>
            </w:r>
          </w:p>
        </w:tc>
        <w:tc>
          <w:tcPr>
            <w:tcW w:w="180" w:type="dxa"/>
            <w:vAlign w:val="bottom"/>
          </w:tcPr>
          <w:p>
            <w:pPr>
              <w:spacing w:after="0"/>
              <w:rPr>
                <w:sz w:val="12"/>
                <w:szCs w:val="12"/>
                <w:color w:val="auto"/>
              </w:rPr>
            </w:pPr>
          </w:p>
        </w:tc>
        <w:tc>
          <w:tcPr>
            <w:tcW w:w="2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7"/>
              </w:rPr>
              <w:t>Consumer Goods: Non-Durable</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7.50%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L+625</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3,400,000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3,332,763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3,417,000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(5), (8)</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07/15/2016</w:t>
            </w:r>
          </w:p>
        </w:tc>
        <w:tc>
          <w:tcPr>
            <w:tcW w:w="18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7"/>
              </w:rPr>
              <w:t>Hotel, Gaming and Leisure</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11.38%</w:t>
            </w:r>
          </w:p>
        </w:tc>
        <w:tc>
          <w:tcPr>
            <w:tcW w:w="10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9"/>
              </w:rPr>
              <w:t>4,000,000</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4,288,196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4,320,000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150,258,038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150,209,747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Debt—12.6%</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(5), (8)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09/01/2017</w:t>
            </w:r>
          </w:p>
        </w:tc>
        <w:tc>
          <w:tcPr>
            <w:tcW w:w="180" w:type="dxa"/>
            <w:vAlign w:val="bottom"/>
          </w:tcPr>
          <w:p>
            <w:pPr>
              <w:spacing w:after="0"/>
              <w:rPr>
                <w:sz w:val="12"/>
                <w:szCs w:val="12"/>
                <w:color w:val="auto"/>
              </w:rPr>
            </w:pPr>
          </w:p>
        </w:tc>
        <w:tc>
          <w:tcPr>
            <w:tcW w:w="2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9"/>
              </w:rPr>
              <w:t>Metals and Mining</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10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3,000,000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3,082,500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01/29/2018</w:t>
            </w:r>
          </w:p>
        </w:tc>
        <w:tc>
          <w:tcPr>
            <w:tcW w:w="18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Automotive</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10.50%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L+900</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9"/>
              </w:rPr>
              <w:t>1,000,000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995,180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Cannery Casino Resorts, LLC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10/02/2019</w:t>
            </w:r>
          </w:p>
        </w:tc>
        <w:tc>
          <w:tcPr>
            <w:tcW w:w="180" w:type="dxa"/>
            <w:vAlign w:val="bottom"/>
          </w:tcPr>
          <w:p>
            <w:pPr>
              <w:spacing w:after="0"/>
              <w:rPr>
                <w:sz w:val="12"/>
                <w:szCs w:val="12"/>
                <w:color w:val="auto"/>
              </w:rPr>
            </w:pPr>
          </w:p>
        </w:tc>
        <w:tc>
          <w:tcPr>
            <w:tcW w:w="2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Hotel, Gaming and Leisure</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10.00%</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L+875</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1,700,000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1,666,000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1,691,500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11/06/2018</w:t>
            </w:r>
          </w:p>
        </w:tc>
        <w:tc>
          <w:tcPr>
            <w:tcW w:w="18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10.25%</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L+875</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9"/>
              </w:rPr>
              <w:t>1,500,000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1,486,780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1,475,250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ROC Finance LLC and ROC Finance 1 Corp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09/01/2018</w:t>
            </w:r>
          </w:p>
        </w:tc>
        <w:tc>
          <w:tcPr>
            <w:tcW w:w="180" w:type="dxa"/>
            <w:vAlign w:val="bottom"/>
          </w:tcPr>
          <w:p>
            <w:pPr>
              <w:spacing w:after="0"/>
              <w:rPr>
                <w:sz w:val="12"/>
                <w:szCs w:val="12"/>
                <w:color w:val="auto"/>
              </w:rPr>
            </w:pPr>
          </w:p>
        </w:tc>
        <w:tc>
          <w:tcPr>
            <w:tcW w:w="2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Hotel, Gaming and Leisure</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12.13%</w:t>
            </w:r>
          </w:p>
        </w:tc>
        <w:tc>
          <w:tcPr>
            <w:tcW w:w="10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2,000,000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1,969,103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2,320,000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Sensus USA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05/09/2018</w:t>
            </w:r>
          </w:p>
        </w:tc>
        <w:tc>
          <w:tcPr>
            <w:tcW w:w="18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Utilities: Water</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8.50%</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L+725</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9"/>
              </w:rPr>
              <w:t>1,000,000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991,580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996,250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05/15/2019</w:t>
            </w:r>
          </w:p>
        </w:tc>
        <w:tc>
          <w:tcPr>
            <w:tcW w:w="180" w:type="dxa"/>
            <w:vAlign w:val="bottom"/>
          </w:tcPr>
          <w:p>
            <w:pPr>
              <w:spacing w:after="0"/>
              <w:rPr>
                <w:sz w:val="13"/>
                <w:szCs w:val="13"/>
                <w:color w:val="auto"/>
              </w:rPr>
            </w:pPr>
          </w:p>
        </w:tc>
        <w:tc>
          <w:tcPr>
            <w:tcW w:w="2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Hotel, Gaming and Leisure</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9.13%</w:t>
            </w:r>
          </w:p>
        </w:tc>
        <w:tc>
          <w:tcPr>
            <w:tcW w:w="10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1,500,000</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1,500,000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1,560,000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11,608,643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12,025,500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Subordinated Debt/Corporate Notes—8.7% </w:t>
            </w:r>
            <w:r>
              <w:rPr>
                <w:rFonts w:ascii="Arial" w:cs="Arial" w:eastAsia="Arial" w:hAnsi="Arial"/>
                <w:sz w:val="18"/>
                <w:szCs w:val="18"/>
                <w:b w:val="1"/>
                <w:bCs w:val="1"/>
                <w:color w:val="auto"/>
                <w:vertAlign w:val="superscript"/>
              </w:rPr>
              <w:t>(8)</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11/15/2015</w:t>
            </w:r>
          </w:p>
        </w:tc>
        <w:tc>
          <w:tcPr>
            <w:tcW w:w="18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7"/>
              </w:rPr>
              <w:t>Consumer Goods: Non-Durable</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11.63%</w:t>
            </w:r>
          </w:p>
        </w:tc>
        <w:tc>
          <w:tcPr>
            <w:tcW w:w="10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9"/>
              </w:rPr>
              <w:t>4,100,000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3,782,015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2,788,000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Document Technologies,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12/01/2017</w:t>
            </w:r>
          </w:p>
        </w:tc>
        <w:tc>
          <w:tcPr>
            <w:tcW w:w="180" w:type="dxa"/>
            <w:vAlign w:val="bottom"/>
          </w:tcPr>
          <w:p>
            <w:pPr>
              <w:spacing w:after="0"/>
              <w:rPr>
                <w:sz w:val="12"/>
                <w:szCs w:val="12"/>
                <w:color w:val="auto"/>
              </w:rPr>
            </w:pPr>
          </w:p>
        </w:tc>
        <w:tc>
          <w:tcPr>
            <w:tcW w:w="2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Business Services</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13.00%</w:t>
            </w:r>
          </w:p>
        </w:tc>
        <w:tc>
          <w:tcPr>
            <w:tcW w:w="10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1,000,000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980,074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06/03/2019</w:t>
            </w:r>
          </w:p>
        </w:tc>
        <w:tc>
          <w:tcPr>
            <w:tcW w:w="180" w:type="dxa"/>
            <w:vAlign w:val="bottom"/>
            <w:shd w:val="clear" w:color="auto" w:fill="CCEEFF"/>
          </w:tcPr>
          <w:p>
            <w:pPr>
              <w:spacing w:after="0"/>
              <w:rPr>
                <w:sz w:val="11"/>
                <w:szCs w:val="11"/>
                <w:color w:val="auto"/>
              </w:rPr>
            </w:pPr>
          </w:p>
        </w:tc>
        <w:tc>
          <w:tcPr>
            <w:tcW w:w="284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4"/>
                <w:szCs w:val="14"/>
                <w:color w:val="auto"/>
                <w:w w:val="85"/>
              </w:rPr>
              <w:t>Beverage, Food and Tobacco</w:t>
            </w:r>
          </w:p>
        </w:tc>
        <w:tc>
          <w:tcPr>
            <w:tcW w:w="98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14.25%</w:t>
            </w:r>
          </w:p>
        </w:tc>
        <w:tc>
          <w:tcPr>
            <w:tcW w:w="106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w w:val="89"/>
              </w:rPr>
              <w:t>4,508,719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4,432,092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4,508,719</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5"/>
              </w:rPr>
              <w:t>(PIK 2.25%)</w:t>
            </w: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9,194,181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8,296,719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6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w w:val="98"/>
              </w:rPr>
              <w:t>Preferred Equity/Partnership Interests—0.2%</w:t>
            </w: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1"/>
                <w:szCs w:val="11"/>
                <w:b w:val="1"/>
                <w:bCs w:val="1"/>
                <w:color w:val="auto"/>
              </w:rPr>
              <w:t>(7), (8)</w:t>
            </w:r>
          </w:p>
        </w:tc>
        <w:tc>
          <w:tcPr>
            <w:tcW w:w="2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gridSpan w:val="2"/>
          </w:tcPr>
          <w:p>
            <w:pPr>
              <w:spacing w:after="0" w:line="138" w:lineRule="exact"/>
              <w:rPr>
                <w:sz w:val="20"/>
                <w:szCs w:val="20"/>
                <w:color w:val="auto"/>
              </w:rPr>
            </w:pPr>
            <w:r>
              <w:rPr>
                <w:rFonts w:ascii="Arial" w:cs="Arial" w:eastAsia="Arial" w:hAnsi="Arial"/>
                <w:sz w:val="14"/>
                <w:szCs w:val="14"/>
                <w:color w:val="auto"/>
                <w:w w:val="97"/>
              </w:rPr>
              <w:t>TrustHouse Services Holdings, LLC (TrustHouse</w:t>
            </w:r>
          </w:p>
        </w:tc>
        <w:tc>
          <w:tcPr>
            <w:tcW w:w="80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2840" w:type="dxa"/>
            <w:vAlign w:val="bottom"/>
            <w:gridSpan w:val="2"/>
          </w:tcPr>
          <w:p>
            <w:pPr>
              <w:jc w:val="center"/>
              <w:ind w:right="180"/>
              <w:spacing w:after="0" w:line="138" w:lineRule="exact"/>
              <w:rPr>
                <w:sz w:val="20"/>
                <w:szCs w:val="20"/>
                <w:color w:val="auto"/>
              </w:rPr>
            </w:pPr>
            <w:r>
              <w:rPr>
                <w:rFonts w:ascii="Arial" w:cs="Arial" w:eastAsia="Arial" w:hAnsi="Arial"/>
                <w:sz w:val="14"/>
                <w:szCs w:val="14"/>
                <w:color w:val="auto"/>
                <w:w w:val="85"/>
              </w:rPr>
              <w:t>Beverage, Food and Tobacco</w:t>
            </w:r>
          </w:p>
        </w:tc>
        <w:tc>
          <w:tcPr>
            <w:tcW w:w="98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12.50%</w:t>
            </w:r>
          </w:p>
        </w:tc>
        <w:tc>
          <w:tcPr>
            <w:tcW w:w="106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176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110,697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200,571</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9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Services Group, Inc.)</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6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w w:val="98"/>
              </w:rPr>
              <w:t>Common Equity/Partnership Interests—1.1%</w:t>
            </w: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1"/>
                <w:szCs w:val="11"/>
                <w:b w:val="1"/>
                <w:bCs w:val="1"/>
                <w:color w:val="auto"/>
              </w:rPr>
              <w:t>(7), (8)</w:t>
            </w:r>
          </w:p>
        </w:tc>
        <w:tc>
          <w:tcPr>
            <w:tcW w:w="2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gridSpan w:val="2"/>
          </w:tcPr>
          <w:p>
            <w:pPr>
              <w:spacing w:after="0" w:line="138" w:lineRule="exact"/>
              <w:rPr>
                <w:sz w:val="20"/>
                <w:szCs w:val="20"/>
                <w:color w:val="auto"/>
              </w:rPr>
            </w:pPr>
            <w:r>
              <w:rPr>
                <w:rFonts w:ascii="Arial" w:cs="Arial" w:eastAsia="Arial" w:hAnsi="Arial"/>
                <w:sz w:val="14"/>
                <w:szCs w:val="14"/>
                <w:color w:val="auto"/>
              </w:rPr>
              <w:t>Titan Private Holdings I, LLC (Tekelec Global,</w:t>
            </w:r>
          </w:p>
        </w:tc>
        <w:tc>
          <w:tcPr>
            <w:tcW w:w="80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2840" w:type="dxa"/>
            <w:vAlign w:val="bottom"/>
            <w:gridSpan w:val="2"/>
          </w:tcPr>
          <w:p>
            <w:pPr>
              <w:jc w:val="center"/>
              <w:ind w:right="160"/>
              <w:spacing w:after="0" w:line="138" w:lineRule="exact"/>
              <w:rPr>
                <w:sz w:val="20"/>
                <w:szCs w:val="20"/>
                <w:color w:val="auto"/>
              </w:rPr>
            </w:pPr>
            <w:r>
              <w:rPr>
                <w:rFonts w:ascii="Arial" w:cs="Arial" w:eastAsia="Arial" w:hAnsi="Arial"/>
                <w:sz w:val="14"/>
                <w:szCs w:val="14"/>
                <w:color w:val="auto"/>
                <w:w w:val="87"/>
              </w:rPr>
              <w:t>Telecommunications</w:t>
            </w:r>
          </w:p>
        </w:tc>
        <w:tc>
          <w:tcPr>
            <w:tcW w:w="980" w:type="dxa"/>
            <w:vAlign w:val="bottom"/>
            <w:gridSpan w:val="2"/>
          </w:tcPr>
          <w:p>
            <w:pPr>
              <w:jc w:val="right"/>
              <w:ind w:right="460"/>
              <w:spacing w:after="0" w:line="138"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401,797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401,450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1,091,018</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Inc.)</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7"/>
              </w:rPr>
              <w:t>TrustHouse Services Holdings, LLC (TrustHouse</w:t>
            </w:r>
          </w:p>
        </w:tc>
        <w:tc>
          <w:tcPr>
            <w:tcW w:w="80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w:t>
            </w:r>
          </w:p>
        </w:tc>
        <w:tc>
          <w:tcPr>
            <w:tcW w:w="284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4"/>
                <w:szCs w:val="14"/>
                <w:color w:val="auto"/>
                <w:w w:val="85"/>
              </w:rPr>
              <w:t>Beverage, Food and Tobacco</w:t>
            </w:r>
          </w:p>
        </w:tc>
        <w:tc>
          <w:tcPr>
            <w:tcW w:w="980" w:type="dxa"/>
            <w:vAlign w:val="bottom"/>
            <w:gridSpan w:val="2"/>
            <w:shd w:val="clear" w:color="auto" w:fill="CCEEFF"/>
          </w:tcPr>
          <w:p>
            <w:pPr>
              <w:jc w:val="right"/>
              <w:ind w:right="460"/>
              <w:spacing w:after="0" w:line="138"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10,845</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Services Group, Inc.)</w:t>
            </w: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406,450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1,101,863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in Non-Controlled, Non-Affiliated Portfolio Companies</w:t>
            </w: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171,578,009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171,834,400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Equivalents—4.0%</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3,845,803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3,845,803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Total Investments and Cash Equivalents—</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183.5%</w:t>
            </w:r>
          </w:p>
        </w:tc>
        <w:tc>
          <w:tcPr>
            <w:tcW w:w="2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4"/>
              </w:rPr>
              <w:t>175,423,812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4"/>
              </w:rPr>
              <w:t>175,680,203</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Liabilities in Excess of Other Assets—(83.5)%</w:t>
            </w: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8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8"/>
              </w:rPr>
              <w:t>(79,936,326)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95,743,877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51765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1" w:lineRule="exact"/>
        <w:rPr>
          <w:sz w:val="20"/>
          <w:szCs w:val="20"/>
          <w:color w:val="auto"/>
        </w:rPr>
      </w:pPr>
    </w:p>
    <w:p>
      <w:pPr>
        <w:ind w:left="220" w:right="200" w:hanging="212"/>
        <w:spacing w:after="0" w:line="230" w:lineRule="auto"/>
        <w:tabs>
          <w:tab w:leader="none" w:pos="2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ind w:left="220" w:hanging="212"/>
        <w:spacing w:after="0" w:line="221" w:lineRule="auto"/>
        <w:tabs>
          <w:tab w:leader="none" w:pos="2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220" w:right="220" w:hanging="212"/>
        <w:spacing w:after="0" w:line="258" w:lineRule="auto"/>
        <w:tabs>
          <w:tab w:leader="none" w:pos="2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220" w:right="260" w:hanging="212"/>
        <w:spacing w:after="0" w:line="258" w:lineRule="auto"/>
        <w:tabs>
          <w:tab w:leader="none" w:pos="2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220" w:right="180" w:hanging="212"/>
        <w:spacing w:after="0" w:line="221" w:lineRule="auto"/>
        <w:tabs>
          <w:tab w:leader="none" w:pos="2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220" w:hanging="212"/>
        <w:spacing w:after="0" w:line="221" w:lineRule="auto"/>
        <w:tabs>
          <w:tab w:leader="none" w:pos="2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220" w:hanging="212"/>
        <w:spacing w:after="0" w:line="221" w:lineRule="auto"/>
        <w:tabs>
          <w:tab w:leader="none" w:pos="2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220" w:hanging="212"/>
        <w:spacing w:after="0" w:line="221" w:lineRule="auto"/>
        <w:tabs>
          <w:tab w:leader="none" w:pos="2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220" w:hanging="212"/>
        <w:spacing w:after="0"/>
        <w:tabs>
          <w:tab w:leader="none" w:pos="2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F-34</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2" w:lineRule="auto"/>
        <w:rPr>
          <w:sz w:val="20"/>
          <w:szCs w:val="20"/>
          <w:color w:val="auto"/>
        </w:rPr>
      </w:pPr>
      <w:r>
        <w:rPr>
          <w:rFonts w:ascii="Arial" w:cs="Arial" w:eastAsia="Arial" w:hAnsi="Arial"/>
          <w:sz w:val="14"/>
          <w:szCs w:val="14"/>
          <w:b w:val="1"/>
          <w:bCs w:val="1"/>
          <w:color w:val="auto"/>
        </w:rPr>
        <w:t>JUNE 30, 2013</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71" w:lineRule="exact"/>
        <w:rPr>
          <w:sz w:val="20"/>
          <w:szCs w:val="20"/>
          <w:color w:val="auto"/>
        </w:rPr>
      </w:pPr>
    </w:p>
    <w:p>
      <w:pPr>
        <w:ind w:right="120" w:firstLine="799"/>
        <w:spacing w:after="0" w:line="239"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39" w:lineRule="exact"/>
        <w:rPr>
          <w:sz w:val="20"/>
          <w:szCs w:val="20"/>
          <w:color w:val="auto"/>
        </w:rPr>
      </w:pPr>
    </w:p>
    <w:p>
      <w:pPr>
        <w:ind w:firstLine="799"/>
        <w:spacing w:after="0" w:line="270" w:lineRule="auto"/>
        <w:rPr>
          <w:sz w:val="20"/>
          <w:szCs w:val="20"/>
          <w:color w:val="auto"/>
        </w:rPr>
      </w:pPr>
      <w:r>
        <w:rPr>
          <w:rFonts w:ascii="Arial" w:cs="Arial" w:eastAsia="Arial" w:hAnsi="Arial"/>
          <w:sz w:val="12"/>
          <w:szCs w:val="12"/>
          <w:color w:val="auto"/>
        </w:rPr>
        <w:t>Our investment objectives are to generate current income and capital appreciation. We seek to achieve our investment objective by investing primarily in Floating Rate Loans and other investments made to U.S. middle-market private companies whose debt is rated below investment grade. Floating Rate Loans or variable-rate investments pay interest at variable 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122" w:lineRule="exact"/>
        <w:rPr>
          <w:sz w:val="20"/>
          <w:szCs w:val="20"/>
          <w:color w:val="auto"/>
        </w:rPr>
      </w:pPr>
    </w:p>
    <w:p>
      <w:pPr>
        <w:ind w:right="160" w:firstLine="799"/>
        <w:spacing w:after="0" w:line="233" w:lineRule="auto"/>
        <w:rPr>
          <w:sz w:val="20"/>
          <w:szCs w:val="20"/>
          <w:color w:val="auto"/>
        </w:rPr>
      </w:pPr>
      <w:r>
        <w:rPr>
          <w:rFonts w:ascii="Arial" w:cs="Arial" w:eastAsia="Arial" w:hAnsi="Arial"/>
          <w:sz w:val="14"/>
          <w:szCs w:val="14"/>
          <w:color w:val="auto"/>
        </w:rPr>
        <w:t>In April 2011, we closed our initial public offering and our common stock trades on the NASDAQ Global Select Market under the symbol “PFLT.” In connection with our initial public offering, we issued 6,850,000 shares of common stock, for gross proceeds of $102.8 million, or $97.7 million after deducting the sales load and underwriting expenses. The underwriters agreed to reimburse, and have paid us, $0.4 million of the estimated $1.0 million of offering expenses. See Note 3.</w:t>
      </w:r>
    </w:p>
    <w:p>
      <w:pPr>
        <w:spacing w:after="0" w:line="139" w:lineRule="exact"/>
        <w:rPr>
          <w:sz w:val="20"/>
          <w:szCs w:val="20"/>
          <w:color w:val="auto"/>
        </w:rPr>
      </w:pPr>
    </w:p>
    <w:p>
      <w:pPr>
        <w:ind w:left="800"/>
        <w:spacing w:after="0"/>
        <w:rPr>
          <w:sz w:val="20"/>
          <w:szCs w:val="20"/>
          <w:color w:val="auto"/>
        </w:rPr>
      </w:pPr>
      <w:r>
        <w:rPr>
          <w:rFonts w:ascii="Arial" w:cs="Arial" w:eastAsia="Arial" w:hAnsi="Arial"/>
          <w:sz w:val="12"/>
          <w:szCs w:val="12"/>
          <w:color w:val="auto"/>
        </w:rPr>
        <w:t>In March 2013, we completed a follow-on public offering, including the underwriters’ exercise of the overallotment option, of 3,450,000 shares of common stock at a public offering price of</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$14.00 per share for gross proceeds of $48.3 million and net proceeds of $47.9 million after offering expenses. Our Investment Adviser paid the entire sales load of $1.4 million in connection with this offering.</w:t>
      </w:r>
    </w:p>
    <w:p>
      <w:pPr>
        <w:spacing w:after="0" w:line="161" w:lineRule="exact"/>
        <w:rPr>
          <w:sz w:val="20"/>
          <w:szCs w:val="20"/>
          <w:color w:val="auto"/>
        </w:rPr>
      </w:pPr>
    </w:p>
    <w:p>
      <w:pPr>
        <w:ind w:right="160" w:firstLine="799"/>
        <w:spacing w:after="0" w:line="318" w:lineRule="auto"/>
        <w:rPr>
          <w:sz w:val="20"/>
          <w:szCs w:val="20"/>
          <w:color w:val="auto"/>
        </w:rPr>
      </w:pPr>
      <w:r>
        <w:rPr>
          <w:rFonts w:ascii="Arial" w:cs="Arial" w:eastAsia="Arial" w:hAnsi="Arial"/>
          <w:sz w:val="12"/>
          <w:szCs w:val="12"/>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94" w:lineRule="exact"/>
        <w:rPr>
          <w:sz w:val="20"/>
          <w:szCs w:val="20"/>
          <w:color w:val="auto"/>
        </w:rPr>
      </w:pPr>
    </w:p>
    <w:p>
      <w:pPr>
        <w:ind w:right="120" w:firstLine="799"/>
        <w:spacing w:after="0" w:line="278" w:lineRule="auto"/>
        <w:rPr>
          <w:sz w:val="20"/>
          <w:szCs w:val="20"/>
          <w:color w:val="auto"/>
        </w:rPr>
      </w:pPr>
      <w:r>
        <w:rPr>
          <w:rFonts w:ascii="Arial" w:cs="Arial" w:eastAsia="Arial" w:hAnsi="Arial"/>
          <w:sz w:val="12"/>
          <w:szCs w:val="12"/>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all management fee owed with respect to such services are to be paid to us so long as the Investment Adviser remains the collateral manager. This arrangement does not increase our consolidated management fee. The five-year Credit Facility allows Funding I to borrow up to $125.0 million at LIBOR plus 200 basis points during the revolving period. The Credit Facility is secured by all of the assets held by Funding I. See Note 9.</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71" w:lineRule="exact"/>
        <w:rPr>
          <w:sz w:val="20"/>
          <w:szCs w:val="20"/>
          <w:color w:val="auto"/>
        </w:rPr>
      </w:pPr>
    </w:p>
    <w:p>
      <w:pPr>
        <w:ind w:right="40" w:firstLine="799"/>
        <w:spacing w:after="0" w:line="273" w:lineRule="auto"/>
        <w:rPr>
          <w:sz w:val="20"/>
          <w:szCs w:val="20"/>
          <w:color w:val="auto"/>
        </w:rPr>
      </w:pPr>
      <w:r>
        <w:rPr>
          <w:rFonts w:ascii="Arial" w:cs="Arial" w:eastAsia="Arial" w:hAnsi="Arial"/>
          <w:sz w:val="12"/>
          <w:szCs w:val="12"/>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We reclassified certain prior period amounts to conform to the current period presentation. We have 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w:t>
      </w:r>
    </w:p>
    <w:p>
      <w:pPr>
        <w:spacing w:after="0" w:line="120" w:lineRule="exact"/>
        <w:rPr>
          <w:sz w:val="20"/>
          <w:szCs w:val="20"/>
          <w:color w:val="auto"/>
        </w:rPr>
      </w:pPr>
    </w:p>
    <w:p>
      <w:pPr>
        <w:ind w:right="220" w:firstLine="799"/>
        <w:spacing w:after="0" w:line="318" w:lineRule="auto"/>
        <w:rPr>
          <w:sz w:val="20"/>
          <w:szCs w:val="20"/>
          <w:color w:val="auto"/>
        </w:rPr>
      </w:pPr>
      <w:r>
        <w:rPr>
          <w:rFonts w:ascii="Arial" w:cs="Arial" w:eastAsia="Arial" w:hAnsi="Arial"/>
          <w:sz w:val="12"/>
          <w:szCs w:val="12"/>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F-35</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JUNE 30, 2013</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23" w:lineRule="exact"/>
        <w:rPr>
          <w:sz w:val="20"/>
          <w:szCs w:val="20"/>
          <w:color w:val="auto"/>
        </w:rPr>
      </w:pPr>
    </w:p>
    <w:p>
      <w:pPr>
        <w:ind w:right="60" w:firstLine="799"/>
        <w:spacing w:after="0" w:line="228" w:lineRule="auto"/>
        <w:rPr>
          <w:sz w:val="20"/>
          <w:szCs w:val="20"/>
          <w:color w:val="auto"/>
        </w:rPr>
      </w:pPr>
      <w:r>
        <w:rPr>
          <w:rFonts w:ascii="Arial" w:cs="Arial" w:eastAsia="Arial" w:hAnsi="Arial"/>
          <w:sz w:val="14"/>
          <w:szCs w:val="14"/>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13" w:lineRule="exact"/>
        <w:rPr>
          <w:sz w:val="20"/>
          <w:szCs w:val="20"/>
          <w:color w:val="auto"/>
        </w:rPr>
      </w:pPr>
    </w:p>
    <w:p>
      <w:pPr>
        <w:ind w:firstLine="799"/>
        <w:spacing w:after="0" w:line="268" w:lineRule="auto"/>
        <w:rPr>
          <w:sz w:val="20"/>
          <w:szCs w:val="20"/>
          <w:color w:val="auto"/>
        </w:rPr>
      </w:pPr>
      <w:r>
        <w:rPr>
          <w:rFonts w:ascii="Arial" w:cs="Arial" w:eastAsia="Arial" w:hAnsi="Arial"/>
          <w:sz w:val="12"/>
          <w:szCs w:val="12"/>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96" w:lineRule="exact"/>
        <w:rPr>
          <w:sz w:val="20"/>
          <w:szCs w:val="20"/>
          <w:color w:val="auto"/>
        </w:rPr>
      </w:pPr>
    </w:p>
    <w:p>
      <w:pPr>
        <w:ind w:right="80" w:firstLine="342"/>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25" w:lineRule="exact"/>
        <w:rPr>
          <w:sz w:val="20"/>
          <w:szCs w:val="20"/>
          <w:color w:val="auto"/>
        </w:rPr>
      </w:pPr>
    </w:p>
    <w:p>
      <w:pPr>
        <w:ind w:left="680" w:right="340" w:hanging="334"/>
        <w:spacing w:after="0" w:line="239" w:lineRule="auto"/>
        <w:tabs>
          <w:tab w:leader="none" w:pos="6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25" w:lineRule="exact"/>
        <w:rPr>
          <w:rFonts w:ascii="Arial" w:cs="Arial" w:eastAsia="Arial" w:hAnsi="Arial"/>
          <w:sz w:val="14"/>
          <w:szCs w:val="14"/>
          <w:color w:val="auto"/>
        </w:rPr>
      </w:pPr>
    </w:p>
    <w:p>
      <w:pPr>
        <w:ind w:left="680" w:hanging="334"/>
        <w:spacing w:after="0"/>
        <w:tabs>
          <w:tab w:leader="none" w:pos="6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680" w:right="120" w:hanging="334"/>
        <w:spacing w:after="0" w:line="233" w:lineRule="auto"/>
        <w:tabs>
          <w:tab w:leader="none" w:pos="6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25" w:lineRule="exact"/>
        <w:rPr>
          <w:rFonts w:ascii="Arial" w:cs="Arial" w:eastAsia="Arial" w:hAnsi="Arial"/>
          <w:sz w:val="14"/>
          <w:szCs w:val="14"/>
          <w:color w:val="auto"/>
        </w:rPr>
      </w:pPr>
    </w:p>
    <w:p>
      <w:pPr>
        <w:ind w:left="680" w:right="20" w:hanging="334"/>
        <w:spacing w:after="0" w:line="239" w:lineRule="auto"/>
        <w:tabs>
          <w:tab w:leader="none" w:pos="6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125" w:lineRule="exact"/>
        <w:rPr>
          <w:rFonts w:ascii="Arial" w:cs="Arial" w:eastAsia="Arial" w:hAnsi="Arial"/>
          <w:sz w:val="14"/>
          <w:szCs w:val="14"/>
          <w:color w:val="auto"/>
        </w:rPr>
      </w:pPr>
    </w:p>
    <w:p>
      <w:pPr>
        <w:ind w:left="680" w:right="560" w:hanging="334"/>
        <w:spacing w:after="0" w:line="239" w:lineRule="auto"/>
        <w:tabs>
          <w:tab w:leader="none" w:pos="6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11" w:lineRule="exact"/>
        <w:rPr>
          <w:rFonts w:ascii="Arial" w:cs="Arial" w:eastAsia="Arial" w:hAnsi="Arial"/>
          <w:sz w:val="14"/>
          <w:szCs w:val="14"/>
          <w:color w:val="auto"/>
        </w:rPr>
      </w:pPr>
    </w:p>
    <w:p>
      <w:pPr>
        <w:ind w:left="540" w:hanging="190"/>
        <w:spacing w:after="0"/>
        <w:tabs>
          <w:tab w:leader="none" w:pos="540" w:val="left"/>
        </w:tabs>
        <w:numPr>
          <w:ilvl w:val="1"/>
          <w:numId w:val="7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 / Unrealized Gains or Losses</w:t>
      </w:r>
    </w:p>
    <w:p>
      <w:pPr>
        <w:spacing w:after="0" w:line="123" w:lineRule="exact"/>
        <w:rPr>
          <w:sz w:val="20"/>
          <w:szCs w:val="20"/>
          <w:color w:val="auto"/>
        </w:rPr>
      </w:pPr>
    </w:p>
    <w:p>
      <w:pPr>
        <w:ind w:right="40" w:firstLine="799"/>
        <w:spacing w:after="0" w:line="230"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12" w:lineRule="exact"/>
        <w:rPr>
          <w:sz w:val="20"/>
          <w:szCs w:val="20"/>
          <w:color w:val="auto"/>
        </w:rPr>
      </w:pPr>
    </w:p>
    <w:p>
      <w:pPr>
        <w:ind w:right="420" w:firstLine="799"/>
        <w:spacing w:after="0" w:line="318"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payment-in-kind, or PIK, interest, which represents interest accrued and added to the loan balance that generally becomes due at maturity, we will generally not accrue PIK interest when the portfolio company valuation indicates that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F-36</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2" w:lineRule="auto"/>
        <w:rPr>
          <w:sz w:val="20"/>
          <w:szCs w:val="20"/>
          <w:color w:val="auto"/>
        </w:rPr>
      </w:pPr>
      <w:r>
        <w:rPr>
          <w:rFonts w:ascii="Arial" w:cs="Arial" w:eastAsia="Arial" w:hAnsi="Arial"/>
          <w:sz w:val="14"/>
          <w:szCs w:val="14"/>
          <w:b w:val="1"/>
          <w:bCs w:val="1"/>
          <w:color w:val="auto"/>
        </w:rPr>
        <w:t>JUNE 30, 2013</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jc w:val="both"/>
        <w:ind w:right="260"/>
        <w:spacing w:after="0" w:line="288" w:lineRule="auto"/>
        <w:rPr>
          <w:sz w:val="20"/>
          <w:szCs w:val="20"/>
          <w:color w:val="auto"/>
        </w:rPr>
      </w:pPr>
      <w:r>
        <w:rPr>
          <w:rFonts w:ascii="Arial" w:cs="Arial" w:eastAsia="Arial" w:hAnsi="Arial"/>
          <w:sz w:val="12"/>
          <w:szCs w:val="12"/>
          <w:color w:val="auto"/>
        </w:rPr>
        <w:t>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11" w:lineRule="exact"/>
        <w:rPr>
          <w:sz w:val="20"/>
          <w:szCs w:val="20"/>
          <w:color w:val="auto"/>
        </w:rPr>
      </w:pPr>
    </w:p>
    <w:p>
      <w:pPr>
        <w:jc w:val="both"/>
        <w:ind w:right="200" w:firstLine="799"/>
        <w:spacing w:after="0" w:line="288"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 Income Taxes</w:t>
      </w:r>
    </w:p>
    <w:p>
      <w:pPr>
        <w:spacing w:after="0" w:line="69" w:lineRule="exact"/>
        <w:rPr>
          <w:sz w:val="20"/>
          <w:szCs w:val="20"/>
          <w:color w:val="auto"/>
        </w:rPr>
      </w:pPr>
    </w:p>
    <w:p>
      <w:pPr>
        <w:ind w:right="20" w:firstLine="799"/>
        <w:spacing w:after="0" w:line="273" w:lineRule="auto"/>
        <w:rPr>
          <w:sz w:val="20"/>
          <w:szCs w:val="20"/>
          <w:color w:val="auto"/>
        </w:rPr>
      </w:pPr>
      <w:r>
        <w:rPr>
          <w:rFonts w:ascii="Arial" w:cs="Arial" w:eastAsia="Arial" w:hAnsi="Arial"/>
          <w:sz w:val="12"/>
          <w:szCs w:val="12"/>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Floating Rate Capital Ltd.’s qualification and election to be subject to tax as a RIC, we do not anticipate paying any material level of federal income taxes in the future. Although we are not subject to tax as a RIC, we have elected to retain a portion of our calendar year income and accrue an excise tax of $0.1 million and less than $0.1 million for the nine months ended June 30, 2013 and 2012, respectively.</w:t>
      </w:r>
    </w:p>
    <w:p>
      <w:pPr>
        <w:spacing w:after="0" w:line="120" w:lineRule="exact"/>
        <w:rPr>
          <w:sz w:val="20"/>
          <w:szCs w:val="20"/>
          <w:color w:val="auto"/>
        </w:rPr>
      </w:pPr>
    </w:p>
    <w:p>
      <w:pPr>
        <w:ind w:right="40" w:firstLine="799"/>
        <w:spacing w:after="0" w:line="230" w:lineRule="auto"/>
        <w:rPr>
          <w:sz w:val="20"/>
          <w:szCs w:val="20"/>
          <w:color w:val="auto"/>
        </w:rPr>
      </w:pPr>
      <w:r>
        <w:rPr>
          <w:rFonts w:ascii="Arial" w:cs="Arial" w:eastAsia="Arial" w:hAnsi="Arial"/>
          <w:sz w:val="14"/>
          <w:szCs w:val="14"/>
          <w:color w:val="auto"/>
        </w:rPr>
        <w:t>PennantPark Floating Rate Capital Ltd.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2011 remain subject to examination by the Internal Revenue Service and the state department of revenue.</w:t>
      </w:r>
    </w:p>
    <w:p>
      <w:pPr>
        <w:spacing w:after="0" w:line="139" w:lineRule="exact"/>
        <w:rPr>
          <w:sz w:val="20"/>
          <w:szCs w:val="20"/>
          <w:color w:val="auto"/>
        </w:rPr>
      </w:pPr>
    </w:p>
    <w:p>
      <w:pPr>
        <w:ind w:right="60" w:firstLine="799"/>
        <w:spacing w:after="0" w:line="23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(d) Dividends, Distributions and Capital Transactions</w:t>
      </w:r>
    </w:p>
    <w:p>
      <w:pPr>
        <w:spacing w:after="0" w:line="69" w:lineRule="exact"/>
        <w:rPr>
          <w:sz w:val="20"/>
          <w:szCs w:val="20"/>
          <w:color w:val="auto"/>
        </w:rPr>
      </w:pPr>
    </w:p>
    <w:p>
      <w:pPr>
        <w:ind w:right="160" w:firstLine="799"/>
        <w:spacing w:after="0" w:line="233" w:lineRule="auto"/>
        <w:rPr>
          <w:sz w:val="20"/>
          <w:szCs w:val="20"/>
          <w:color w:val="auto"/>
        </w:rPr>
      </w:pPr>
      <w:r>
        <w:rPr>
          <w:rFonts w:ascii="Arial" w:cs="Arial" w:eastAsia="Arial" w:hAnsi="Arial"/>
          <w:sz w:val="14"/>
          <w:szCs w:val="14"/>
          <w:color w:val="auto"/>
        </w:rPr>
        <w:t>Dividends and distributions to common stockholders are recorded on the ex-dividend date. The amount, if any, to be paid as a dividend or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or return of capital.</w:t>
      </w:r>
    </w:p>
    <w:p>
      <w:pPr>
        <w:spacing w:after="0" w:line="139" w:lineRule="exact"/>
        <w:rPr>
          <w:sz w:val="20"/>
          <w:szCs w:val="20"/>
          <w:color w:val="auto"/>
        </w:rPr>
      </w:pPr>
    </w:p>
    <w:p>
      <w:pPr>
        <w:ind w:firstLine="799"/>
        <w:spacing w:after="0" w:line="239"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(e) Consolidation</w:t>
      </w:r>
    </w:p>
    <w:p>
      <w:pPr>
        <w:spacing w:after="0" w:line="69" w:lineRule="exact"/>
        <w:rPr>
          <w:sz w:val="20"/>
          <w:szCs w:val="20"/>
          <w:color w:val="auto"/>
        </w:rPr>
      </w:pPr>
    </w:p>
    <w:p>
      <w:pPr>
        <w:jc w:val="both"/>
        <w:ind w:right="60" w:firstLine="799"/>
        <w:spacing w:after="0" w:line="233" w:lineRule="auto"/>
        <w:rPr>
          <w:sz w:val="20"/>
          <w:szCs w:val="20"/>
          <w:color w:val="auto"/>
        </w:rPr>
      </w:pPr>
      <w:r>
        <w:rPr>
          <w:rFonts w:ascii="Arial" w:cs="Arial" w:eastAsia="Arial" w:hAnsi="Arial"/>
          <w:sz w:val="14"/>
          <w:szCs w:val="14"/>
          <w:color w:val="auto"/>
        </w:rPr>
        <w:t>As permitted under Regulation S-X and as explained by ASC 946-810-45, Financial Services – Investment Companies – Consolidation,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F-37</w:t>
      </w:r>
    </w:p>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JUNE 30, 2013</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(f) Asset Transfers and Servicing</w:t>
      </w:r>
    </w:p>
    <w:p>
      <w:pPr>
        <w:spacing w:after="0" w:line="69" w:lineRule="exact"/>
        <w:rPr>
          <w:sz w:val="20"/>
          <w:szCs w:val="20"/>
          <w:color w:val="auto"/>
        </w:rPr>
      </w:pPr>
    </w:p>
    <w:p>
      <w:pPr>
        <w:ind w:left="800"/>
        <w:spacing w:after="0"/>
        <w:rPr>
          <w:sz w:val="20"/>
          <w:szCs w:val="20"/>
          <w:color w:val="auto"/>
        </w:rPr>
      </w:pPr>
      <w:r>
        <w:rPr>
          <w:rFonts w:ascii="Arial" w:cs="Arial" w:eastAsia="Arial" w:hAnsi="Arial"/>
          <w:sz w:val="12"/>
          <w:szCs w:val="12"/>
          <w:color w:val="auto"/>
        </w:rPr>
        <w:t>Asset transfers that do not meet ASC 860, Transfers and Servicing, requirements for sale accounting treatment are reflected in the Consolidated Statement of Assets and Liabilities as investments.</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The creditors of Funding I have received a security interest in all its assets and are not intended to be available to the creditors of PennantPark Floating Rate Capital Ltd. or any affiliate of the Company.</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71" w:lineRule="exact"/>
        <w:rPr>
          <w:sz w:val="20"/>
          <w:szCs w:val="20"/>
          <w:color w:val="auto"/>
        </w:rPr>
      </w:pPr>
    </w:p>
    <w:p>
      <w:pPr>
        <w:ind w:right="80" w:firstLine="799"/>
        <w:spacing w:after="0" w:line="273" w:lineRule="auto"/>
        <w:rPr>
          <w:sz w:val="20"/>
          <w:szCs w:val="20"/>
          <w:color w:val="auto"/>
        </w:rPr>
      </w:pPr>
      <w:r>
        <w:rPr>
          <w:rFonts w:ascii="Arial" w:cs="Arial" w:eastAsia="Arial" w:hAnsi="Arial"/>
          <w:sz w:val="12"/>
          <w:szCs w:val="12"/>
          <w:color w:val="auto"/>
        </w:rPr>
        <w:t>The Investment Management Agreement with the Investment Adviser was re-approved by our board of directors, including a majority of our independent directors, in February 2013.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owing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20" w:lineRule="exact"/>
        <w:rPr>
          <w:sz w:val="20"/>
          <w:szCs w:val="20"/>
          <w:color w:val="auto"/>
        </w:rPr>
      </w:pPr>
    </w:p>
    <w:p>
      <w:pPr>
        <w:ind w:right="100" w:firstLine="799"/>
        <w:spacing w:after="0" w:line="268" w:lineRule="auto"/>
        <w:rPr>
          <w:sz w:val="20"/>
          <w:szCs w:val="20"/>
          <w:color w:val="auto"/>
        </w:rPr>
      </w:pPr>
      <w:r>
        <w:rPr>
          <w:rFonts w:ascii="Arial" w:cs="Arial" w:eastAsia="Arial" w:hAnsi="Arial"/>
          <w:sz w:val="12"/>
          <w:szCs w:val="12"/>
          <w:color w:val="auto"/>
        </w:rPr>
        <w:t>The base management fee is calculated at an annual rate of 1.00% of our “average adjusted gross assets” (net of U.S. Treasury Bills, temporary draws under any credit facility, repurchase agreements or other balance sheet transactions undertaken at the end of a fiscal quarter for purposes of preserving investment flexibility for the next quarter, if any) and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 for any partial month or quarter are appropriately pro-rated. For the three and nine months ended June 30, 2013, the Investment Adviser earned a base management fee of $0.5 million and $1.5 million, respectively, from us. For the three and nine months ended June 30, 2012, the Investment Adviser earned a base management fee of $0.4 million and $1.1 million, respectively, from us.</w:t>
      </w:r>
    </w:p>
    <w:p>
      <w:pPr>
        <w:spacing w:after="0" w:line="123"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incentive fee has two parts, as follows:</w:t>
      </w:r>
    </w:p>
    <w:p>
      <w:pPr>
        <w:spacing w:after="0" w:line="150" w:lineRule="exact"/>
        <w:rPr>
          <w:sz w:val="20"/>
          <w:szCs w:val="20"/>
          <w:color w:val="auto"/>
        </w:rPr>
      </w:pPr>
    </w:p>
    <w:p>
      <w:pPr>
        <w:ind w:firstLine="799"/>
        <w:spacing w:after="0" w:line="263"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For the three and nine months ended June 30, 2013, the Investment Adviser earned an incentive fee on net investment income as calculated under the Investment Management Agreement of $0.4 million and $1.0 million, respectively. For the three and nine months ended June 30, 2012, the Investment Adviser earned an incentive fee on net investment income as calculated under the Investment Management Agreement, which resulted in an accrual of less than $0.1 million.</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F-38</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2" w:lineRule="auto"/>
        <w:rPr>
          <w:sz w:val="20"/>
          <w:szCs w:val="20"/>
          <w:color w:val="auto"/>
        </w:rPr>
      </w:pPr>
      <w:r>
        <w:rPr>
          <w:rFonts w:ascii="Arial" w:cs="Arial" w:eastAsia="Arial" w:hAnsi="Arial"/>
          <w:sz w:val="14"/>
          <w:szCs w:val="14"/>
          <w:b w:val="1"/>
          <w:bCs w:val="1"/>
          <w:color w:val="auto"/>
        </w:rPr>
        <w:t>JUNE 30, 2013</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60" w:firstLine="799"/>
        <w:spacing w:after="0" w:line="278"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from our inception. For the three and nine months ended June 30, 2013 and 2012, the Investment Adviser did not earn an incentive fee on capital gains as calculated under the Investment Management Agreement.</w:t>
      </w:r>
    </w:p>
    <w:p>
      <w:pPr>
        <w:spacing w:after="0" w:line="117" w:lineRule="exact"/>
        <w:rPr>
          <w:sz w:val="20"/>
          <w:szCs w:val="20"/>
          <w:color w:val="auto"/>
        </w:rPr>
      </w:pPr>
    </w:p>
    <w:p>
      <w:pPr>
        <w:ind w:right="120" w:firstLine="799"/>
        <w:spacing w:after="0" w:line="265" w:lineRule="auto"/>
        <w:rPr>
          <w:sz w:val="20"/>
          <w:szCs w:val="20"/>
          <w:color w:val="auto"/>
        </w:rPr>
      </w:pPr>
      <w:r>
        <w:rPr>
          <w:rFonts w:ascii="Arial" w:cs="Arial" w:eastAsia="Arial" w:hAnsi="Arial"/>
          <w:sz w:val="12"/>
          <w:szCs w:val="12"/>
          <w:color w:val="auto"/>
        </w:rPr>
        <w:t>Under GAAP, we are required to accrue a capital gains incentive fee based upon net realized capital gains (losses)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 paid in all prior years. If such amount is negative, then there is no accrual for such year. There can be no assurance that such unrealized capital appreciation will be realized in the future. For the three and nine months ended June 30, 2013, the Investment Adviser earned an incentive fee on unrealized and realized capital gains as calculated under GAAP of approximately $(0.3) million, representing an expense reversal, and zero, respectively. For the three and nine months ended June 30, 2012, the Investment Adviser earned an incentive fee on unrealized and realized capital gains as calculated under GAAP, which resulted in $(0.1) million and no accrual, respectively.</w:t>
      </w:r>
    </w:p>
    <w:p>
      <w:pPr>
        <w:spacing w:after="0" w:line="128" w:lineRule="exact"/>
        <w:rPr>
          <w:sz w:val="20"/>
          <w:szCs w:val="20"/>
          <w:color w:val="auto"/>
        </w:rPr>
      </w:pPr>
    </w:p>
    <w:p>
      <w:pPr>
        <w:ind w:firstLine="799"/>
        <w:spacing w:after="0" w:line="266" w:lineRule="auto"/>
        <w:rPr>
          <w:sz w:val="20"/>
          <w:szCs w:val="20"/>
          <w:color w:val="auto"/>
        </w:rPr>
      </w:pPr>
      <w:r>
        <w:rPr>
          <w:rFonts w:ascii="Arial" w:cs="Arial" w:eastAsia="Arial" w:hAnsi="Arial"/>
          <w:sz w:val="12"/>
          <w:szCs w:val="12"/>
          <w:color w:val="auto"/>
        </w:rPr>
        <w:t>The Administration Agreement with the Administrator was re-approved by our board of directors, including a majority of the independent directors, in February 2013. Under the Administration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technology systems, insurance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three and nine months ended June 30, 2013, the Investment Adviser and Administrator, collectively, were reimbursed approximately $0.1 million and $0.3 million, respectively, from us, including expenses the Investment Adviser incurred on behalf of the Administrator, for services described above. For the three and nine months ended June 30, 2012, the Investment Adviser was reimbursed approximately less than $0.1 million and $0.2 million, respectively, from us, including expenses the Investment Adviser incurred on behalf of the Administrator, for services described above.</w:t>
      </w:r>
    </w:p>
    <w:p>
      <w:pPr>
        <w:spacing w:after="0" w:line="127" w:lineRule="exact"/>
        <w:rPr>
          <w:sz w:val="20"/>
          <w:szCs w:val="20"/>
          <w:color w:val="auto"/>
        </w:rPr>
      </w:pPr>
    </w:p>
    <w:p>
      <w:pPr>
        <w:ind w:right="60" w:firstLine="799"/>
        <w:spacing w:after="0" w:line="273"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 (b) upon our liquidation. Based on actual returns, we met the conditions for repayment to the Investment Adviser at the end of the quarter ended December 31, 2012 and repaid approximately $2.1 million to the Investment Adviser, who then purchased shares of our common stock in the secondary market.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71" w:lineRule="exact"/>
        <w:rPr>
          <w:sz w:val="20"/>
          <w:szCs w:val="20"/>
          <w:color w:val="auto"/>
        </w:rPr>
      </w:pPr>
    </w:p>
    <w:p>
      <w:pPr>
        <w:ind w:firstLine="799"/>
        <w:spacing w:after="0" w:line="288" w:lineRule="auto"/>
        <w:rPr>
          <w:sz w:val="20"/>
          <w:szCs w:val="20"/>
          <w:color w:val="auto"/>
        </w:rPr>
      </w:pPr>
      <w:r>
        <w:rPr>
          <w:rFonts w:ascii="Arial" w:cs="Arial" w:eastAsia="Arial" w:hAnsi="Arial"/>
          <w:sz w:val="12"/>
          <w:szCs w:val="12"/>
          <w:color w:val="auto"/>
        </w:rPr>
        <w:t>Purchases of investments, including PIK, for the three and nine months ended June 30, 2013 totaled $114.4 million and $198.5 million, respectively. For the same periods in the prior year, purchases of investments, including PIK, totaled $27.7 million and $100.0 million, respectively. Sales and repayments of investments for the three and nine months ended June 30, 2013 totaled $46.4 million and $120.7 million, respectively. For the same periods in the prior year, sales and repayments of investments totaled $15.4 million and $57.0 million, respectively.</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F-39</w:t>
      </w:r>
    </w:p>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99"/>
        <w:spacing w:after="0" w:line="222" w:lineRule="auto"/>
        <w:rPr>
          <w:sz w:val="20"/>
          <w:szCs w:val="20"/>
          <w:color w:val="auto"/>
        </w:rPr>
      </w:pPr>
      <w:r>
        <w:rPr>
          <w:rFonts w:ascii="Arial" w:cs="Arial" w:eastAsia="Arial" w:hAnsi="Arial"/>
          <w:sz w:val="14"/>
          <w:szCs w:val="14"/>
          <w:b w:val="1"/>
          <w:bCs w:val="1"/>
          <w:color w:val="auto"/>
        </w:rPr>
        <w:t>JUNE 30, 2013</w:t>
      </w:r>
    </w:p>
    <w:p>
      <w:pPr>
        <w:jc w:val="center"/>
        <w:ind w:right="-9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spacing w:after="0"/>
              <w:rPr>
                <w:sz w:val="14"/>
                <w:szCs w:val="14"/>
                <w:color w:val="auto"/>
              </w:rPr>
            </w:pPr>
          </w:p>
        </w:tc>
        <w:tc>
          <w:tcPr>
            <w:tcW w:w="4920" w:type="dxa"/>
            <w:vAlign w:val="bottom"/>
            <w:gridSpan w:val="2"/>
          </w:tcPr>
          <w:p>
            <w:pPr>
              <w:ind w:left="340"/>
              <w:spacing w:after="0"/>
              <w:rPr>
                <w:sz w:val="20"/>
                <w:szCs w:val="20"/>
                <w:color w:val="auto"/>
              </w:rPr>
            </w:pPr>
            <w:r>
              <w:rPr>
                <w:rFonts w:ascii="Arial" w:cs="Arial" w:eastAsia="Arial" w:hAnsi="Arial"/>
                <w:sz w:val="14"/>
                <w:szCs w:val="14"/>
                <w:color w:val="auto"/>
              </w:rPr>
              <w:t>Investments and cash equivalents consisted of the following:</w:t>
            </w: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460" w:type="dxa"/>
            <w:vAlign w:val="bottom"/>
            <w:vMerge w:val="restart"/>
          </w:tcPr>
          <w:p>
            <w:pPr>
              <w:spacing w:after="0"/>
              <w:rPr>
                <w:sz w:val="24"/>
                <w:szCs w:val="24"/>
                <w:color w:val="auto"/>
              </w:rPr>
            </w:pPr>
          </w:p>
        </w:tc>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1"/>
              </w:rPr>
              <w:t>Investment Classification</w:t>
            </w:r>
          </w:p>
        </w:tc>
        <w:tc>
          <w:tcPr>
            <w:tcW w:w="3360" w:type="dxa"/>
            <w:vAlign w:val="bottom"/>
            <w:vMerge w:val="restart"/>
          </w:tcPr>
          <w:p>
            <w:pPr>
              <w:spacing w:after="0"/>
              <w:rPr>
                <w:sz w:val="24"/>
                <w:szCs w:val="24"/>
                <w:color w:val="auto"/>
              </w:rPr>
            </w:pPr>
          </w:p>
        </w:tc>
        <w:tc>
          <w:tcPr>
            <w:tcW w:w="1280" w:type="dxa"/>
            <w:vAlign w:val="bottom"/>
          </w:tcPr>
          <w:p>
            <w:pPr>
              <w:spacing w:after="0"/>
              <w:rPr>
                <w:sz w:val="24"/>
                <w:szCs w:val="24"/>
                <w:color w:val="auto"/>
              </w:rPr>
            </w:pPr>
          </w:p>
        </w:tc>
        <w:tc>
          <w:tcPr>
            <w:tcW w:w="2280" w:type="dxa"/>
            <w:vAlign w:val="bottom"/>
            <w:gridSpan w:val="4"/>
          </w:tcPr>
          <w:p>
            <w:pPr>
              <w:ind w:left="560"/>
              <w:spacing w:after="0"/>
              <w:rPr>
                <w:sz w:val="20"/>
                <w:szCs w:val="20"/>
                <w:color w:val="auto"/>
              </w:rPr>
            </w:pPr>
            <w:r>
              <w:rPr>
                <w:rFonts w:ascii="Arial" w:cs="Arial" w:eastAsia="Arial" w:hAnsi="Arial"/>
                <w:sz w:val="14"/>
                <w:szCs w:val="14"/>
                <w:b w:val="1"/>
                <w:bCs w:val="1"/>
                <w:color w:val="auto"/>
              </w:rPr>
              <w:t>June 30, 2013</w:t>
            </w:r>
          </w:p>
        </w:tc>
        <w:tc>
          <w:tcPr>
            <w:tcW w:w="2300" w:type="dxa"/>
            <w:vAlign w:val="bottom"/>
            <w:gridSpan w:val="6"/>
          </w:tcPr>
          <w:p>
            <w:pPr>
              <w:ind w:left="420"/>
              <w:spacing w:after="0"/>
              <w:rPr>
                <w:sz w:val="20"/>
                <w:szCs w:val="20"/>
                <w:color w:val="auto"/>
              </w:rPr>
            </w:pPr>
            <w:r>
              <w:rPr>
                <w:rFonts w:ascii="Arial" w:cs="Arial" w:eastAsia="Arial" w:hAnsi="Arial"/>
                <w:sz w:val="14"/>
                <w:szCs w:val="14"/>
                <w:b w:val="1"/>
                <w:bCs w:val="1"/>
                <w:color w:val="auto"/>
              </w:rPr>
              <w:t>September 30, 2012</w:t>
            </w:r>
          </w:p>
        </w:tc>
        <w:tc>
          <w:tcPr>
            <w:tcW w:w="0" w:type="dxa"/>
            <w:vAlign w:val="bottom"/>
          </w:tcPr>
          <w:p>
            <w:pPr>
              <w:spacing w:after="0"/>
              <w:rPr>
                <w:sz w:val="1"/>
                <w:szCs w:val="1"/>
                <w:color w:val="auto"/>
              </w:rPr>
            </w:pPr>
          </w:p>
        </w:tc>
      </w:tr>
      <w:tr>
        <w:trPr>
          <w:trHeight w:val="149"/>
        </w:trPr>
        <w:tc>
          <w:tcPr>
            <w:tcW w:w="460" w:type="dxa"/>
            <w:vAlign w:val="bottom"/>
            <w:vMerge w:val="continue"/>
          </w:tcPr>
          <w:p>
            <w:pPr>
              <w:spacing w:after="0"/>
              <w:rPr>
                <w:sz w:val="12"/>
                <w:szCs w:val="12"/>
                <w:color w:val="auto"/>
              </w:rPr>
            </w:pPr>
          </w:p>
        </w:tc>
        <w:tc>
          <w:tcPr>
            <w:tcW w:w="1560" w:type="dxa"/>
            <w:vAlign w:val="bottom"/>
            <w:tcBorders>
              <w:bottom w:val="single" w:sz="8" w:color="auto"/>
            </w:tcBorders>
            <w:vMerge w:val="continue"/>
          </w:tcPr>
          <w:p>
            <w:pPr>
              <w:spacing w:after="0"/>
              <w:rPr>
                <w:sz w:val="12"/>
                <w:szCs w:val="12"/>
                <w:color w:val="auto"/>
              </w:rPr>
            </w:pPr>
          </w:p>
        </w:tc>
        <w:tc>
          <w:tcPr>
            <w:tcW w:w="336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760" w:type="dxa"/>
            <w:vAlign w:val="bottom"/>
            <w:tcBorders>
              <w:top w:val="single" w:sz="8" w:color="auto"/>
            </w:tcBorders>
          </w:tcPr>
          <w:p>
            <w:pPr>
              <w:jc w:val="right"/>
              <w:ind w:right="192"/>
              <w:spacing w:after="0" w:line="129" w:lineRule="exact"/>
              <w:rPr>
                <w:sz w:val="20"/>
                <w:szCs w:val="20"/>
                <w:color w:val="auto"/>
              </w:rPr>
            </w:pPr>
            <w:r>
              <w:rPr>
                <w:rFonts w:ascii="Arial" w:cs="Arial" w:eastAsia="Arial" w:hAnsi="Arial"/>
                <w:sz w:val="14"/>
                <w:szCs w:val="14"/>
                <w:b w:val="1"/>
                <w:bCs w:val="1"/>
                <w:color w:val="auto"/>
              </w:rPr>
              <w:t>Cost</w:t>
            </w: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w w:val="98"/>
              </w:rPr>
              <w:t>Fair Value</w:t>
            </w:r>
          </w:p>
        </w:tc>
        <w:tc>
          <w:tcPr>
            <w:tcW w:w="360" w:type="dxa"/>
            <w:vAlign w:val="bottom"/>
          </w:tcPr>
          <w:p>
            <w:pPr>
              <w:spacing w:after="0"/>
              <w:rPr>
                <w:sz w:val="12"/>
                <w:szCs w:val="12"/>
                <w:color w:val="auto"/>
              </w:rPr>
            </w:pPr>
          </w:p>
        </w:tc>
        <w:tc>
          <w:tcPr>
            <w:tcW w:w="960" w:type="dxa"/>
            <w:vAlign w:val="bottom"/>
            <w:tcBorders>
              <w:top w:val="single" w:sz="8" w:color="auto"/>
            </w:tcBorders>
            <w:gridSpan w:val="2"/>
          </w:tcPr>
          <w:p>
            <w:pPr>
              <w:ind w:left="260"/>
              <w:spacing w:after="0" w:line="129" w:lineRule="exact"/>
              <w:rPr>
                <w:sz w:val="20"/>
                <w:szCs w:val="20"/>
                <w:color w:val="auto"/>
              </w:rPr>
            </w:pPr>
            <w:r>
              <w:rPr>
                <w:rFonts w:ascii="Arial" w:cs="Arial" w:eastAsia="Arial" w:hAnsi="Arial"/>
                <w:sz w:val="14"/>
                <w:szCs w:val="14"/>
                <w:b w:val="1"/>
                <w:bCs w:val="1"/>
                <w:color w:val="auto"/>
              </w:rPr>
              <w:t>Cost</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rPr>
              <w:t>Fair Value</w:t>
            </w:r>
          </w:p>
        </w:tc>
        <w:tc>
          <w:tcPr>
            <w:tcW w:w="3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60" w:type="dxa"/>
            <w:vAlign w:val="bottom"/>
          </w:tcPr>
          <w:p>
            <w:pPr>
              <w:spacing w:after="0"/>
              <w:rPr>
                <w:sz w:val="11"/>
                <w:szCs w:val="11"/>
                <w:color w:val="auto"/>
              </w:rPr>
            </w:pPr>
          </w:p>
        </w:tc>
        <w:tc>
          <w:tcPr>
            <w:tcW w:w="492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First lien</w:t>
            </w:r>
          </w:p>
        </w:tc>
        <w:tc>
          <w:tcPr>
            <w:tcW w:w="12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2"/>
              </w:rPr>
              <w:t>$ 229,974,784</w:t>
            </w:r>
          </w:p>
        </w:tc>
        <w:tc>
          <w:tcPr>
            <w:tcW w:w="3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$ 228,527,557</w:t>
            </w:r>
          </w:p>
        </w:tc>
        <w:tc>
          <w:tcPr>
            <w:tcW w:w="3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$ 150,258,038</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$ 150,209,747</w:t>
            </w: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2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12,985,622</w:t>
            </w:r>
          </w:p>
        </w:tc>
        <w:tc>
          <w:tcPr>
            <w:tcW w:w="15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13,160,722</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11,608,643</w:t>
            </w: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12,025,500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2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10,364,390</w:t>
            </w:r>
          </w:p>
        </w:tc>
        <w:tc>
          <w:tcPr>
            <w:tcW w:w="15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8,648,145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9,194,181</w:t>
            </w:r>
          </w:p>
        </w:tc>
        <w:tc>
          <w:tcPr>
            <w:tcW w:w="1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8,296,719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Preferred and common equity</w:t>
            </w:r>
          </w:p>
        </w:tc>
        <w:tc>
          <w:tcPr>
            <w:tcW w:w="128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166,667</w:t>
            </w:r>
          </w:p>
        </w:tc>
        <w:tc>
          <w:tcPr>
            <w:tcW w:w="38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177,988</w:t>
            </w:r>
          </w:p>
        </w:tc>
        <w:tc>
          <w:tcPr>
            <w:tcW w:w="36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517,147</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1,302,434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12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253,491,463</w:t>
            </w:r>
          </w:p>
        </w:tc>
        <w:tc>
          <w:tcPr>
            <w:tcW w:w="38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250,514,412</w:t>
            </w:r>
          </w:p>
        </w:tc>
        <w:tc>
          <w:tcPr>
            <w:tcW w:w="3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171,578,009</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171,834,400</w:t>
            </w:r>
          </w:p>
        </w:tc>
        <w:tc>
          <w:tcPr>
            <w:tcW w:w="80" w:type="dxa"/>
            <w:vAlign w:val="bottom"/>
            <w:shd w:val="clear" w:color="auto" w:fill="CCEEFF"/>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380" w:type="dxa"/>
            <w:vAlign w:val="bottom"/>
            <w:gridSpan w:val="3"/>
          </w:tcPr>
          <w:p>
            <w:pPr>
              <w:ind w:left="460"/>
              <w:spacing w:after="0" w:line="155" w:lineRule="exact"/>
              <w:rPr>
                <w:sz w:val="20"/>
                <w:szCs w:val="20"/>
                <w:color w:val="auto"/>
              </w:rPr>
            </w:pPr>
            <w:r>
              <w:rPr>
                <w:rFonts w:ascii="Arial" w:cs="Arial" w:eastAsia="Arial" w:hAnsi="Arial"/>
                <w:sz w:val="14"/>
                <w:szCs w:val="14"/>
                <w:color w:val="auto"/>
              </w:rPr>
              <w:t>Cash equivalents</w:t>
            </w:r>
          </w:p>
        </w:tc>
        <w:tc>
          <w:tcPr>
            <w:tcW w:w="128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6,936,175</w:t>
            </w:r>
          </w:p>
        </w:tc>
        <w:tc>
          <w:tcPr>
            <w:tcW w:w="38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6,936,175</w:t>
            </w:r>
          </w:p>
        </w:tc>
        <w:tc>
          <w:tcPr>
            <w:tcW w:w="36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3,845,803</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3,845,803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 and cash equivalents</w:t>
            </w:r>
          </w:p>
        </w:tc>
        <w:tc>
          <w:tcPr>
            <w:tcW w:w="2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$ 260,427,638</w:t>
            </w:r>
          </w:p>
        </w:tc>
        <w:tc>
          <w:tcPr>
            <w:tcW w:w="15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$ 257,450,587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$ 175,423,812</w:t>
            </w:r>
          </w:p>
        </w:tc>
        <w:tc>
          <w:tcPr>
            <w:tcW w:w="1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$ 175,680,203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00" w:type="dxa"/>
            <w:vAlign w:val="bottom"/>
            <w:gridSpan w:val="3"/>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460" w:type="dxa"/>
            <w:vAlign w:val="bottom"/>
          </w:tcPr>
          <w:p>
            <w:pPr>
              <w:spacing w:after="0"/>
              <w:rPr>
                <w:sz w:val="24"/>
                <w:szCs w:val="24"/>
                <w:color w:val="auto"/>
              </w:rPr>
            </w:pPr>
          </w:p>
        </w:tc>
        <w:tc>
          <w:tcPr>
            <w:tcW w:w="10780" w:type="dxa"/>
            <w:vAlign w:val="bottom"/>
            <w:gridSpan w:val="13"/>
          </w:tcPr>
          <w:p>
            <w:pPr>
              <w:ind w:left="340"/>
              <w:spacing w:after="0"/>
              <w:rPr>
                <w:sz w:val="20"/>
                <w:szCs w:val="20"/>
                <w:color w:val="auto"/>
              </w:rPr>
            </w:pPr>
            <w:r>
              <w:rPr>
                <w:rFonts w:ascii="Arial" w:cs="Arial" w:eastAsia="Arial" w:hAnsi="Arial"/>
                <w:sz w:val="14"/>
                <w:szCs w:val="14"/>
                <w:color w:val="auto"/>
                <w:w w:val="86"/>
              </w:rPr>
              <w:t>The table below describes investments by industry classification and enumerates the percentage, by fair value, of the total portfolio assets (excluding cash equivalents) in such industries were as</w:t>
            </w:r>
          </w:p>
        </w:tc>
        <w:tc>
          <w:tcPr>
            <w:tcW w:w="0" w:type="dxa"/>
            <w:vAlign w:val="bottom"/>
          </w:tcPr>
          <w:p>
            <w:pPr>
              <w:spacing w:after="0"/>
              <w:rPr>
                <w:sz w:val="1"/>
                <w:szCs w:val="1"/>
                <w:color w:val="auto"/>
              </w:rPr>
            </w:pPr>
          </w:p>
        </w:tc>
      </w:tr>
      <w:tr>
        <w:trPr>
          <w:trHeight w:val="172"/>
        </w:trPr>
        <w:tc>
          <w:tcPr>
            <w:tcW w:w="5380" w:type="dxa"/>
            <w:vAlign w:val="bottom"/>
            <w:gridSpan w:val="3"/>
          </w:tcPr>
          <w:p>
            <w:pPr>
              <w:spacing w:after="0"/>
              <w:rPr>
                <w:sz w:val="20"/>
                <w:szCs w:val="20"/>
                <w:color w:val="auto"/>
              </w:rPr>
            </w:pPr>
            <w:r>
              <w:rPr>
                <w:rFonts w:ascii="Arial" w:cs="Arial" w:eastAsia="Arial" w:hAnsi="Arial"/>
                <w:sz w:val="14"/>
                <w:szCs w:val="14"/>
                <w:color w:val="auto"/>
              </w:rPr>
              <w:t>follows:</w:t>
            </w: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0"/>
              </w:rPr>
              <w:t>Industry Classification</w:t>
            </w:r>
          </w:p>
        </w:tc>
        <w:tc>
          <w:tcPr>
            <w:tcW w:w="2740" w:type="dxa"/>
            <w:vAlign w:val="bottom"/>
            <w:vMerge w:val="restart"/>
          </w:tcPr>
          <w:p>
            <w:pPr>
              <w:spacing w:after="0"/>
              <w:rPr>
                <w:sz w:val="14"/>
                <w:szCs w:val="14"/>
                <w:color w:val="auto"/>
              </w:rPr>
            </w:pPr>
          </w:p>
        </w:tc>
        <w:tc>
          <w:tcPr>
            <w:tcW w:w="17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jc w:val="right"/>
              <w:ind w:right="1212"/>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1380" w:type="dxa"/>
            <w:vAlign w:val="bottom"/>
            <w:tcBorders>
              <w:bottom w:val="single" w:sz="8" w:color="auto"/>
            </w:tcBorders>
            <w:vMerge w:val="continue"/>
          </w:tcPr>
          <w:p>
            <w:pPr>
              <w:spacing w:after="0"/>
              <w:rPr>
                <w:sz w:val="12"/>
                <w:szCs w:val="12"/>
                <w:color w:val="auto"/>
              </w:rPr>
            </w:pPr>
          </w:p>
        </w:tc>
        <w:tc>
          <w:tcPr>
            <w:tcW w:w="274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June 30, 2013</w:t>
            </w:r>
          </w:p>
        </w:tc>
        <w:tc>
          <w:tcPr>
            <w:tcW w:w="20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September 30, 2012</w:t>
            </w:r>
          </w:p>
        </w:tc>
        <w:tc>
          <w:tcPr>
            <w:tcW w:w="0" w:type="dxa"/>
            <w:vAlign w:val="bottom"/>
          </w:tcPr>
          <w:p>
            <w:pPr>
              <w:spacing w:after="0"/>
              <w:rPr>
                <w:sz w:val="1"/>
                <w:szCs w:val="1"/>
                <w:color w:val="auto"/>
              </w:rPr>
            </w:pPr>
          </w:p>
        </w:tc>
      </w:tr>
      <w:tr>
        <w:trPr>
          <w:trHeight w:val="136"/>
        </w:trPr>
        <w:tc>
          <w:tcPr>
            <w:tcW w:w="412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Hotel, Gaming and Leisure</w:t>
            </w:r>
          </w:p>
        </w:tc>
        <w:tc>
          <w:tcPr>
            <w:tcW w:w="17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ind w:left="380"/>
              <w:spacing w:after="0" w:line="136" w:lineRule="exact"/>
              <w:rPr>
                <w:sz w:val="20"/>
                <w:szCs w:val="20"/>
                <w:color w:val="auto"/>
              </w:rPr>
            </w:pPr>
            <w:r>
              <w:rPr>
                <w:rFonts w:ascii="Arial" w:cs="Arial" w:eastAsia="Arial" w:hAnsi="Arial"/>
                <w:sz w:val="14"/>
                <w:szCs w:val="14"/>
                <w:color w:val="auto"/>
              </w:rPr>
              <w:t>12%</w:t>
            </w:r>
          </w:p>
        </w:tc>
        <w:tc>
          <w:tcPr>
            <w:tcW w:w="90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ind w:right="292"/>
              <w:spacing w:after="0" w:line="136"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Healthcare and Pharmaceuticals</w:t>
            </w:r>
          </w:p>
        </w:tc>
        <w:tc>
          <w:tcPr>
            <w:tcW w:w="2520" w:type="dxa"/>
            <w:vAlign w:val="bottom"/>
            <w:gridSpan w:val="2"/>
          </w:tcPr>
          <w:p>
            <w:pPr>
              <w:ind w:left="2120"/>
              <w:spacing w:after="0" w:line="149" w:lineRule="exact"/>
              <w:rPr>
                <w:sz w:val="20"/>
                <w:szCs w:val="20"/>
                <w:color w:val="auto"/>
              </w:rPr>
            </w:pPr>
            <w:r>
              <w:rPr>
                <w:rFonts w:ascii="Arial" w:cs="Arial" w:eastAsia="Arial" w:hAnsi="Arial"/>
                <w:sz w:val="14"/>
                <w:szCs w:val="14"/>
                <w:color w:val="auto"/>
              </w:rPr>
              <w:t>10</w:t>
            </w:r>
          </w:p>
        </w:tc>
        <w:tc>
          <w:tcPr>
            <w:tcW w:w="20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Media: Advertising, Printing and Publishing</w:t>
            </w:r>
          </w:p>
        </w:tc>
        <w:tc>
          <w:tcPr>
            <w:tcW w:w="252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9</w:t>
            </w:r>
          </w:p>
        </w:tc>
        <w:tc>
          <w:tcPr>
            <w:tcW w:w="204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Consumer Services</w:t>
            </w:r>
          </w:p>
        </w:tc>
        <w:tc>
          <w:tcPr>
            <w:tcW w:w="25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8</w:t>
            </w:r>
          </w:p>
        </w:tc>
        <w:tc>
          <w:tcPr>
            <w:tcW w:w="20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252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7</w:t>
            </w:r>
          </w:p>
        </w:tc>
        <w:tc>
          <w:tcPr>
            <w:tcW w:w="204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Consumer Goods: Non-Durable</w:t>
            </w:r>
          </w:p>
        </w:tc>
        <w:tc>
          <w:tcPr>
            <w:tcW w:w="25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7</w:t>
            </w:r>
          </w:p>
        </w:tc>
        <w:tc>
          <w:tcPr>
            <w:tcW w:w="20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High Tech Industries</w:t>
            </w:r>
          </w:p>
        </w:tc>
        <w:tc>
          <w:tcPr>
            <w:tcW w:w="252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7</w:t>
            </w:r>
          </w:p>
        </w:tc>
        <w:tc>
          <w:tcPr>
            <w:tcW w:w="204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Retail</w:t>
            </w:r>
          </w:p>
        </w:tc>
        <w:tc>
          <w:tcPr>
            <w:tcW w:w="25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6</w:t>
            </w:r>
          </w:p>
        </w:tc>
        <w:tc>
          <w:tcPr>
            <w:tcW w:w="20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Energy: Oil and Gas</w:t>
            </w:r>
          </w:p>
        </w:tc>
        <w:tc>
          <w:tcPr>
            <w:tcW w:w="252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w:t>
            </w:r>
          </w:p>
        </w:tc>
        <w:tc>
          <w:tcPr>
            <w:tcW w:w="204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Beverage, Food and Tobacco</w:t>
            </w:r>
          </w:p>
        </w:tc>
        <w:tc>
          <w:tcPr>
            <w:tcW w:w="25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4</w:t>
            </w:r>
          </w:p>
        </w:tc>
        <w:tc>
          <w:tcPr>
            <w:tcW w:w="20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Transportation: Consumer</w:t>
            </w:r>
          </w:p>
        </w:tc>
        <w:tc>
          <w:tcPr>
            <w:tcW w:w="252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w:t>
            </w:r>
          </w:p>
        </w:tc>
        <w:tc>
          <w:tcPr>
            <w:tcW w:w="9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Automotive</w:t>
            </w:r>
          </w:p>
        </w:tc>
        <w:tc>
          <w:tcPr>
            <w:tcW w:w="25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3</w:t>
            </w:r>
          </w:p>
        </w:tc>
        <w:tc>
          <w:tcPr>
            <w:tcW w:w="20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252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w:t>
            </w:r>
          </w:p>
        </w:tc>
        <w:tc>
          <w:tcPr>
            <w:tcW w:w="204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Media: Diversified and Production</w:t>
            </w:r>
          </w:p>
        </w:tc>
        <w:tc>
          <w:tcPr>
            <w:tcW w:w="25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3</w:t>
            </w:r>
          </w:p>
        </w:tc>
        <w:tc>
          <w:tcPr>
            <w:tcW w:w="20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Containers, Packaging and Glass</w:t>
            </w:r>
          </w:p>
        </w:tc>
        <w:tc>
          <w:tcPr>
            <w:tcW w:w="252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w:t>
            </w:r>
          </w:p>
        </w:tc>
        <w:tc>
          <w:tcPr>
            <w:tcW w:w="204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Media: Broadcasting and Subscription</w:t>
            </w:r>
          </w:p>
        </w:tc>
        <w:tc>
          <w:tcPr>
            <w:tcW w:w="25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2</w:t>
            </w:r>
          </w:p>
        </w:tc>
        <w:tc>
          <w:tcPr>
            <w:tcW w:w="20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Telecommunications</w:t>
            </w:r>
          </w:p>
        </w:tc>
        <w:tc>
          <w:tcPr>
            <w:tcW w:w="252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w:t>
            </w:r>
          </w:p>
        </w:tc>
        <w:tc>
          <w:tcPr>
            <w:tcW w:w="204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Aerospace and Defense</w:t>
            </w:r>
          </w:p>
        </w:tc>
        <w:tc>
          <w:tcPr>
            <w:tcW w:w="25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1</w:t>
            </w:r>
          </w:p>
        </w:tc>
        <w:tc>
          <w:tcPr>
            <w:tcW w:w="20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Construction and Building</w:t>
            </w:r>
          </w:p>
        </w:tc>
        <w:tc>
          <w:tcPr>
            <w:tcW w:w="252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w:t>
            </w:r>
          </w:p>
        </w:tc>
        <w:tc>
          <w:tcPr>
            <w:tcW w:w="204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Consumer Goods: Durable</w:t>
            </w:r>
          </w:p>
        </w:tc>
        <w:tc>
          <w:tcPr>
            <w:tcW w:w="25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1</w:t>
            </w:r>
          </w:p>
        </w:tc>
        <w:tc>
          <w:tcPr>
            <w:tcW w:w="20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Environmental Industries</w:t>
            </w:r>
          </w:p>
        </w:tc>
        <w:tc>
          <w:tcPr>
            <w:tcW w:w="252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w:t>
            </w:r>
          </w:p>
        </w:tc>
        <w:tc>
          <w:tcPr>
            <w:tcW w:w="204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Metals and Mining</w:t>
            </w:r>
          </w:p>
        </w:tc>
        <w:tc>
          <w:tcPr>
            <w:tcW w:w="25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1</w:t>
            </w:r>
          </w:p>
        </w:tc>
        <w:tc>
          <w:tcPr>
            <w:tcW w:w="204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 Other</w:t>
            </w:r>
          </w:p>
        </w:tc>
        <w:tc>
          <w:tcPr>
            <w:tcW w:w="172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w:t>
            </w:r>
          </w:p>
        </w:tc>
        <w:tc>
          <w:tcPr>
            <w:tcW w:w="900" w:type="dxa"/>
            <w:vAlign w:val="bottom"/>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6"/>
        </w:trPr>
        <w:tc>
          <w:tcPr>
            <w:tcW w:w="412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1720" w:type="dxa"/>
            <w:vAlign w:val="bottom"/>
          </w:tcPr>
          <w:p>
            <w:pPr>
              <w:spacing w:after="0"/>
              <w:rPr>
                <w:sz w:val="13"/>
                <w:szCs w:val="13"/>
                <w:color w:val="auto"/>
              </w:rPr>
            </w:pPr>
          </w:p>
        </w:tc>
        <w:tc>
          <w:tcPr>
            <w:tcW w:w="80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100%</w:t>
            </w:r>
          </w:p>
        </w:tc>
        <w:tc>
          <w:tcPr>
            <w:tcW w:w="900" w:type="dxa"/>
            <w:vAlign w:val="bottom"/>
          </w:tcPr>
          <w:p>
            <w:pPr>
              <w:spacing w:after="0"/>
              <w:rPr>
                <w:sz w:val="13"/>
                <w:szCs w:val="13"/>
                <w:color w:val="auto"/>
              </w:rPr>
            </w:pPr>
          </w:p>
        </w:tc>
        <w:tc>
          <w:tcPr>
            <w:tcW w:w="11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71" w:lineRule="exact"/>
        <w:rPr>
          <w:sz w:val="20"/>
          <w:szCs w:val="20"/>
          <w:color w:val="auto"/>
        </w:rPr>
      </w:pPr>
    </w:p>
    <w:p>
      <w:pPr>
        <w:ind w:firstLine="799"/>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F-40</w:t>
      </w:r>
    </w:p>
    <w:p>
      <w:pPr>
        <w:sectPr>
          <w:pgSz w:w="11900" w:h="16838" w:orient="portrait"/>
          <w:cols w:equalWidth="0" w:num="1">
            <w:col w:w="11320"/>
          </w:cols>
          <w:pgMar w:left="240" w:top="459"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2" w:lineRule="auto"/>
        <w:rPr>
          <w:sz w:val="20"/>
          <w:szCs w:val="20"/>
          <w:color w:val="auto"/>
        </w:rPr>
      </w:pPr>
      <w:r>
        <w:rPr>
          <w:rFonts w:ascii="Arial" w:cs="Arial" w:eastAsia="Arial" w:hAnsi="Arial"/>
          <w:sz w:val="14"/>
          <w:szCs w:val="14"/>
          <w:b w:val="1"/>
          <w:bCs w:val="1"/>
          <w:color w:val="auto"/>
        </w:rPr>
        <w:t>JUNE 30, 2013</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69"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00" w:right="1000" w:hanging="580"/>
        <w:spacing w:after="0" w:line="318" w:lineRule="auto"/>
        <w:tabs>
          <w:tab w:leader="none" w:pos="148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9" w:lineRule="exact"/>
        <w:rPr>
          <w:sz w:val="20"/>
          <w:szCs w:val="20"/>
          <w:color w:val="auto"/>
        </w:rPr>
      </w:pPr>
    </w:p>
    <w:p>
      <w:pPr>
        <w:jc w:val="center"/>
        <w:ind w:right="100"/>
        <w:spacing w:after="0"/>
        <w:tabs>
          <w:tab w:leader="none" w:pos="10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50" w:lineRule="exact"/>
        <w:rPr>
          <w:sz w:val="20"/>
          <w:szCs w:val="20"/>
          <w:color w:val="auto"/>
        </w:rPr>
      </w:pPr>
    </w:p>
    <w:p>
      <w:pPr>
        <w:ind w:right="140" w:firstLine="799"/>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39" w:lineRule="exact"/>
        <w:rPr>
          <w:sz w:val="20"/>
          <w:szCs w:val="20"/>
          <w:color w:val="auto"/>
        </w:rPr>
      </w:pPr>
    </w:p>
    <w:p>
      <w:pPr>
        <w:ind w:right="40" w:firstLine="799"/>
        <w:spacing w:after="0" w:line="278" w:lineRule="auto"/>
        <w:rPr>
          <w:sz w:val="20"/>
          <w:szCs w:val="20"/>
          <w:color w:val="auto"/>
        </w:rPr>
      </w:pPr>
      <w:r>
        <w:rPr>
          <w:rFonts w:ascii="Arial" w:cs="Arial" w:eastAsia="Arial" w:hAnsi="Arial"/>
          <w:sz w:val="12"/>
          <w:szCs w:val="12"/>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17" w:lineRule="exact"/>
        <w:rPr>
          <w:sz w:val="20"/>
          <w:szCs w:val="20"/>
          <w:color w:val="auto"/>
        </w:rPr>
      </w:pPr>
    </w:p>
    <w:p>
      <w:pPr>
        <w:ind w:right="240" w:firstLine="799"/>
        <w:spacing w:after="0" w:line="273" w:lineRule="auto"/>
        <w:rPr>
          <w:sz w:val="20"/>
          <w:szCs w:val="20"/>
          <w:color w:val="auto"/>
        </w:rPr>
      </w:pPr>
      <w:r>
        <w:rPr>
          <w:rFonts w:ascii="Arial" w:cs="Arial" w:eastAsia="Arial" w:hAnsi="Arial"/>
          <w:sz w:val="12"/>
          <w:szCs w:val="12"/>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20" w:lineRule="exact"/>
        <w:rPr>
          <w:sz w:val="20"/>
          <w:szCs w:val="20"/>
          <w:color w:val="auto"/>
        </w:rPr>
      </w:pPr>
    </w:p>
    <w:p>
      <w:pPr>
        <w:ind w:firstLine="799"/>
        <w:spacing w:after="0" w:line="230"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nine months ended June 30, 2013, our ability to observe valuation inputs resulted in reclassification of one asset from Level 3 to 2 and we had no other transfers between levels. This compares to the nine months ended June 30, 2012, which resulted in no reclassification of assets from Levels 1, 2 or 3.</w:t>
      </w:r>
    </w:p>
    <w:p>
      <w:pPr>
        <w:spacing w:after="0" w:line="139" w:lineRule="exact"/>
        <w:rPr>
          <w:sz w:val="20"/>
          <w:szCs w:val="20"/>
          <w:color w:val="auto"/>
        </w:rPr>
      </w:pPr>
    </w:p>
    <w:p>
      <w:pPr>
        <w:ind w:right="80" w:firstLine="799"/>
        <w:spacing w:after="0" w:line="318" w:lineRule="auto"/>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94" w:lineRule="exact"/>
        <w:rPr>
          <w:sz w:val="20"/>
          <w:szCs w:val="20"/>
          <w:color w:val="auto"/>
        </w:rPr>
      </w:pPr>
    </w:p>
    <w:p>
      <w:pPr>
        <w:jc w:val="both"/>
        <w:ind w:right="60" w:firstLine="799"/>
        <w:spacing w:after="0" w:line="233" w:lineRule="auto"/>
        <w:rPr>
          <w:sz w:val="20"/>
          <w:szCs w:val="20"/>
          <w:color w:val="auto"/>
        </w:rPr>
      </w:pPr>
      <w:r>
        <w:rPr>
          <w:rFonts w:ascii="Arial" w:cs="Arial" w:eastAsia="Arial" w:hAnsi="Arial"/>
          <w:sz w:val="14"/>
          <w:szCs w:val="14"/>
          <w:color w:val="auto"/>
        </w:rPr>
        <w:t>Under Accounting Standards Update No. 2011-04, “Fair Value Measurement: Amendments to Achieve Common Fair Value Measurement and Disclosure Requirements in U.S. GAAP and IFRS” and as outlined in the table below, some of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39" w:lineRule="exact"/>
        <w:rPr>
          <w:sz w:val="20"/>
          <w:szCs w:val="20"/>
          <w:color w:val="auto"/>
        </w:rPr>
      </w:pPr>
    </w:p>
    <w:p>
      <w:pPr>
        <w:ind w:firstLine="799"/>
        <w:spacing w:after="0" w:line="273" w:lineRule="auto"/>
        <w:rPr>
          <w:sz w:val="20"/>
          <w:szCs w:val="20"/>
          <w:color w:val="auto"/>
        </w:rPr>
      </w:pPr>
      <w:r>
        <w:rPr>
          <w:rFonts w:ascii="Arial" w:cs="Arial" w:eastAsia="Arial" w:hAnsi="Arial"/>
          <w:sz w:val="12"/>
          <w:szCs w:val="12"/>
          <w:color w:val="auto"/>
        </w:rPr>
        <w:t>The remainder of our portfolio, including our long-term Credit Facility, is classified and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F-41</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2" w:lineRule="auto"/>
        <w:rPr>
          <w:sz w:val="20"/>
          <w:szCs w:val="20"/>
          <w:color w:val="auto"/>
        </w:rPr>
      </w:pPr>
      <w:r>
        <w:rPr>
          <w:rFonts w:ascii="Arial" w:cs="Arial" w:eastAsia="Arial" w:hAnsi="Arial"/>
          <w:sz w:val="14"/>
          <w:szCs w:val="14"/>
          <w:b w:val="1"/>
          <w:bCs w:val="1"/>
          <w:color w:val="auto"/>
        </w:rPr>
        <w:t>JUNE 30, 2013</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100"/>
        <w:spacing w:after="0" w:line="288" w:lineRule="auto"/>
        <w:rPr>
          <w:sz w:val="20"/>
          <w:szCs w:val="20"/>
          <w:color w:val="auto"/>
        </w:rPr>
      </w:pPr>
      <w:r>
        <w:rPr>
          <w:rFonts w:ascii="Arial" w:cs="Arial" w:eastAsia="Arial" w:hAnsi="Arial"/>
          <w:sz w:val="12"/>
          <w:szCs w:val="12"/>
          <w:color w:val="auto"/>
        </w:rPr>
        <w:t>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44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72"/>
              <w:spacing w:after="0"/>
              <w:rPr>
                <w:sz w:val="20"/>
                <w:szCs w:val="20"/>
                <w:color w:val="auto"/>
              </w:rPr>
            </w:pPr>
            <w:r>
              <w:rPr>
                <w:rFonts w:ascii="Arial" w:cs="Arial" w:eastAsia="Arial" w:hAnsi="Arial"/>
                <w:sz w:val="14"/>
                <w:szCs w:val="14"/>
                <w:b w:val="1"/>
                <w:bCs w:val="1"/>
                <w:color w:val="auto"/>
                <w:w w:val="88"/>
              </w:rPr>
              <w:t>Fair Value as of</w:t>
            </w: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Range of Input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4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132"/>
              <w:spacing w:after="0" w:line="148" w:lineRule="exact"/>
              <w:rPr>
                <w:sz w:val="20"/>
                <w:szCs w:val="20"/>
                <w:color w:val="auto"/>
              </w:rPr>
            </w:pPr>
            <w:r>
              <w:rPr>
                <w:rFonts w:ascii="Arial" w:cs="Arial" w:eastAsia="Arial" w:hAnsi="Arial"/>
                <w:sz w:val="14"/>
                <w:szCs w:val="14"/>
                <w:b w:val="1"/>
                <w:bCs w:val="1"/>
                <w:color w:val="auto"/>
                <w:w w:val="94"/>
              </w:rPr>
              <w:t>June 30, 2013</w:t>
            </w:r>
          </w:p>
        </w:tc>
        <w:tc>
          <w:tcPr>
            <w:tcW w:w="360" w:type="dxa"/>
            <w:vAlign w:val="bottom"/>
          </w:tcPr>
          <w:p>
            <w:pPr>
              <w:spacing w:after="0"/>
              <w:rPr>
                <w:sz w:val="14"/>
                <w:szCs w:val="14"/>
                <w:color w:val="auto"/>
              </w:rPr>
            </w:pPr>
          </w:p>
        </w:tc>
        <w:tc>
          <w:tcPr>
            <w:tcW w:w="172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6"/>
              </w:rPr>
              <w:t>Valuation Technique</w:t>
            </w:r>
          </w:p>
        </w:tc>
        <w:tc>
          <w:tcPr>
            <w:tcW w:w="154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7"/>
              </w:rPr>
              <w:t>Unobservable Input</w:t>
            </w:r>
          </w:p>
        </w:tc>
        <w:tc>
          <w:tcPr>
            <w:tcW w:w="12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25"/>
        </w:trPr>
        <w:tc>
          <w:tcPr>
            <w:tcW w:w="5360" w:type="dxa"/>
            <w:vAlign w:val="bottom"/>
            <w:tcBorders>
              <w:top w:val="single" w:sz="8" w:color="CCEEFF"/>
            </w:tcBorders>
            <w:gridSpan w:val="2"/>
            <w:shd w:val="clear" w:color="auto" w:fill="CCEEFF"/>
          </w:tcPr>
          <w:p>
            <w:pPr>
              <w:spacing w:after="0" w:line="125" w:lineRule="exact"/>
              <w:rPr>
                <w:sz w:val="20"/>
                <w:szCs w:val="20"/>
                <w:color w:val="auto"/>
              </w:rPr>
            </w:pPr>
            <w:r>
              <w:rPr>
                <w:rFonts w:ascii="Arial" w:cs="Arial" w:eastAsia="Arial" w:hAnsi="Arial"/>
                <w:sz w:val="14"/>
                <w:szCs w:val="14"/>
                <w:color w:val="auto"/>
              </w:rPr>
              <w:t>First lien, second lien, subordinated debt/corporate notes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231,690,743</w:t>
            </w:r>
          </w:p>
        </w:tc>
        <w:tc>
          <w:tcPr>
            <w:tcW w:w="36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jc w:val="center"/>
              <w:spacing w:after="0" w:line="125" w:lineRule="exact"/>
              <w:rPr>
                <w:sz w:val="20"/>
                <w:szCs w:val="20"/>
                <w:color w:val="auto"/>
              </w:rPr>
            </w:pPr>
            <w:r>
              <w:rPr>
                <w:rFonts w:ascii="Arial" w:cs="Arial" w:eastAsia="Arial" w:hAnsi="Arial"/>
                <w:sz w:val="14"/>
                <w:szCs w:val="14"/>
                <w:color w:val="auto"/>
                <w:w w:val="89"/>
              </w:rPr>
              <w:t>Market Comparable</w:t>
            </w:r>
          </w:p>
        </w:tc>
        <w:tc>
          <w:tcPr>
            <w:tcW w:w="34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jc w:val="center"/>
              <w:spacing w:after="0" w:line="125" w:lineRule="exact"/>
              <w:rPr>
                <w:sz w:val="20"/>
                <w:szCs w:val="20"/>
                <w:color w:val="auto"/>
              </w:rPr>
            </w:pPr>
            <w:r>
              <w:rPr>
                <w:rFonts w:ascii="Arial" w:cs="Arial" w:eastAsia="Arial" w:hAnsi="Arial"/>
                <w:sz w:val="14"/>
                <w:szCs w:val="14"/>
                <w:color w:val="auto"/>
                <w:w w:val="90"/>
              </w:rPr>
              <w:t>Broker/Dealer</w:t>
            </w:r>
          </w:p>
        </w:tc>
        <w:tc>
          <w:tcPr>
            <w:tcW w:w="34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jc w:val="center"/>
              <w:spacing w:after="0" w:line="12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9"/>
        </w:trPr>
        <w:tc>
          <w:tcPr>
            <w:tcW w:w="920" w:type="dxa"/>
            <w:vAlign w:val="bottom"/>
            <w:shd w:val="clear" w:color="auto" w:fill="CCEEFF"/>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center"/>
              <w:ind w:right="340"/>
              <w:spacing w:after="0" w:line="159" w:lineRule="exact"/>
              <w:rPr>
                <w:sz w:val="20"/>
                <w:szCs w:val="20"/>
                <w:color w:val="auto"/>
              </w:rPr>
            </w:pPr>
            <w:r>
              <w:rPr>
                <w:rFonts w:ascii="Arial" w:cs="Arial" w:eastAsia="Arial" w:hAnsi="Arial"/>
                <w:sz w:val="14"/>
                <w:szCs w:val="14"/>
                <w:color w:val="auto"/>
                <w:w w:val="86"/>
              </w:rPr>
              <w:t>bid quotes</w:t>
            </w: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60" w:type="dxa"/>
            <w:vAlign w:val="bottom"/>
            <w:gridSpan w:val="2"/>
          </w:tcPr>
          <w:p>
            <w:pPr>
              <w:spacing w:after="0" w:line="149" w:lineRule="exact"/>
              <w:rPr>
                <w:sz w:val="20"/>
                <w:szCs w:val="20"/>
                <w:color w:val="auto"/>
              </w:rPr>
            </w:pPr>
            <w:r>
              <w:rPr>
                <w:rFonts w:ascii="Arial" w:cs="Arial" w:eastAsia="Arial" w:hAnsi="Arial"/>
                <w:sz w:val="14"/>
                <w:szCs w:val="14"/>
                <w:color w:val="auto"/>
              </w:rPr>
              <w:t>First lien, second lien, subordinated debt/corporate notes</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15,005,681</w:t>
            </w:r>
          </w:p>
        </w:tc>
        <w:tc>
          <w:tcPr>
            <w:tcW w:w="360" w:type="dxa"/>
            <w:vAlign w:val="bottom"/>
          </w:tcPr>
          <w:p>
            <w:pPr>
              <w:spacing w:after="0"/>
              <w:rPr>
                <w:sz w:val="12"/>
                <w:szCs w:val="12"/>
                <w:color w:val="auto"/>
              </w:rPr>
            </w:pPr>
          </w:p>
        </w:tc>
        <w:tc>
          <w:tcPr>
            <w:tcW w:w="17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9"/>
              </w:rPr>
              <w:t>Market Comparable</w:t>
            </w:r>
          </w:p>
        </w:tc>
        <w:tc>
          <w:tcPr>
            <w:tcW w:w="15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Market Yield</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8"/>
              </w:rPr>
              <w:t>7.3% – 15.2%(11.9%)</w:t>
            </w:r>
          </w:p>
        </w:tc>
        <w:tc>
          <w:tcPr>
            <w:tcW w:w="0" w:type="dxa"/>
            <w:vAlign w:val="bottom"/>
          </w:tcPr>
          <w:p>
            <w:pPr>
              <w:spacing w:after="0"/>
              <w:rPr>
                <w:sz w:val="1"/>
                <w:szCs w:val="1"/>
                <w:color w:val="auto"/>
              </w:rPr>
            </w:pPr>
          </w:p>
        </w:tc>
      </w:tr>
      <w:tr>
        <w:trPr>
          <w:trHeight w:val="149"/>
        </w:trPr>
        <w:tc>
          <w:tcPr>
            <w:tcW w:w="5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w:t>
            </w: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177,988</w:t>
            </w:r>
          </w:p>
        </w:tc>
        <w:tc>
          <w:tcPr>
            <w:tcW w:w="36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87"/>
              </w:rPr>
              <w:t>Enterprise Market Value</w:t>
            </w:r>
          </w:p>
        </w:tc>
        <w:tc>
          <w:tcPr>
            <w:tcW w:w="154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95"/>
              </w:rPr>
              <w:t>EBITDA multiple</w:t>
            </w:r>
          </w:p>
        </w:tc>
        <w:tc>
          <w:tcPr>
            <w:tcW w:w="1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7.0x – 7.0x (7.0x)</w:t>
            </w:r>
          </w:p>
        </w:tc>
        <w:tc>
          <w:tcPr>
            <w:tcW w:w="0" w:type="dxa"/>
            <w:vAlign w:val="bottom"/>
          </w:tcPr>
          <w:p>
            <w:pPr>
              <w:spacing w:after="0"/>
              <w:rPr>
                <w:sz w:val="1"/>
                <w:szCs w:val="1"/>
                <w:color w:val="auto"/>
              </w:rPr>
            </w:pPr>
          </w:p>
        </w:tc>
      </w:tr>
      <w:tr>
        <w:trPr>
          <w:trHeight w:val="156"/>
        </w:trPr>
        <w:tc>
          <w:tcPr>
            <w:tcW w:w="536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Total Level 3 investments</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246,874,412</w:t>
            </w: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85,600,000</w:t>
            </w:r>
          </w:p>
        </w:tc>
        <w:tc>
          <w:tcPr>
            <w:tcW w:w="36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center"/>
              <w:ind w:right="340"/>
              <w:spacing w:after="0" w:line="143" w:lineRule="exact"/>
              <w:rPr>
                <w:sz w:val="20"/>
                <w:szCs w:val="20"/>
                <w:color w:val="auto"/>
              </w:rPr>
            </w:pPr>
            <w:r>
              <w:rPr>
                <w:rFonts w:ascii="Arial" w:cs="Arial" w:eastAsia="Arial" w:hAnsi="Arial"/>
                <w:sz w:val="14"/>
                <w:szCs w:val="14"/>
                <w:color w:val="auto"/>
                <w:w w:val="89"/>
              </w:rPr>
              <w:t>Market Comparable</w:t>
            </w:r>
          </w:p>
        </w:tc>
        <w:tc>
          <w:tcPr>
            <w:tcW w:w="1540" w:type="dxa"/>
            <w:vAlign w:val="bottom"/>
            <w:gridSpan w:val="2"/>
            <w:shd w:val="clear" w:color="auto" w:fill="CCEEFF"/>
          </w:tcPr>
          <w:p>
            <w:pPr>
              <w:jc w:val="center"/>
              <w:ind w:right="340"/>
              <w:spacing w:after="0" w:line="143" w:lineRule="exact"/>
              <w:rPr>
                <w:sz w:val="20"/>
                <w:szCs w:val="20"/>
                <w:color w:val="auto"/>
              </w:rPr>
            </w:pPr>
            <w:r>
              <w:rPr>
                <w:rFonts w:ascii="Arial" w:cs="Arial" w:eastAsia="Arial" w:hAnsi="Arial"/>
                <w:sz w:val="14"/>
                <w:szCs w:val="14"/>
                <w:color w:val="auto"/>
                <w:w w:val="92"/>
              </w:rPr>
              <w:t>Market Yield</w:t>
            </w:r>
          </w:p>
        </w:tc>
        <w:tc>
          <w:tcPr>
            <w:tcW w:w="12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7"/>
              </w:rPr>
              <w:t>3.6%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44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Fair Value as of</w:t>
            </w: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Range of Input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4440" w:type="dxa"/>
            <w:vAlign w:val="bottom"/>
            <w:vMerge w:val="continue"/>
          </w:tcPr>
          <w:p>
            <w:pPr>
              <w:spacing w:after="0"/>
              <w:rPr>
                <w:sz w:val="14"/>
                <w:szCs w:val="14"/>
                <w:color w:val="auto"/>
              </w:rPr>
            </w:pPr>
          </w:p>
        </w:tc>
        <w:tc>
          <w:tcPr>
            <w:tcW w:w="1540" w:type="dxa"/>
            <w:vAlign w:val="bottom"/>
            <w:gridSpan w:val="3"/>
          </w:tcPr>
          <w:p>
            <w:pPr>
              <w:jc w:val="center"/>
              <w:ind w:right="380"/>
              <w:spacing w:after="0" w:line="148" w:lineRule="exact"/>
              <w:rPr>
                <w:sz w:val="20"/>
                <w:szCs w:val="20"/>
                <w:color w:val="auto"/>
              </w:rPr>
            </w:pPr>
            <w:r>
              <w:rPr>
                <w:rFonts w:ascii="Arial" w:cs="Arial" w:eastAsia="Arial" w:hAnsi="Arial"/>
                <w:sz w:val="14"/>
                <w:szCs w:val="14"/>
                <w:b w:val="1"/>
                <w:bCs w:val="1"/>
                <w:color w:val="auto"/>
                <w:w w:val="85"/>
              </w:rPr>
              <w:t>September 30, 2012</w:t>
            </w:r>
          </w:p>
        </w:tc>
        <w:tc>
          <w:tcPr>
            <w:tcW w:w="172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6"/>
              </w:rPr>
              <w:t>Valuation Technique</w:t>
            </w:r>
          </w:p>
        </w:tc>
        <w:tc>
          <w:tcPr>
            <w:tcW w:w="154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7"/>
              </w:rPr>
              <w:t>Unobservable Input</w:t>
            </w:r>
          </w:p>
        </w:tc>
        <w:tc>
          <w:tcPr>
            <w:tcW w:w="12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25"/>
        </w:trPr>
        <w:tc>
          <w:tcPr>
            <w:tcW w:w="5360" w:type="dxa"/>
            <w:vAlign w:val="bottom"/>
            <w:tcBorders>
              <w:top w:val="single" w:sz="8" w:color="CCEEFF"/>
            </w:tcBorders>
            <w:gridSpan w:val="2"/>
            <w:shd w:val="clear" w:color="auto" w:fill="CCEEFF"/>
          </w:tcPr>
          <w:p>
            <w:pPr>
              <w:spacing w:after="0" w:line="125" w:lineRule="exact"/>
              <w:rPr>
                <w:sz w:val="20"/>
                <w:szCs w:val="20"/>
                <w:color w:val="auto"/>
              </w:rPr>
            </w:pPr>
            <w:r>
              <w:rPr>
                <w:rFonts w:ascii="Arial" w:cs="Arial" w:eastAsia="Arial" w:hAnsi="Arial"/>
                <w:sz w:val="14"/>
                <w:szCs w:val="14"/>
                <w:color w:val="auto"/>
              </w:rPr>
              <w:t>First lien, second lien, subordinated debt/corporate notes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155,983,312</w:t>
            </w:r>
          </w:p>
        </w:tc>
        <w:tc>
          <w:tcPr>
            <w:tcW w:w="36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jc w:val="center"/>
              <w:spacing w:after="0" w:line="125" w:lineRule="exact"/>
              <w:rPr>
                <w:sz w:val="20"/>
                <w:szCs w:val="20"/>
                <w:color w:val="auto"/>
              </w:rPr>
            </w:pPr>
            <w:r>
              <w:rPr>
                <w:rFonts w:ascii="Arial" w:cs="Arial" w:eastAsia="Arial" w:hAnsi="Arial"/>
                <w:sz w:val="14"/>
                <w:szCs w:val="14"/>
                <w:color w:val="auto"/>
                <w:w w:val="89"/>
              </w:rPr>
              <w:t>Market Comparable</w:t>
            </w:r>
          </w:p>
        </w:tc>
        <w:tc>
          <w:tcPr>
            <w:tcW w:w="34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jc w:val="center"/>
              <w:spacing w:after="0" w:line="125" w:lineRule="exact"/>
              <w:rPr>
                <w:sz w:val="20"/>
                <w:szCs w:val="20"/>
                <w:color w:val="auto"/>
              </w:rPr>
            </w:pPr>
            <w:r>
              <w:rPr>
                <w:rFonts w:ascii="Arial" w:cs="Arial" w:eastAsia="Arial" w:hAnsi="Arial"/>
                <w:sz w:val="14"/>
                <w:szCs w:val="14"/>
                <w:color w:val="auto"/>
                <w:w w:val="89"/>
              </w:rPr>
              <w:t>Broker/Dealer bid</w:t>
            </w:r>
          </w:p>
        </w:tc>
        <w:tc>
          <w:tcPr>
            <w:tcW w:w="34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jc w:val="center"/>
              <w:spacing w:after="0" w:line="12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9"/>
        </w:trPr>
        <w:tc>
          <w:tcPr>
            <w:tcW w:w="920" w:type="dxa"/>
            <w:vAlign w:val="bottom"/>
            <w:shd w:val="clear" w:color="auto" w:fill="CCEEFF"/>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center"/>
              <w:ind w:right="360"/>
              <w:spacing w:after="0" w:line="159" w:lineRule="exact"/>
              <w:rPr>
                <w:sz w:val="20"/>
                <w:szCs w:val="20"/>
                <w:color w:val="auto"/>
              </w:rPr>
            </w:pPr>
            <w:r>
              <w:rPr>
                <w:rFonts w:ascii="Arial" w:cs="Arial" w:eastAsia="Arial" w:hAnsi="Arial"/>
                <w:sz w:val="14"/>
                <w:szCs w:val="14"/>
                <w:color w:val="auto"/>
                <w:w w:val="80"/>
              </w:rPr>
              <w:t>quotes</w:t>
            </w: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60" w:type="dxa"/>
            <w:vAlign w:val="bottom"/>
            <w:gridSpan w:val="2"/>
          </w:tcPr>
          <w:p>
            <w:pPr>
              <w:spacing w:after="0" w:line="149" w:lineRule="exact"/>
              <w:rPr>
                <w:sz w:val="20"/>
                <w:szCs w:val="20"/>
                <w:color w:val="auto"/>
              </w:rPr>
            </w:pPr>
            <w:r>
              <w:rPr>
                <w:rFonts w:ascii="Arial" w:cs="Arial" w:eastAsia="Arial" w:hAnsi="Arial"/>
                <w:sz w:val="14"/>
                <w:szCs w:val="14"/>
                <w:color w:val="auto"/>
              </w:rPr>
              <w:t>First lien, second lien, subordinated debt/corporate notes</w:t>
            </w:r>
          </w:p>
        </w:tc>
        <w:tc>
          <w:tcPr>
            <w:tcW w:w="100" w:type="dxa"/>
            <w:vAlign w:val="bottom"/>
          </w:tcPr>
          <w:p>
            <w:pPr>
              <w:spacing w:after="0"/>
              <w:rPr>
                <w:sz w:val="12"/>
                <w:szCs w:val="12"/>
                <w:color w:val="auto"/>
              </w:rPr>
            </w:pPr>
          </w:p>
        </w:tc>
        <w:tc>
          <w:tcPr>
            <w:tcW w:w="14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11,760,650</w:t>
            </w:r>
          </w:p>
        </w:tc>
        <w:tc>
          <w:tcPr>
            <w:tcW w:w="17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9"/>
              </w:rPr>
              <w:t>Market Comparable</w:t>
            </w:r>
          </w:p>
        </w:tc>
        <w:tc>
          <w:tcPr>
            <w:tcW w:w="15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Market Yield</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8"/>
              </w:rPr>
              <w:t>7.3% – 15.3%(11.9%)</w:t>
            </w:r>
          </w:p>
        </w:tc>
        <w:tc>
          <w:tcPr>
            <w:tcW w:w="0" w:type="dxa"/>
            <w:vAlign w:val="bottom"/>
          </w:tcPr>
          <w:p>
            <w:pPr>
              <w:spacing w:after="0"/>
              <w:rPr>
                <w:sz w:val="1"/>
                <w:szCs w:val="1"/>
                <w:color w:val="auto"/>
              </w:rPr>
            </w:pPr>
          </w:p>
        </w:tc>
      </w:tr>
      <w:tr>
        <w:trPr>
          <w:trHeight w:val="149"/>
        </w:trPr>
        <w:tc>
          <w:tcPr>
            <w:tcW w:w="5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and common equity</w:t>
            </w: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1,302,438</w:t>
            </w:r>
          </w:p>
        </w:tc>
        <w:tc>
          <w:tcPr>
            <w:tcW w:w="36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87"/>
              </w:rPr>
              <w:t>Enterprise Market Value</w:t>
            </w:r>
          </w:p>
        </w:tc>
        <w:tc>
          <w:tcPr>
            <w:tcW w:w="154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95"/>
              </w:rPr>
              <w:t>EBITDA multiple</w:t>
            </w:r>
          </w:p>
        </w:tc>
        <w:tc>
          <w:tcPr>
            <w:tcW w:w="1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6.5x – 8.5x (6.8x)</w:t>
            </w:r>
          </w:p>
        </w:tc>
        <w:tc>
          <w:tcPr>
            <w:tcW w:w="0" w:type="dxa"/>
            <w:vAlign w:val="bottom"/>
          </w:tcPr>
          <w:p>
            <w:pPr>
              <w:spacing w:after="0"/>
              <w:rPr>
                <w:sz w:val="1"/>
                <w:szCs w:val="1"/>
                <w:color w:val="auto"/>
              </w:rPr>
            </w:pPr>
          </w:p>
        </w:tc>
      </w:tr>
      <w:tr>
        <w:trPr>
          <w:trHeight w:val="156"/>
        </w:trPr>
        <w:tc>
          <w:tcPr>
            <w:tcW w:w="536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Total Level 3 investments</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169,046,400</w:t>
            </w: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75,122,500</w:t>
            </w:r>
          </w:p>
        </w:tc>
        <w:tc>
          <w:tcPr>
            <w:tcW w:w="36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center"/>
              <w:ind w:right="340"/>
              <w:spacing w:after="0" w:line="143" w:lineRule="exact"/>
              <w:rPr>
                <w:sz w:val="20"/>
                <w:szCs w:val="20"/>
                <w:color w:val="auto"/>
              </w:rPr>
            </w:pPr>
            <w:r>
              <w:rPr>
                <w:rFonts w:ascii="Arial" w:cs="Arial" w:eastAsia="Arial" w:hAnsi="Arial"/>
                <w:sz w:val="14"/>
                <w:szCs w:val="14"/>
                <w:color w:val="auto"/>
                <w:w w:val="89"/>
              </w:rPr>
              <w:t>Market Comparable</w:t>
            </w:r>
          </w:p>
        </w:tc>
        <w:tc>
          <w:tcPr>
            <w:tcW w:w="1540" w:type="dxa"/>
            <w:vAlign w:val="bottom"/>
            <w:gridSpan w:val="2"/>
            <w:shd w:val="clear" w:color="auto" w:fill="CCEEFF"/>
          </w:tcPr>
          <w:p>
            <w:pPr>
              <w:jc w:val="center"/>
              <w:ind w:right="340"/>
              <w:spacing w:after="0" w:line="143" w:lineRule="exact"/>
              <w:rPr>
                <w:sz w:val="20"/>
                <w:szCs w:val="20"/>
                <w:color w:val="auto"/>
              </w:rPr>
            </w:pPr>
            <w:r>
              <w:rPr>
                <w:rFonts w:ascii="Arial" w:cs="Arial" w:eastAsia="Arial" w:hAnsi="Arial"/>
                <w:sz w:val="14"/>
                <w:szCs w:val="14"/>
                <w:color w:val="auto"/>
                <w:w w:val="92"/>
              </w:rPr>
              <w:t>Market Yield</w:t>
            </w:r>
          </w:p>
        </w:tc>
        <w:tc>
          <w:tcPr>
            <w:tcW w:w="12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7"/>
              </w:rPr>
              <w:t>3.1%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Our cash equivalents, investments and our long-term Credit Facility were categorized as follows in the fair value hierarchy for ASC 820 purposes: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5760" w:type="dxa"/>
            <w:vAlign w:val="bottom"/>
            <w:vMerge w:val="restart"/>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w w:val="87"/>
              </w:rPr>
              <w:t>Fair Value Measurements at June 30, 2013</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5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w w:val="86"/>
              </w:rPr>
              <w:t>Fair Value</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88"/>
              </w:rPr>
              <w:t>Level 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4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First lien</w:t>
            </w:r>
          </w:p>
        </w:tc>
        <w:tc>
          <w:tcPr>
            <w:tcW w:w="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2"/>
              </w:rPr>
              <w:t>228,527,557</w:t>
            </w:r>
          </w:p>
        </w:tc>
        <w:tc>
          <w:tcPr>
            <w:tcW w:w="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ind w:left="340"/>
              <w:spacing w:after="0" w:line="136"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ind w:left="340"/>
              <w:spacing w:after="0" w:line="136"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228,527,557</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6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1"/>
              </w:rPr>
              <w:t>13,160,722</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3"/>
              </w:rPr>
              <w:t>1,590,000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11,570,722</w:t>
            </w:r>
          </w:p>
        </w:tc>
        <w:tc>
          <w:tcPr>
            <w:tcW w:w="0" w:type="dxa"/>
            <w:vAlign w:val="bottom"/>
          </w:tcPr>
          <w:p>
            <w:pPr>
              <w:spacing w:after="0"/>
              <w:rPr>
                <w:sz w:val="1"/>
                <w:szCs w:val="1"/>
                <w:color w:val="auto"/>
              </w:rPr>
            </w:pPr>
          </w:p>
        </w:tc>
      </w:tr>
      <w:tr>
        <w:trPr>
          <w:trHeight w:val="149"/>
        </w:trPr>
        <w:tc>
          <w:tcPr>
            <w:tcW w:w="6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debt/corporate notes</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8,648,145</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3"/>
              </w:rPr>
              <w:t>2,050,000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6,598,145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460" w:type="dxa"/>
            <w:vAlign w:val="bottom"/>
            <w:gridSpan w:val="2"/>
          </w:tcPr>
          <w:p>
            <w:pPr>
              <w:spacing w:after="0" w:line="149" w:lineRule="exact"/>
              <w:rPr>
                <w:sz w:val="20"/>
                <w:szCs w:val="20"/>
                <w:color w:val="auto"/>
              </w:rPr>
            </w:pPr>
            <w:r>
              <w:rPr>
                <w:rFonts w:ascii="Arial" w:cs="Arial" w:eastAsia="Arial" w:hAnsi="Arial"/>
                <w:sz w:val="14"/>
                <w:szCs w:val="14"/>
                <w:color w:val="auto"/>
              </w:rPr>
              <w:t>Preferred and common equity</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177,988</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3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177,988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investments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250,514,412</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3"/>
              </w:rPr>
              <w:t>3,640,000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246,874,412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460" w:type="dxa"/>
            <w:vAlign w:val="bottom"/>
            <w:gridSpan w:val="2"/>
          </w:tcPr>
          <w:p>
            <w:pPr>
              <w:spacing w:after="0" w:line="155" w:lineRule="exact"/>
              <w:rPr>
                <w:sz w:val="20"/>
                <w:szCs w:val="20"/>
                <w:color w:val="auto"/>
              </w:rPr>
            </w:pPr>
            <w:r>
              <w:rPr>
                <w:rFonts w:ascii="Arial" w:cs="Arial" w:eastAsia="Arial" w:hAnsi="Arial"/>
                <w:sz w:val="14"/>
                <w:szCs w:val="14"/>
                <w:color w:val="auto"/>
              </w:rPr>
              <w:t>Cash equivalents</w:t>
            </w: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6,936,175</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83"/>
              </w:rPr>
              <w:t>6,936,175</w:t>
            </w:r>
          </w:p>
        </w:tc>
        <w:tc>
          <w:tcPr>
            <w:tcW w:w="4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ind w:left="340"/>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investments and cash equivalents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257,450,587</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6,936,175</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3"/>
              </w:rPr>
              <w:t>3,640,000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246,874,412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60" w:type="dxa"/>
            <w:vAlign w:val="bottom"/>
            <w:gridSpan w:val="2"/>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w w:val="91"/>
              </w:rPr>
              <w:t>85,600,000</w:t>
            </w:r>
          </w:p>
        </w:tc>
        <w:tc>
          <w:tcPr>
            <w:tcW w:w="4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tcPr>
          <w:p>
            <w:pPr>
              <w:ind w:left="340"/>
              <w:spacing w:after="0" w:line="143"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340"/>
              <w:spacing w:after="0" w:line="143" w:lineRule="exact"/>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w w:val="94"/>
              </w:rPr>
              <w:t>85,600,000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140" w:type="dxa"/>
            <w:vAlign w:val="bottom"/>
            <w:vMerge w:val="restart"/>
          </w:tcPr>
          <w:p>
            <w:pPr>
              <w:spacing w:after="0"/>
              <w:rPr>
                <w:sz w:val="14"/>
                <w:szCs w:val="14"/>
                <w:color w:val="auto"/>
              </w:rPr>
            </w:pPr>
          </w:p>
        </w:tc>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60" w:type="dxa"/>
            <w:vAlign w:val="bottom"/>
            <w:gridSpan w:val="13"/>
          </w:tcPr>
          <w:p>
            <w:pPr>
              <w:ind w:left="520"/>
              <w:spacing w:after="0"/>
              <w:rPr>
                <w:sz w:val="20"/>
                <w:szCs w:val="20"/>
                <w:color w:val="auto"/>
              </w:rPr>
            </w:pPr>
            <w:r>
              <w:rPr>
                <w:rFonts w:ascii="Arial" w:cs="Arial" w:eastAsia="Arial" w:hAnsi="Arial"/>
                <w:sz w:val="14"/>
                <w:szCs w:val="14"/>
                <w:b w:val="1"/>
                <w:bCs w:val="1"/>
                <w:color w:val="auto"/>
              </w:rPr>
              <w:t>Fair Value Measurements at September 30, 2012</w:t>
            </w: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3140" w:type="dxa"/>
            <w:vAlign w:val="bottom"/>
            <w:vMerge w:val="continue"/>
          </w:tcPr>
          <w:p>
            <w:pPr>
              <w:spacing w:after="0"/>
              <w:rPr>
                <w:sz w:val="12"/>
                <w:szCs w:val="12"/>
                <w:color w:val="auto"/>
              </w:rPr>
            </w:pPr>
          </w:p>
        </w:tc>
        <w:tc>
          <w:tcPr>
            <w:tcW w:w="26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6"/>
              </w:rPr>
              <w:t>Fair Value</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rPr>
              <w:t>Level 1</w:t>
            </w:r>
          </w:p>
        </w:tc>
        <w:tc>
          <w:tcPr>
            <w:tcW w:w="4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8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First lien</w:t>
            </w:r>
          </w:p>
        </w:tc>
        <w:tc>
          <w:tcPr>
            <w:tcW w:w="26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2"/>
              </w:rPr>
              <w:t>150,209,747</w:t>
            </w: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ind w:left="340"/>
              <w:spacing w:after="0" w:line="136"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ind w:left="340"/>
              <w:spacing w:after="0" w:line="136"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150,209,747</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12,025,500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12,025,500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debt/corporate notes</w:t>
            </w:r>
          </w:p>
        </w:tc>
        <w:tc>
          <w:tcPr>
            <w:tcW w:w="2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8,296,719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2,788,000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5,508,719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Preferred and common equity</w:t>
            </w:r>
          </w:p>
        </w:tc>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1,302,434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1,302,434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investments</w:t>
            </w:r>
          </w:p>
        </w:tc>
        <w:tc>
          <w:tcPr>
            <w:tcW w:w="2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2"/>
              </w:rPr>
              <w:t>171,834,400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2,788,000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169,046,400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4"/>
                <w:szCs w:val="14"/>
                <w:color w:val="auto"/>
              </w:rPr>
              <w:t>Cash equivalents</w:t>
            </w:r>
          </w:p>
        </w:tc>
        <w:tc>
          <w:tcPr>
            <w:tcW w:w="2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40" w:type="dxa"/>
            <w:vAlign w:val="bottom"/>
            <w:gridSpan w:val="2"/>
            <w:vMerge w:val="continue"/>
          </w:tcPr>
          <w:p>
            <w:pPr>
              <w:spacing w:after="0"/>
              <w:rPr>
                <w:sz w:val="13"/>
                <w:szCs w:val="13"/>
                <w:color w:val="auto"/>
              </w:rPr>
            </w:pPr>
          </w:p>
        </w:tc>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3,845,803</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line="155" w:lineRule="exact"/>
              <w:rPr>
                <w:sz w:val="20"/>
                <w:szCs w:val="20"/>
                <w:color w:val="auto"/>
              </w:rPr>
            </w:pPr>
            <w:r>
              <w:rPr>
                <w:rFonts w:ascii="Arial" w:cs="Arial" w:eastAsia="Arial" w:hAnsi="Arial"/>
                <w:sz w:val="14"/>
                <w:szCs w:val="14"/>
                <w:color w:val="auto"/>
                <w:w w:val="83"/>
              </w:rPr>
              <w:t>3,845,803</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ind w:left="340"/>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48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investments and cash equivalents</w:t>
            </w:r>
          </w:p>
        </w:tc>
        <w:tc>
          <w:tcPr>
            <w:tcW w:w="2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2"/>
              </w:rPr>
              <w:t>175,680,203</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3,845,803</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2,788,000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169,046,400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40" w:type="dxa"/>
            <w:vAlign w:val="bottom"/>
            <w:gridSpan w:val="2"/>
            <w:vMerge w:val="continue"/>
          </w:tcPr>
          <w:p>
            <w:pPr>
              <w:spacing w:after="0"/>
              <w:rPr>
                <w:sz w:val="12"/>
                <w:szCs w:val="12"/>
                <w:color w:val="auto"/>
              </w:rPr>
            </w:pPr>
          </w:p>
        </w:tc>
        <w:tc>
          <w:tcPr>
            <w:tcW w:w="262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w w:val="91"/>
              </w:rPr>
              <w:t>75,122,500</w:t>
            </w:r>
          </w:p>
        </w:tc>
        <w:tc>
          <w:tcPr>
            <w:tcW w:w="2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tcPr>
          <w:p>
            <w:pPr>
              <w:ind w:left="340"/>
              <w:spacing w:after="0" w:line="143"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340"/>
              <w:spacing w:after="0" w:line="143"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w w:val="94"/>
              </w:rPr>
              <w:t>75,122,500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700" w:type="dxa"/>
            <w:vAlign w:val="bottom"/>
            <w:gridSpan w:val="2"/>
          </w:tcPr>
          <w:p>
            <w:pPr>
              <w:jc w:val="right"/>
              <w:ind w:right="1092"/>
              <w:spacing w:after="0"/>
              <w:rPr>
                <w:sz w:val="20"/>
                <w:szCs w:val="20"/>
                <w:color w:val="auto"/>
              </w:rPr>
            </w:pPr>
            <w:r>
              <w:rPr>
                <w:rFonts w:ascii="Arial" w:cs="Arial" w:eastAsia="Arial" w:hAnsi="Arial"/>
                <w:sz w:val="14"/>
                <w:szCs w:val="14"/>
                <w:color w:val="auto"/>
              </w:rPr>
              <w:t>F-42</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2" w:lineRule="auto"/>
        <w:rPr>
          <w:sz w:val="20"/>
          <w:szCs w:val="20"/>
          <w:color w:val="auto"/>
        </w:rPr>
      </w:pPr>
      <w:r>
        <w:rPr>
          <w:rFonts w:ascii="Arial" w:cs="Arial" w:eastAsia="Arial" w:hAnsi="Arial"/>
          <w:sz w:val="14"/>
          <w:szCs w:val="14"/>
          <w:b w:val="1"/>
          <w:bCs w:val="1"/>
          <w:color w:val="auto"/>
        </w:rPr>
        <w:t>JUNE 30, 2013</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tables show a reconciliation of the beginning and ending balances for fair valued investments measured using significant unobservable inputs (Level 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86"/>
              </w:rPr>
              <w:t>Nine Months Ended June 30, 2013</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3"/>
          </w:tcPr>
          <w:p>
            <w:pPr>
              <w:jc w:val="center"/>
              <w:ind w:right="620"/>
              <w:spacing w:after="0" w:line="129" w:lineRule="exact"/>
              <w:rPr>
                <w:sz w:val="20"/>
                <w:szCs w:val="20"/>
                <w:color w:val="auto"/>
              </w:rPr>
            </w:pPr>
            <w:r>
              <w:rPr>
                <w:rFonts w:ascii="Arial" w:cs="Arial" w:eastAsia="Arial" w:hAnsi="Arial"/>
                <w:sz w:val="14"/>
                <w:szCs w:val="14"/>
                <w:b w:val="1"/>
                <w:bCs w:val="1"/>
                <w:color w:val="auto"/>
                <w:w w:val="84"/>
              </w:rPr>
              <w:t>Second lien,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subordinated debt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8"/>
              </w:rPr>
              <w:t>First Lien</w:t>
            </w:r>
          </w:p>
        </w:tc>
        <w:tc>
          <w:tcPr>
            <w:tcW w:w="380" w:type="dxa"/>
            <w:vAlign w:val="bottom"/>
          </w:tcPr>
          <w:p>
            <w:pPr>
              <w:spacing w:after="0"/>
              <w:rPr>
                <w:sz w:val="12"/>
                <w:szCs w:val="12"/>
                <w:color w:val="auto"/>
              </w:rPr>
            </w:pPr>
          </w:p>
        </w:tc>
        <w:tc>
          <w:tcPr>
            <w:tcW w:w="1840" w:type="dxa"/>
            <w:vAlign w:val="bottom"/>
            <w:gridSpan w:val="5"/>
          </w:tcPr>
          <w:p>
            <w:pPr>
              <w:spacing w:after="0" w:line="148" w:lineRule="exact"/>
              <w:rPr>
                <w:sz w:val="20"/>
                <w:szCs w:val="20"/>
                <w:color w:val="auto"/>
              </w:rPr>
            </w:pPr>
            <w:r>
              <w:rPr>
                <w:rFonts w:ascii="Arial" w:cs="Arial" w:eastAsia="Arial" w:hAnsi="Arial"/>
                <w:sz w:val="14"/>
                <w:szCs w:val="14"/>
                <w:b w:val="1"/>
                <w:bCs w:val="1"/>
                <w:color w:val="auto"/>
              </w:rPr>
              <w:t>and equity investments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6460" w:type="dxa"/>
            <w:vAlign w:val="bottom"/>
            <w:tcBorders>
              <w:left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71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Beginning Balance, September 30, 2012</w:t>
            </w:r>
          </w:p>
        </w:tc>
        <w:tc>
          <w:tcPr>
            <w:tcW w:w="24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7"/>
              </w:rPr>
              <w:t>150,209,747</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18,836,653</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7"/>
              </w:rPr>
              <w:t>169,046,400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Realized gains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1,470,514</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1,736,347</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3,206,861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depreciation</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(1,398,938)</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(1,030,393)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(2,429,331)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Purchases, PIK and net discount accretion</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87"/>
              </w:rPr>
              <w:t>181,863,473</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17,429,350</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7"/>
              </w:rPr>
              <w:t>199,292,823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 repayments / exchanges</w:t>
            </w:r>
          </w:p>
        </w:tc>
        <w:tc>
          <w:tcPr>
            <w:tcW w:w="114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(103,617,239)</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(17,038,852)</w:t>
            </w:r>
          </w:p>
        </w:tc>
        <w:tc>
          <w:tcPr>
            <w:tcW w:w="8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(120,656,091)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(1,586,250)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(1,586,250)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June 30, 2013</w:t>
            </w:r>
          </w:p>
        </w:tc>
        <w:tc>
          <w:tcPr>
            <w:tcW w:w="24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228,527,557</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18,346,855</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246,874,412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Arial" w:cs="Arial" w:eastAsia="Arial" w:hAnsi="Arial"/>
                <w:sz w:val="14"/>
                <w:szCs w:val="14"/>
                <w:color w:val="auto"/>
                <w:w w:val="90"/>
              </w:rPr>
              <w:t>Net change in unrealized appreciation (depreciation) reported within the net change in unrealized appreciation on investments in</w:t>
            </w: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1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1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our Consolidated Statement of Operations attributable to our Level 3 assets still held at the reporting date.</w:t>
            </w:r>
          </w:p>
        </w:tc>
        <w:tc>
          <w:tcPr>
            <w:tcW w:w="240" w:type="dxa"/>
            <w:vAlign w:val="bottom"/>
          </w:tcPr>
          <w:p>
            <w:pPr>
              <w:spacing w:after="0"/>
              <w:rPr>
                <w:sz w:val="13"/>
                <w:szCs w:val="13"/>
                <w:color w:val="auto"/>
              </w:rPr>
            </w:pPr>
          </w:p>
        </w:tc>
        <w:tc>
          <w:tcPr>
            <w:tcW w:w="10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(388,299)</w:t>
            </w:r>
          </w:p>
        </w:tc>
        <w:tc>
          <w:tcPr>
            <w:tcW w:w="500" w:type="dxa"/>
            <w:vAlign w:val="bottom"/>
            <w:gridSpan w:val="3"/>
          </w:tcPr>
          <w:p>
            <w:pPr>
              <w:ind w:left="380"/>
              <w:spacing w:after="0" w:line="159" w:lineRule="exact"/>
              <w:rPr>
                <w:sz w:val="20"/>
                <w:szCs w:val="20"/>
                <w:color w:val="auto"/>
              </w:rPr>
            </w:pPr>
            <w:r>
              <w:rPr>
                <w:rFonts w:ascii="Arial" w:cs="Arial" w:eastAsia="Arial" w:hAnsi="Arial"/>
                <w:sz w:val="14"/>
                <w:szCs w:val="14"/>
                <w:color w:val="auto"/>
              </w:rPr>
              <w:t>$</w:t>
            </w:r>
          </w:p>
        </w:tc>
        <w:tc>
          <w:tcPr>
            <w:tcW w:w="1720" w:type="dxa"/>
            <w:vAlign w:val="bottom"/>
            <w:gridSpan w:val="3"/>
          </w:tcPr>
          <w:p>
            <w:pPr>
              <w:jc w:val="right"/>
              <w:ind w:right="460"/>
              <w:spacing w:after="0" w:line="159" w:lineRule="exact"/>
              <w:rPr>
                <w:sz w:val="20"/>
                <w:szCs w:val="20"/>
                <w:color w:val="auto"/>
              </w:rPr>
            </w:pPr>
            <w:r>
              <w:rPr>
                <w:rFonts w:ascii="Arial" w:cs="Arial" w:eastAsia="Arial" w:hAnsi="Arial"/>
                <w:sz w:val="14"/>
                <w:szCs w:val="14"/>
                <w:color w:val="auto"/>
              </w:rPr>
              <w:t>(2,694,643)</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(3,082,942)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87"/>
              </w:rPr>
              <w:t>Nine Months Ended June 30, 2012</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84"/>
              </w:rPr>
              <w:t>Second lien,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subordinated debt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91"/>
              </w:rPr>
              <w:t>First Lien</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gridSpan w:val="4"/>
          </w:tcPr>
          <w:p>
            <w:pPr>
              <w:spacing w:after="0" w:line="148" w:lineRule="exact"/>
              <w:rPr>
                <w:sz w:val="20"/>
                <w:szCs w:val="20"/>
                <w:color w:val="auto"/>
              </w:rPr>
            </w:pPr>
            <w:r>
              <w:rPr>
                <w:rFonts w:ascii="Arial" w:cs="Arial" w:eastAsia="Arial" w:hAnsi="Arial"/>
                <w:sz w:val="14"/>
                <w:szCs w:val="14"/>
                <w:b w:val="1"/>
                <w:bCs w:val="1"/>
                <w:color w:val="auto"/>
              </w:rPr>
              <w:t>and equity investments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71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Beginning Balance, September 30, 2011</w:t>
            </w:r>
          </w:p>
        </w:tc>
        <w:tc>
          <w:tcPr>
            <w:tcW w:w="260" w:type="dxa"/>
            <w:vAlign w:val="bottom"/>
            <w:gridSpan w:val="2"/>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89,329,379</w:t>
            </w:r>
          </w:p>
        </w:tc>
        <w:tc>
          <w:tcPr>
            <w:tcW w:w="1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spacing w:after="0"/>
              <w:rPr>
                <w:sz w:val="11"/>
                <w:szCs w:val="11"/>
                <w:color w:val="auto"/>
              </w:rPr>
            </w:pPr>
          </w:p>
        </w:tc>
        <w:tc>
          <w:tcPr>
            <w:tcW w:w="10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rPr>
              <w:t>18,206,115</w:t>
            </w: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7"/>
              </w:rPr>
              <w:t>107,535,494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Realized gains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460,977</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160,181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621,158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appreciation</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1,687,829</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804,825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2,492,654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Purchases, PIK and net discount accretion</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90,634,426</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5,431,216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96,065,642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 repayments</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(45,371,493)</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(9,603,105)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(54,974,598)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June 30, 2012</w:t>
            </w:r>
          </w:p>
        </w:tc>
        <w:tc>
          <w:tcPr>
            <w:tcW w:w="3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136,741,118</w:t>
            </w:r>
          </w:p>
        </w:tc>
        <w:tc>
          <w:tcPr>
            <w:tcW w:w="100" w:type="dxa"/>
            <w:vAlign w:val="bottom"/>
            <w:shd w:val="clear" w:color="auto" w:fill="CCEEFF"/>
          </w:tcPr>
          <w:p>
            <w:pPr>
              <w:spacing w:after="0"/>
              <w:rPr>
                <w:sz w:val="12"/>
                <w:szCs w:val="12"/>
                <w:color w:val="auto"/>
              </w:rPr>
            </w:pPr>
          </w:p>
        </w:tc>
        <w:tc>
          <w:tcPr>
            <w:tcW w:w="50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14,999,232</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7"/>
              </w:rPr>
              <w:t>151,740,350</w:t>
            </w: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Arial" w:cs="Arial" w:eastAsia="Arial" w:hAnsi="Arial"/>
                <w:sz w:val="14"/>
                <w:szCs w:val="14"/>
                <w:color w:val="auto"/>
                <w:w w:val="98"/>
              </w:rPr>
              <w:t>Net change in unrealized appreciation reported within the net change in unrealized appreciation on investments in our</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1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1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Consolidated Statement of Operations attributable to our Level 3 assets still held at the reporting date.</w:t>
            </w:r>
          </w:p>
        </w:tc>
        <w:tc>
          <w:tcPr>
            <w:tcW w:w="3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2,168,199</w:t>
            </w:r>
          </w:p>
        </w:tc>
        <w:tc>
          <w:tcPr>
            <w:tcW w:w="100" w:type="dxa"/>
            <w:vAlign w:val="bottom"/>
          </w:tcPr>
          <w:p>
            <w:pPr>
              <w:spacing w:after="0"/>
              <w:rPr>
                <w:sz w:val="13"/>
                <w:szCs w:val="13"/>
                <w:color w:val="auto"/>
              </w:rPr>
            </w:pPr>
          </w:p>
        </w:tc>
        <w:tc>
          <w:tcPr>
            <w:tcW w:w="50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w:t>
            </w:r>
          </w:p>
        </w:tc>
        <w:tc>
          <w:tcPr>
            <w:tcW w:w="1720" w:type="dxa"/>
            <w:vAlign w:val="bottom"/>
            <w:gridSpan w:val="3"/>
          </w:tcPr>
          <w:p>
            <w:pPr>
              <w:jc w:val="right"/>
              <w:ind w:right="480"/>
              <w:spacing w:after="0" w:line="159" w:lineRule="exact"/>
              <w:rPr>
                <w:sz w:val="20"/>
                <w:szCs w:val="20"/>
                <w:color w:val="auto"/>
              </w:rPr>
            </w:pPr>
            <w:r>
              <w:rPr>
                <w:rFonts w:ascii="Arial" w:cs="Arial" w:eastAsia="Arial" w:hAnsi="Arial"/>
                <w:sz w:val="14"/>
                <w:szCs w:val="14"/>
                <w:color w:val="auto"/>
              </w:rPr>
              <w:t>807,232</w:t>
            </w:r>
          </w:p>
        </w:tc>
        <w:tc>
          <w:tcPr>
            <w:tcW w:w="10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2,975,431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60" w:type="dxa"/>
            <w:vAlign w:val="bottom"/>
            <w:vMerge w:val="restart"/>
          </w:tcPr>
          <w:p>
            <w:pPr>
              <w:ind w:left="4860"/>
              <w:spacing w:after="0"/>
              <w:rPr>
                <w:sz w:val="20"/>
                <w:szCs w:val="20"/>
                <w:color w:val="auto"/>
              </w:rPr>
            </w:pPr>
            <w:r>
              <w:rPr>
                <w:rFonts w:ascii="Arial" w:cs="Arial" w:eastAsia="Arial" w:hAnsi="Arial"/>
                <w:sz w:val="14"/>
                <w:szCs w:val="14"/>
                <w:color w:val="auto"/>
              </w:rPr>
              <w:t>F-43</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JUNE 30, 2013</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table shows a reconciliation of the beginning and ending balances for fair valued liabilities measured using significant unobservable inputs (Level 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Carrying/Fair Value</w:t>
            </w:r>
          </w:p>
        </w:tc>
        <w:tc>
          <w:tcPr>
            <w:tcW w:w="0" w:type="dxa"/>
            <w:vAlign w:val="bottom"/>
          </w:tcPr>
          <w:p>
            <w:pPr>
              <w:spacing w:after="0"/>
              <w:rPr>
                <w:sz w:val="1"/>
                <w:szCs w:val="1"/>
                <w:color w:val="auto"/>
              </w:rPr>
            </w:pPr>
          </w:p>
        </w:tc>
      </w:tr>
      <w:tr>
        <w:trPr>
          <w:trHeight w:val="161"/>
        </w:trPr>
        <w:tc>
          <w:tcPr>
            <w:tcW w:w="7280" w:type="dxa"/>
            <w:vAlign w:val="bottom"/>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6"/>
              </w:rPr>
              <w:t>Nine Months Ended June 30,</w:t>
            </w:r>
          </w:p>
        </w:tc>
        <w:tc>
          <w:tcPr>
            <w:tcW w:w="0" w:type="dxa"/>
            <w:vAlign w:val="bottom"/>
          </w:tcPr>
          <w:p>
            <w:pPr>
              <w:spacing w:after="0"/>
              <w:rPr>
                <w:sz w:val="1"/>
                <w:szCs w:val="1"/>
                <w:color w:val="auto"/>
              </w:rPr>
            </w:pPr>
          </w:p>
        </w:tc>
      </w:tr>
      <w:tr>
        <w:trPr>
          <w:trHeight w:val="142"/>
        </w:trPr>
        <w:tc>
          <w:tcPr>
            <w:tcW w:w="728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Beginning Balance, September 30, 2012 and 2011, respectively (cost – $75,500,000 and $24,650,000, respectively)</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75,122,500</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24,650,000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80" w:type="dxa"/>
            <w:vAlign w:val="bottom"/>
          </w:tcPr>
          <w:p>
            <w:pPr>
              <w:ind w:left="440"/>
              <w:spacing w:after="0" w:line="149" w:lineRule="exact"/>
              <w:rPr>
                <w:sz w:val="20"/>
                <w:szCs w:val="20"/>
                <w:color w:val="auto"/>
              </w:rPr>
            </w:pPr>
            <w:r>
              <w:rPr>
                <w:rFonts w:ascii="Arial" w:cs="Arial" w:eastAsia="Arial" w:hAnsi="Arial"/>
                <w:sz w:val="14"/>
                <w:szCs w:val="14"/>
                <w:color w:val="auto"/>
              </w:rPr>
              <w:t>Total unrealized appreciation (depreciation) included in earnings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377,500</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(272,000)</w:t>
            </w:r>
          </w:p>
        </w:tc>
        <w:tc>
          <w:tcPr>
            <w:tcW w:w="0" w:type="dxa"/>
            <w:vAlign w:val="bottom"/>
          </w:tcPr>
          <w:p>
            <w:pPr>
              <w:spacing w:after="0"/>
              <w:rPr>
                <w:sz w:val="1"/>
                <w:szCs w:val="1"/>
                <w:color w:val="auto"/>
              </w:rPr>
            </w:pPr>
          </w:p>
        </w:tc>
      </w:tr>
      <w:tr>
        <w:trPr>
          <w:trHeight w:val="149"/>
        </w:trPr>
        <w:tc>
          <w:tcPr>
            <w:tcW w:w="7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Borrowings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121,450,000</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71,450,000</w:t>
            </w:r>
          </w:p>
        </w:tc>
        <w:tc>
          <w:tcPr>
            <w:tcW w:w="0" w:type="dxa"/>
            <w:vAlign w:val="bottom"/>
          </w:tcPr>
          <w:p>
            <w:pPr>
              <w:spacing w:after="0"/>
              <w:rPr>
                <w:sz w:val="1"/>
                <w:szCs w:val="1"/>
                <w:color w:val="auto"/>
              </w:rPr>
            </w:pPr>
          </w:p>
        </w:tc>
      </w:tr>
      <w:tr>
        <w:trPr>
          <w:trHeight w:val="149"/>
        </w:trPr>
        <w:tc>
          <w:tcPr>
            <w:tcW w:w="7280" w:type="dxa"/>
            <w:vAlign w:val="bottom"/>
          </w:tcPr>
          <w:p>
            <w:pPr>
              <w:ind w:left="440"/>
              <w:spacing w:after="0" w:line="149" w:lineRule="exact"/>
              <w:rPr>
                <w:sz w:val="20"/>
                <w:szCs w:val="20"/>
                <w:color w:val="auto"/>
              </w:rPr>
            </w:pPr>
            <w:r>
              <w:rPr>
                <w:rFonts w:ascii="Arial" w:cs="Arial" w:eastAsia="Arial" w:hAnsi="Arial"/>
                <w:sz w:val="14"/>
                <w:szCs w:val="14"/>
                <w:color w:val="auto"/>
              </w:rPr>
              <w:t>Repayments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w w:val="84"/>
              </w:rPr>
              <w:t>(111,350,000)</w:t>
            </w:r>
          </w:p>
        </w:tc>
        <w:tc>
          <w:tcPr>
            <w:tcW w:w="1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8"/>
              </w:rPr>
              <w:t>(41,700,000)</w:t>
            </w:r>
          </w:p>
        </w:tc>
        <w:tc>
          <w:tcPr>
            <w:tcW w:w="0" w:type="dxa"/>
            <w:vAlign w:val="bottom"/>
          </w:tcPr>
          <w:p>
            <w:pPr>
              <w:spacing w:after="0"/>
              <w:rPr>
                <w:sz w:val="1"/>
                <w:szCs w:val="1"/>
                <w:color w:val="auto"/>
              </w:rPr>
            </w:pPr>
          </w:p>
        </w:tc>
      </w:tr>
      <w:tr>
        <w:trPr>
          <w:trHeight w:val="149"/>
        </w:trPr>
        <w:tc>
          <w:tcPr>
            <w:tcW w:w="7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280" w:type="dxa"/>
            <w:vAlign w:val="bottom"/>
          </w:tcPr>
          <w:p>
            <w:pPr>
              <w:spacing w:after="0" w:line="155" w:lineRule="exact"/>
              <w:rPr>
                <w:sz w:val="20"/>
                <w:szCs w:val="20"/>
                <w:color w:val="auto"/>
              </w:rPr>
            </w:pPr>
            <w:r>
              <w:rPr>
                <w:rFonts w:ascii="Arial" w:cs="Arial" w:eastAsia="Arial" w:hAnsi="Arial"/>
                <w:sz w:val="14"/>
                <w:szCs w:val="14"/>
                <w:color w:val="auto"/>
              </w:rPr>
              <w:t>Ending Balance, June 30, 2013 and 2012, respectively (cost – $85,600,000 and $54,400,000, respectively)</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85,600,000</w:t>
            </w:r>
          </w:p>
        </w:tc>
        <w:tc>
          <w:tcPr>
            <w:tcW w:w="6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1"/>
              </w:rPr>
              <w:t>54,128,000</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firstLine="799"/>
        <w:spacing w:after="0" w:line="265" w:lineRule="auto"/>
        <w:rPr>
          <w:sz w:val="20"/>
          <w:szCs w:val="20"/>
          <w:color w:val="auto"/>
        </w:rPr>
      </w:pPr>
      <w:r>
        <w:rPr>
          <w:rFonts w:ascii="Arial" w:cs="Arial" w:eastAsia="Arial" w:hAnsi="Arial"/>
          <w:sz w:val="12"/>
          <w:szCs w:val="12"/>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$0.5 million relating to amendment fees on the Credit Facility in the nine months ended June 30, 2013.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nine months ended June 30, 2013, we had a net change in unrealized appreciation of zero and $0.4 million, respectively. For the three and nine months ended June 30, 2012, we had a net change in unrealized appreciation of $0.1 million and $0.3 million, respectively. As of June 30, 2013 and September 30, 2012, the Credit Facility had unrealized depreciation of zero and $0.4 million, respectively. We use a nationally recognized independent valuation service to measure the fair value of the Credit Facility in a manner consistent with the valuation process that the board of directors uses to value our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CHANGE IN NET ASSETS FROM OPERATIONS PER COMMON SHARE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5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66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2"/>
                <w:szCs w:val="12"/>
                <w:color w:val="auto"/>
              </w:rPr>
            </w:pPr>
          </w:p>
        </w:tc>
      </w:tr>
      <w:tr>
        <w:trPr>
          <w:trHeight w:val="142"/>
        </w:trPr>
        <w:tc>
          <w:tcPr>
            <w:tcW w:w="56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in net assets resulting from operations</w:t>
            </w: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1,567,127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387,407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6,538,293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8,017,647</w:t>
            </w:r>
          </w:p>
        </w:tc>
        <w:tc>
          <w:tcPr>
            <w:tcW w:w="60" w:type="dxa"/>
            <w:vAlign w:val="bottom"/>
            <w:shd w:val="clear" w:color="auto" w:fill="CCEEFF"/>
          </w:tcPr>
          <w:p>
            <w:pPr>
              <w:spacing w:after="0"/>
              <w:rPr>
                <w:sz w:val="12"/>
                <w:szCs w:val="12"/>
                <w:color w:val="auto"/>
              </w:rPr>
            </w:pPr>
          </w:p>
        </w:tc>
      </w:tr>
      <w:tr>
        <w:trPr>
          <w:trHeight w:val="149"/>
        </w:trPr>
        <w:tc>
          <w:tcPr>
            <w:tcW w:w="566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5"/>
              </w:rPr>
              <w:t>10,302,918</w:t>
            </w: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3"/>
              </w:rPr>
              <w:t>6,850,667</w:t>
            </w: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3"/>
              </w:rPr>
              <w:t>8,067,406</w:t>
            </w: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3"/>
              </w:rPr>
              <w:t>6,850,667</w:t>
            </w:r>
          </w:p>
        </w:tc>
      </w:tr>
      <w:tr>
        <w:trPr>
          <w:trHeight w:val="149"/>
        </w:trPr>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in net assets per share resulting from operations</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0.15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0.06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0.81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CASH EQUIVALENTS</w:t>
      </w:r>
    </w:p>
    <w:p>
      <w:pPr>
        <w:spacing w:after="0" w:line="71" w:lineRule="exact"/>
        <w:rPr>
          <w:sz w:val="20"/>
          <w:szCs w:val="20"/>
          <w:color w:val="auto"/>
        </w:rPr>
      </w:pPr>
    </w:p>
    <w:p>
      <w:pPr>
        <w:ind w:firstLine="799"/>
        <w:spacing w:after="0" w:line="268" w:lineRule="auto"/>
        <w:rPr>
          <w:sz w:val="20"/>
          <w:szCs w:val="20"/>
          <w:color w:val="auto"/>
        </w:rPr>
      </w:pPr>
      <w:r>
        <w:rPr>
          <w:rFonts w:ascii="Arial" w:cs="Arial" w:eastAsia="Arial" w:hAnsi="Arial"/>
          <w:sz w:val="12"/>
          <w:szCs w:val="12"/>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June 30, 2013 and September 30, 2012, cash equivalents consisted of money market funds in the amounts of $6.9 million and $3.8 million, respectively.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F-44</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2" w:lineRule="auto"/>
        <w:rPr>
          <w:sz w:val="20"/>
          <w:szCs w:val="20"/>
          <w:color w:val="auto"/>
        </w:rPr>
      </w:pPr>
      <w:r>
        <w:rPr>
          <w:rFonts w:ascii="Arial" w:cs="Arial" w:eastAsia="Arial" w:hAnsi="Arial"/>
          <w:sz w:val="14"/>
          <w:szCs w:val="14"/>
          <w:b w:val="1"/>
          <w:bCs w:val="1"/>
          <w:color w:val="auto"/>
        </w:rPr>
        <w:t>JUNE 30, 2013</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FINANCIAL HIGHLIGHTS</w:t>
      </w:r>
    </w:p>
    <w:p>
      <w:pPr>
        <w:spacing w:after="0" w:line="71" w:lineRule="exact"/>
        <w:rPr>
          <w:sz w:val="20"/>
          <w:szCs w:val="20"/>
          <w:color w:val="auto"/>
        </w:rPr>
      </w:pPr>
    </w:p>
    <w:tbl>
      <w:tblPr>
        <w:tblLayout w:type="fixed"/>
        <w:tblInd w:w="800" w:type="dxa"/>
        <w:tblCellMar>
          <w:top w:w="0" w:type="dxa"/>
          <w:left w:w="0" w:type="dxa"/>
          <w:bottom w:w="0" w:type="dxa"/>
          <w:right w:w="0" w:type="dxa"/>
        </w:tblCellMar>
      </w:tblPr>
      <w:tr>
        <w:trPr>
          <w:trHeight w:val="172"/>
        </w:trPr>
        <w:tc>
          <w:tcPr>
            <w:tcW w:w="5640" w:type="dxa"/>
            <w:vAlign w:val="bottom"/>
            <w:gridSpan w:val="2"/>
          </w:tcPr>
          <w:p>
            <w:pPr>
              <w:spacing w:after="0"/>
              <w:rPr>
                <w:sz w:val="20"/>
                <w:szCs w:val="20"/>
                <w:color w:val="auto"/>
              </w:rPr>
            </w:pPr>
            <w:r>
              <w:rPr>
                <w:rFonts w:ascii="Arial" w:cs="Arial" w:eastAsia="Arial" w:hAnsi="Arial"/>
                <w:sz w:val="14"/>
                <w:szCs w:val="14"/>
                <w:color w:val="auto"/>
              </w:rPr>
              <w:t>Below are the financial highlights:</w:t>
            </w: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10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10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60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46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120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13.98</w:t>
            </w:r>
          </w:p>
        </w:tc>
        <w:tc>
          <w:tcPr>
            <w:tcW w:w="4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Net investment income </w:t>
            </w:r>
            <w:r>
              <w:rPr>
                <w:rFonts w:ascii="Arial" w:cs="Arial" w:eastAsia="Arial" w:hAnsi="Arial"/>
                <w:sz w:val="17"/>
                <w:szCs w:val="17"/>
                <w:color w:val="auto"/>
                <w:vertAlign w:val="superscript"/>
              </w:rPr>
              <w:t>(1)</w:t>
            </w:r>
          </w:p>
        </w:tc>
        <w:tc>
          <w:tcPr>
            <w:tcW w:w="1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0.86</w:t>
            </w:r>
          </w:p>
        </w:tc>
        <w:tc>
          <w:tcPr>
            <w:tcW w:w="4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600" w:type="dxa"/>
            <w:vAlign w:val="bottom"/>
          </w:tcPr>
          <w:p>
            <w:pPr>
              <w:spacing w:after="0" w:line="149" w:lineRule="exact"/>
              <w:rPr>
                <w:sz w:val="20"/>
                <w:szCs w:val="20"/>
                <w:color w:val="auto"/>
              </w:rPr>
            </w:pPr>
            <w:r>
              <w:rPr>
                <w:rFonts w:ascii="Arial" w:cs="Arial" w:eastAsia="Arial" w:hAnsi="Arial"/>
                <w:sz w:val="11"/>
                <w:szCs w:val="11"/>
                <w:color w:val="auto"/>
              </w:rPr>
              <w:t xml:space="preserve">Net change in realized and unrealized (loss) gain </w:t>
            </w:r>
            <w:r>
              <w:rPr>
                <w:rFonts w:ascii="Arial" w:cs="Arial" w:eastAsia="Arial" w:hAnsi="Arial"/>
                <w:sz w:val="17"/>
                <w:szCs w:val="17"/>
                <w:color w:val="auto"/>
                <w:vertAlign w:val="superscript"/>
              </w:rPr>
              <w:t>(1)</w:t>
            </w:r>
          </w:p>
        </w:tc>
        <w:tc>
          <w:tcPr>
            <w:tcW w:w="1200" w:type="dxa"/>
            <w:vAlign w:val="bottom"/>
          </w:tcPr>
          <w:p>
            <w:pPr>
              <w:spacing w:after="0"/>
              <w:rPr>
                <w:sz w:val="13"/>
                <w:szCs w:val="13"/>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(0.05)</w:t>
            </w:r>
          </w:p>
        </w:tc>
        <w:tc>
          <w:tcPr>
            <w:tcW w:w="8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0.47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Net increase in net assets resulting from operations </w:t>
            </w:r>
            <w:r>
              <w:rPr>
                <w:rFonts w:ascii="Arial" w:cs="Arial" w:eastAsia="Arial" w:hAnsi="Arial"/>
                <w:sz w:val="17"/>
                <w:szCs w:val="17"/>
                <w:color w:val="auto"/>
                <w:vertAlign w:val="superscript"/>
              </w:rPr>
              <w:t>(1)</w:t>
            </w:r>
          </w:p>
        </w:tc>
        <w:tc>
          <w:tcPr>
            <w:tcW w:w="1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0.81</w:t>
            </w:r>
          </w:p>
        </w:tc>
        <w:tc>
          <w:tcPr>
            <w:tcW w:w="4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1"/>
                <w:szCs w:val="11"/>
                <w:color w:val="auto"/>
              </w:rPr>
              <w:t xml:space="preserve">Distributions to stockholders </w:t>
            </w:r>
            <w:r>
              <w:rPr>
                <w:rFonts w:ascii="Arial" w:cs="Arial" w:eastAsia="Arial" w:hAnsi="Arial"/>
                <w:sz w:val="17"/>
                <w:szCs w:val="17"/>
                <w:color w:val="auto"/>
                <w:vertAlign w:val="superscript"/>
              </w:rPr>
              <w:t>(1), (2)</w:t>
            </w:r>
          </w:p>
        </w:tc>
        <w:tc>
          <w:tcPr>
            <w:tcW w:w="120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(0.76)</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(0.67)</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offering costs</w:t>
            </w:r>
          </w:p>
        </w:tc>
        <w:tc>
          <w:tcPr>
            <w:tcW w:w="120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(0.05)</w:t>
            </w:r>
          </w:p>
        </w:tc>
        <w:tc>
          <w:tcPr>
            <w:tcW w:w="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ind w:left="1040"/>
              <w:spacing w:after="0"/>
              <w:rPr>
                <w:sz w:val="20"/>
                <w:szCs w:val="20"/>
                <w:color w:val="auto"/>
              </w:rPr>
            </w:pPr>
            <w:r>
              <w:rPr>
                <w:rFonts w:ascii="Arial" w:cs="Arial" w:eastAsia="Arial" w:hAnsi="Arial"/>
                <w:sz w:val="14"/>
                <w:szCs w:val="14"/>
                <w:color w:val="auto"/>
              </w:rPr>
              <w:t>Net asset value, end of period</w:t>
            </w:r>
          </w:p>
        </w:tc>
        <w:tc>
          <w:tcPr>
            <w:tcW w:w="12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40" w:type="dxa"/>
            <w:vAlign w:val="bottom"/>
            <w:gridSpan w:val="2"/>
            <w:vMerge w:val="continue"/>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13.98</w:t>
            </w:r>
          </w:p>
        </w:tc>
        <w:tc>
          <w:tcPr>
            <w:tcW w:w="46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13.94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4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20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 share market value, end of period</w:t>
            </w: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14.14</w:t>
            </w:r>
          </w:p>
        </w:tc>
        <w:tc>
          <w:tcPr>
            <w:tcW w:w="4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600" w:type="dxa"/>
            <w:vAlign w:val="bottom"/>
            <w:vMerge w:val="restart"/>
          </w:tcPr>
          <w:p>
            <w:pPr>
              <w:spacing w:after="0" w:line="176" w:lineRule="exact"/>
              <w:rPr>
                <w:sz w:val="20"/>
                <w:szCs w:val="20"/>
                <w:color w:val="auto"/>
              </w:rPr>
            </w:pPr>
            <w:r>
              <w:rPr>
                <w:rFonts w:ascii="Arial" w:cs="Arial" w:eastAsia="Arial" w:hAnsi="Arial"/>
                <w:sz w:val="13"/>
                <w:szCs w:val="13"/>
                <w:color w:val="auto"/>
              </w:rPr>
              <w:t xml:space="preserve">Total return* </w:t>
            </w:r>
            <w:r>
              <w:rPr>
                <w:rFonts w:ascii="Arial" w:cs="Arial" w:eastAsia="Arial" w:hAnsi="Arial"/>
                <w:sz w:val="20"/>
                <w:szCs w:val="20"/>
                <w:color w:val="auto"/>
                <w:vertAlign w:val="superscript"/>
              </w:rPr>
              <w:t>(3)</w:t>
            </w:r>
          </w:p>
        </w:tc>
        <w:tc>
          <w:tcPr>
            <w:tcW w:w="12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40" w:type="dxa"/>
            <w:vAlign w:val="bottom"/>
          </w:tcPr>
          <w:p>
            <w:pPr>
              <w:spacing w:after="0"/>
              <w:rPr>
                <w:sz w:val="13"/>
                <w:szCs w:val="13"/>
                <w:color w:val="auto"/>
              </w:rPr>
            </w:pPr>
          </w:p>
        </w:tc>
        <w:tc>
          <w:tcPr>
            <w:tcW w:w="460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1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17.94%</w:t>
            </w:r>
          </w:p>
        </w:tc>
        <w:tc>
          <w:tcPr>
            <w:tcW w:w="80" w:type="dxa"/>
            <w:vAlign w:val="bottom"/>
          </w:tcPr>
          <w:p>
            <w:pPr>
              <w:spacing w:after="0"/>
              <w:rPr>
                <w:sz w:val="13"/>
                <w:szCs w:val="13"/>
                <w:color w:val="auto"/>
              </w:rPr>
            </w:pP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19.45%</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1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10,304,692</w:t>
            </w:r>
          </w:p>
        </w:tc>
        <w:tc>
          <w:tcPr>
            <w:tcW w:w="4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6,850,667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640" w:type="dxa"/>
            <w:vAlign w:val="bottom"/>
            <w:gridSpan w:val="2"/>
          </w:tcPr>
          <w:p>
            <w:pPr>
              <w:ind w:left="1040"/>
              <w:spacing w:after="0" w:line="155" w:lineRule="exact"/>
              <w:rPr>
                <w:sz w:val="20"/>
                <w:szCs w:val="20"/>
                <w:color w:val="auto"/>
              </w:rPr>
            </w:pPr>
            <w:r>
              <w:rPr>
                <w:rFonts w:ascii="Arial" w:cs="Arial" w:eastAsia="Arial" w:hAnsi="Arial"/>
                <w:sz w:val="14"/>
                <w:szCs w:val="14"/>
                <w:b w:val="1"/>
                <w:bCs w:val="1"/>
                <w:color w:val="auto"/>
              </w:rPr>
              <w:t>Ratios ** / Supplemental Data:</w:t>
            </w:r>
          </w:p>
        </w:tc>
        <w:tc>
          <w:tcPr>
            <w:tcW w:w="1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Ratio of operating expenses to average net assets </w:t>
            </w:r>
            <w:r>
              <w:rPr>
                <w:rFonts w:ascii="Arial" w:cs="Arial" w:eastAsia="Arial" w:hAnsi="Arial"/>
                <w:sz w:val="17"/>
                <w:szCs w:val="17"/>
                <w:color w:val="auto"/>
                <w:vertAlign w:val="superscript"/>
              </w:rPr>
              <w:t>(4)</w:t>
            </w:r>
          </w:p>
        </w:tc>
        <w:tc>
          <w:tcPr>
            <w:tcW w:w="120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4.70%</w:t>
            </w:r>
          </w:p>
        </w:tc>
        <w:tc>
          <w:tcPr>
            <w:tcW w:w="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1"/>
                <w:szCs w:val="11"/>
                <w:color w:val="auto"/>
              </w:rPr>
              <w:t xml:space="preserve">Ratio of Credit Facility related expenses to average net assets </w:t>
            </w:r>
            <w:r>
              <w:rPr>
                <w:rFonts w:ascii="Arial" w:cs="Arial" w:eastAsia="Arial" w:hAnsi="Arial"/>
                <w:sz w:val="17"/>
                <w:szCs w:val="17"/>
                <w:color w:val="auto"/>
                <w:vertAlign w:val="superscript"/>
              </w:rPr>
              <w:t>(5)</w:t>
            </w:r>
          </w:p>
        </w:tc>
        <w:tc>
          <w:tcPr>
            <w:tcW w:w="120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1.90%</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7"/>
        </w:trPr>
        <w:tc>
          <w:tcPr>
            <w:tcW w:w="104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20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total expenses to average net assets</w:t>
            </w:r>
          </w:p>
        </w:tc>
        <w:tc>
          <w:tcPr>
            <w:tcW w:w="120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6.60%</w:t>
            </w:r>
          </w:p>
        </w:tc>
        <w:tc>
          <w:tcPr>
            <w:tcW w:w="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120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8.03%</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assets at end of period</w:t>
            </w: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144,093,126</w:t>
            </w:r>
          </w:p>
        </w:tc>
        <w:tc>
          <w:tcPr>
            <w:tcW w:w="4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95,499,807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ind w:left="1040"/>
              <w:spacing w:after="0"/>
              <w:rPr>
                <w:sz w:val="20"/>
                <w:szCs w:val="20"/>
                <w:color w:val="auto"/>
              </w:rPr>
            </w:pPr>
            <w:r>
              <w:rPr>
                <w:rFonts w:ascii="Arial" w:cs="Arial" w:eastAsia="Arial" w:hAnsi="Arial"/>
                <w:sz w:val="14"/>
                <w:szCs w:val="14"/>
                <w:color w:val="auto"/>
              </w:rPr>
              <w:t>Average debt outstanding</w:t>
            </w:r>
          </w:p>
        </w:tc>
        <w:tc>
          <w:tcPr>
            <w:tcW w:w="12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40" w:type="dxa"/>
            <w:vAlign w:val="bottom"/>
            <w:gridSpan w:val="2"/>
            <w:vMerge w:val="continue"/>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1"/>
              </w:rPr>
              <w:t>66,821,154</w:t>
            </w:r>
          </w:p>
        </w:tc>
        <w:tc>
          <w:tcPr>
            <w:tcW w:w="46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82"/>
              </w:rPr>
              <w:t>40,176,277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4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20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Average debt per share </w:t>
            </w:r>
            <w:r>
              <w:rPr>
                <w:rFonts w:ascii="Arial" w:cs="Arial" w:eastAsia="Arial" w:hAnsi="Arial"/>
                <w:sz w:val="17"/>
                <w:szCs w:val="17"/>
                <w:color w:val="auto"/>
                <w:vertAlign w:val="superscript"/>
              </w:rPr>
              <w:t>(1)</w:t>
            </w: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w:t>
            </w:r>
          </w:p>
        </w:tc>
        <w:tc>
          <w:tcPr>
            <w:tcW w:w="4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120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color w:val="auto"/>
              </w:rPr>
              <w:t>85.26%</w:t>
            </w:r>
          </w:p>
        </w:tc>
        <w:tc>
          <w:tcPr>
            <w:tcW w:w="8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56.90%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151765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4" w:lineRule="exact"/>
        <w:rPr>
          <w:sz w:val="20"/>
          <w:szCs w:val="20"/>
          <w:color w:val="auto"/>
        </w:rPr>
      </w:pPr>
    </w:p>
    <w:p>
      <w:pPr>
        <w:ind w:right="8720" w:firstLine="8"/>
        <w:spacing w:after="0" w:line="268" w:lineRule="auto"/>
        <w:tabs>
          <w:tab w:leader="none" w:pos="216" w:val="left"/>
        </w:tabs>
        <w:numPr>
          <w:ilvl w:val="0"/>
          <w:numId w:val="80"/>
        </w:numPr>
        <w:rPr>
          <w:rFonts w:ascii="Arial" w:cs="Arial" w:eastAsia="Arial" w:hAnsi="Arial"/>
          <w:sz w:val="12"/>
          <w:szCs w:val="12"/>
          <w:color w:val="auto"/>
        </w:rPr>
      </w:pPr>
      <w:r>
        <w:rPr>
          <w:rFonts w:ascii="Arial" w:cs="Arial" w:eastAsia="Arial" w:hAnsi="Arial"/>
          <w:sz w:val="12"/>
          <w:szCs w:val="12"/>
          <w:color w:val="auto"/>
        </w:rPr>
        <w:t>Not annualized for periods less than one year. ** Annualized for periods less than one year.</w:t>
      </w:r>
    </w:p>
    <w:p>
      <w:pPr>
        <w:spacing w:after="0" w:line="182" w:lineRule="auto"/>
        <w:rPr>
          <w:rFonts w:ascii="Arial" w:cs="Arial" w:eastAsia="Arial" w:hAnsi="Arial"/>
          <w:sz w:val="12"/>
          <w:szCs w:val="12"/>
          <w:color w:val="auto"/>
        </w:rPr>
      </w:pPr>
      <w:r>
        <w:rPr>
          <w:rFonts w:ascii="Arial" w:cs="Arial" w:eastAsia="Arial" w:hAnsi="Arial"/>
          <w:sz w:val="17"/>
          <w:szCs w:val="17"/>
          <w:color w:val="auto"/>
          <w:vertAlign w:val="superscript"/>
        </w:rPr>
        <w:t>(1)</w:t>
      </w:r>
      <w:r>
        <w:rPr>
          <w:rFonts w:ascii="Arial" w:cs="Arial" w:eastAsia="Arial" w:hAnsi="Arial"/>
          <w:sz w:val="11"/>
          <w:szCs w:val="11"/>
          <w:color w:val="auto"/>
        </w:rPr>
        <w:t xml:space="preserve">  Per share data are calculated based on the weighted average shares outstanding for the respective periods.</w:t>
      </w:r>
    </w:p>
    <w:p>
      <w:pPr>
        <w:spacing w:after="0" w:line="182" w:lineRule="auto"/>
        <w:rPr>
          <w:rFonts w:ascii="Arial" w:cs="Arial" w:eastAsia="Arial" w:hAnsi="Arial"/>
          <w:sz w:val="12"/>
          <w:szCs w:val="12"/>
          <w:color w:val="auto"/>
        </w:rPr>
      </w:pPr>
      <w:r>
        <w:rPr>
          <w:rFonts w:ascii="Arial" w:cs="Arial" w:eastAsia="Arial" w:hAnsi="Arial"/>
          <w:sz w:val="17"/>
          <w:szCs w:val="17"/>
          <w:color w:val="auto"/>
          <w:vertAlign w:val="superscript"/>
        </w:rPr>
        <w:t>(2)</w:t>
      </w:r>
      <w:r>
        <w:rPr>
          <w:rFonts w:ascii="Arial" w:cs="Arial" w:eastAsia="Arial" w:hAnsi="Arial"/>
          <w:sz w:val="11"/>
          <w:szCs w:val="11"/>
          <w:color w:val="auto"/>
        </w:rPr>
        <w:t xml:space="preserve">  Distributions and dividends are determined based on taxable income calculated in accordance with income tax regulations, which may differ from amounts determined under GAAP.</w:t>
      </w:r>
    </w:p>
    <w:p>
      <w:pPr>
        <w:spacing w:after="0" w:line="182" w:lineRule="auto"/>
        <w:rPr>
          <w:rFonts w:ascii="Arial" w:cs="Arial" w:eastAsia="Arial" w:hAnsi="Arial"/>
          <w:sz w:val="12"/>
          <w:szCs w:val="12"/>
          <w:color w:val="auto"/>
        </w:rPr>
      </w:pPr>
      <w:r>
        <w:rPr>
          <w:rFonts w:ascii="Arial" w:cs="Arial" w:eastAsia="Arial" w:hAnsi="Arial"/>
          <w:sz w:val="17"/>
          <w:szCs w:val="17"/>
          <w:color w:val="auto"/>
          <w:vertAlign w:val="superscript"/>
        </w:rPr>
        <w:t>(3)</w:t>
      </w:r>
      <w:r>
        <w:rPr>
          <w:rFonts w:ascii="Arial" w:cs="Arial" w:eastAsia="Arial" w:hAnsi="Arial"/>
          <w:sz w:val="11"/>
          <w:szCs w:val="11"/>
          <w:color w:val="auto"/>
        </w:rPr>
        <w:t xml:space="preserve">  Total return is based on the change in market price per share during the period and takes into account dividends and distributions, if any, reinvested in accordance with our dividend reinvestment plan.</w:t>
      </w:r>
    </w:p>
    <w:p>
      <w:pPr>
        <w:spacing w:after="0" w:line="182" w:lineRule="auto"/>
        <w:rPr>
          <w:rFonts w:ascii="Arial" w:cs="Arial" w:eastAsia="Arial" w:hAnsi="Arial"/>
          <w:sz w:val="12"/>
          <w:szCs w:val="12"/>
          <w:color w:val="auto"/>
        </w:rPr>
      </w:pPr>
      <w:r>
        <w:rPr>
          <w:rFonts w:ascii="Arial" w:cs="Arial" w:eastAsia="Arial" w:hAnsi="Arial"/>
          <w:sz w:val="17"/>
          <w:szCs w:val="17"/>
          <w:color w:val="auto"/>
          <w:vertAlign w:val="superscript"/>
        </w:rPr>
        <w:t>(4)</w:t>
      </w:r>
      <w:r>
        <w:rPr>
          <w:rFonts w:ascii="Arial" w:cs="Arial" w:eastAsia="Arial" w:hAnsi="Arial"/>
          <w:sz w:val="11"/>
          <w:szCs w:val="11"/>
          <w:color w:val="auto"/>
        </w:rPr>
        <w:t xml:space="preserve">  Operating expenses exclude Credit Facility amendment costs.</w:t>
      </w:r>
    </w:p>
    <w:p>
      <w:pPr>
        <w:spacing w:after="0" w:line="223" w:lineRule="auto"/>
        <w:rPr>
          <w:rFonts w:ascii="Arial" w:cs="Arial" w:eastAsia="Arial" w:hAnsi="Arial"/>
          <w:sz w:val="12"/>
          <w:szCs w:val="12"/>
          <w:color w:val="auto"/>
        </w:rPr>
      </w:pPr>
      <w:r>
        <w:rPr>
          <w:rFonts w:ascii="Arial" w:cs="Arial" w:eastAsia="Arial" w:hAnsi="Arial"/>
          <w:sz w:val="22"/>
          <w:szCs w:val="22"/>
          <w:color w:val="auto"/>
          <w:vertAlign w:val="superscript"/>
        </w:rPr>
        <w:t>(5)</w:t>
      </w:r>
      <w:r>
        <w:rPr>
          <w:rFonts w:ascii="Arial" w:cs="Arial" w:eastAsia="Arial" w:hAnsi="Arial"/>
          <w:sz w:val="14"/>
          <w:szCs w:val="14"/>
          <w:color w:val="auto"/>
        </w:rPr>
        <w:t xml:space="preserve">  Ratio does not annualize Credit Facility amendment costs.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CREDIT FACILITY</w:t>
      </w:r>
    </w:p>
    <w:p>
      <w:pPr>
        <w:spacing w:after="0" w:line="71" w:lineRule="exact"/>
        <w:rPr>
          <w:sz w:val="20"/>
          <w:szCs w:val="20"/>
          <w:color w:val="auto"/>
        </w:rPr>
      </w:pPr>
    </w:p>
    <w:p>
      <w:pPr>
        <w:ind w:firstLine="799"/>
        <w:spacing w:after="0" w:line="288" w:lineRule="auto"/>
        <w:rPr>
          <w:sz w:val="20"/>
          <w:szCs w:val="20"/>
          <w:color w:val="auto"/>
        </w:rPr>
      </w:pPr>
      <w:r>
        <w:rPr>
          <w:rFonts w:ascii="Arial" w:cs="Arial" w:eastAsia="Arial" w:hAnsi="Arial"/>
          <w:sz w:val="12"/>
          <w:szCs w:val="12"/>
          <w:color w:val="auto"/>
        </w:rPr>
        <w:t>Funding I’s Credit Facility with SunTrust Bank, or the Lender, is $125 million, subject to satisfaction of certain conditions and the regulatory restrictions that the 1940 Act imposes on us as a BDC, has an interest rate spread above LIBOR of 200 basis points, a maturity date of May 2018 and a revolving period (as defined below) of May 2016. As of June 30, 2013 and September 30, 2012, Funding I had $85.6 million and $75.5 million of outstanding borrowings under the Credit Facility, respectively, and carried an interest rate of 2.20% and 2.47%, respectively, excluding the 0.375% undrawn commitment fee.</w:t>
      </w:r>
    </w:p>
    <w:p>
      <w:pPr>
        <w:spacing w:after="0" w:line="111" w:lineRule="exact"/>
        <w:rPr>
          <w:sz w:val="20"/>
          <w:szCs w:val="20"/>
          <w:color w:val="auto"/>
        </w:rPr>
      </w:pPr>
    </w:p>
    <w:p>
      <w:pPr>
        <w:ind w:right="40" w:firstLine="799"/>
        <w:spacing w:after="0" w:line="288" w:lineRule="auto"/>
        <w:rPr>
          <w:sz w:val="20"/>
          <w:szCs w:val="20"/>
          <w:color w:val="auto"/>
        </w:rPr>
      </w:pPr>
      <w:r>
        <w:rPr>
          <w:rFonts w:ascii="Arial" w:cs="Arial" w:eastAsia="Arial" w:hAnsi="Arial"/>
          <w:sz w:val="12"/>
          <w:szCs w:val="12"/>
          <w:color w:val="auto"/>
        </w:rPr>
        <w:t>Until May 2016, or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F-45</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JUNE 30, 2013</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100" w:firstLine="799"/>
        <w:spacing w:after="0" w:line="230" w:lineRule="auto"/>
        <w:rPr>
          <w:sz w:val="20"/>
          <w:szCs w:val="20"/>
          <w:color w:val="auto"/>
        </w:rPr>
      </w:pPr>
      <w:r>
        <w:rPr>
          <w:rFonts w:ascii="Arial" w:cs="Arial" w:eastAsia="Arial" w:hAnsi="Arial"/>
          <w:sz w:val="14"/>
          <w:szCs w:val="14"/>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w:t>
      </w:r>
    </w:p>
    <w:p>
      <w:pPr>
        <w:spacing w:after="0" w:line="139" w:lineRule="exact"/>
        <w:rPr>
          <w:sz w:val="20"/>
          <w:szCs w:val="20"/>
          <w:color w:val="auto"/>
        </w:rPr>
      </w:pPr>
    </w:p>
    <w:p>
      <w:pPr>
        <w:ind w:right="100" w:firstLine="799"/>
        <w:spacing w:after="0" w:line="318" w:lineRule="auto"/>
        <w:rPr>
          <w:sz w:val="20"/>
          <w:szCs w:val="20"/>
          <w:color w:val="auto"/>
        </w:rPr>
      </w:pPr>
      <w:r>
        <w:rPr>
          <w:rFonts w:ascii="Arial" w:cs="Arial" w:eastAsia="Arial" w:hAnsi="Arial"/>
          <w:sz w:val="12"/>
          <w:szCs w:val="12"/>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94" w:lineRule="exact"/>
        <w:rPr>
          <w:sz w:val="20"/>
          <w:szCs w:val="20"/>
          <w:color w:val="auto"/>
        </w:rPr>
      </w:pPr>
    </w:p>
    <w:p>
      <w:pPr>
        <w:ind w:right="120" w:firstLine="799"/>
        <w:spacing w:after="0" w:line="230"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The Investment Adviser has irrevocably directed that all management fee owing with respect to such services are to be paid to the Company so long as the Investment Adviser remains the collateral manager.</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COMMITMENTS AND CONTINGENCIES</w:t>
      </w:r>
    </w:p>
    <w:p>
      <w:pPr>
        <w:spacing w:after="0" w:line="71" w:lineRule="exact"/>
        <w:rPr>
          <w:sz w:val="20"/>
          <w:szCs w:val="20"/>
          <w:color w:val="auto"/>
        </w:rPr>
      </w:pPr>
    </w:p>
    <w:p>
      <w:pPr>
        <w:jc w:val="both"/>
        <w:ind w:firstLine="799"/>
        <w:spacing w:after="0" w:line="288" w:lineRule="auto"/>
        <w:rPr>
          <w:sz w:val="20"/>
          <w:szCs w:val="20"/>
          <w:color w:val="auto"/>
        </w:rPr>
      </w:pPr>
      <w:r>
        <w:rPr>
          <w:rFonts w:ascii="Arial" w:cs="Arial" w:eastAsia="Arial" w:hAnsi="Arial"/>
          <w:sz w:val="12"/>
          <w:szCs w:val="12"/>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if any.</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SUBSEQUENT EVENTS</w:t>
      </w:r>
    </w:p>
    <w:p>
      <w:pPr>
        <w:spacing w:after="0" w:line="71" w:lineRule="exact"/>
        <w:rPr>
          <w:sz w:val="20"/>
          <w:szCs w:val="20"/>
          <w:color w:val="auto"/>
        </w:rPr>
      </w:pPr>
    </w:p>
    <w:p>
      <w:pPr>
        <w:ind w:right="320" w:firstLine="799"/>
        <w:spacing w:after="0" w:line="239" w:lineRule="auto"/>
        <w:rPr>
          <w:sz w:val="20"/>
          <w:szCs w:val="20"/>
          <w:color w:val="auto"/>
        </w:rPr>
      </w:pPr>
      <w:r>
        <w:rPr>
          <w:rFonts w:ascii="Arial" w:cs="Arial" w:eastAsia="Arial" w:hAnsi="Arial"/>
          <w:sz w:val="14"/>
          <w:szCs w:val="14"/>
          <w:color w:val="auto"/>
        </w:rPr>
        <w:t>In connection with our July 16, 2013 public offering, we issued approximately 4.6 million shares (including underwriters’ overallotment option) of common stock at a public offering price of $14.20 per share, raising approximately $65.2 million in gross proceeds.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F-46</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C</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OTHER INFORMATION</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25.</w:t>
      </w:r>
      <w:r>
        <w:rPr>
          <w:sz w:val="20"/>
          <w:szCs w:val="20"/>
          <w:color w:val="auto"/>
        </w:rPr>
        <w:tab/>
      </w:r>
      <w:r>
        <w:rPr>
          <w:rFonts w:ascii="Arial" w:cs="Arial" w:eastAsia="Arial" w:hAnsi="Arial"/>
          <w:sz w:val="11"/>
          <w:szCs w:val="11"/>
          <w:b w:val="1"/>
          <w:bCs w:val="1"/>
          <w:color w:val="auto"/>
        </w:rPr>
        <w:t>Financial statements and exhibits</w:t>
      </w:r>
    </w:p>
    <w:p>
      <w:pPr>
        <w:spacing w:after="0" w:line="192" w:lineRule="exact"/>
        <w:rPr>
          <w:sz w:val="20"/>
          <w:szCs w:val="20"/>
          <w:color w:val="auto"/>
        </w:rPr>
      </w:pPr>
    </w:p>
    <w:p>
      <w:pPr>
        <w:ind w:left="660" w:hanging="524"/>
        <w:spacing w:after="0"/>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i w:val="1"/>
          <w:iCs w:val="1"/>
          <w:color w:val="auto"/>
        </w:rPr>
        <w:t>Financial Statements</w:t>
      </w:r>
    </w:p>
    <w:p>
      <w:pPr>
        <w:spacing w:after="0" w:line="203"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color w:val="auto"/>
        </w:rPr>
        <w:t>The Index to Consolidated Financial Statements on page F-1 of this Registration Statement is hereby incorporated by reference.</w:t>
      </w:r>
    </w:p>
    <w:p>
      <w:pPr>
        <w:spacing w:after="0" w:line="204" w:lineRule="exact"/>
        <w:rPr>
          <w:sz w:val="20"/>
          <w:szCs w:val="20"/>
          <w:color w:val="auto"/>
        </w:rPr>
      </w:pPr>
    </w:p>
    <w:p>
      <w:pPr>
        <w:ind w:left="660" w:hanging="524"/>
        <w:spacing w:after="0"/>
        <w:tabs>
          <w:tab w:leader="none" w:pos="6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Exhibits.</w:t>
      </w:r>
    </w:p>
    <w:p>
      <w:pPr>
        <w:spacing w:after="0" w:line="163" w:lineRule="exact"/>
        <w:rPr>
          <w:sz w:val="20"/>
          <w:szCs w:val="20"/>
          <w:color w:val="auto"/>
        </w:rPr>
      </w:pPr>
    </w:p>
    <w:p>
      <w:pPr>
        <w:ind w:left="660" w:right="420" w:hanging="565"/>
        <w:spacing w:after="0" w:line="239" w:lineRule="auto"/>
        <w:tabs>
          <w:tab w:leader="none" w:pos="6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Articles of Amendment and Restatement of the Registrant (Incorporated by reference to Exhibit 99(A) to the Registrant’s Registration Statement on Form N-2 (File No. 333-170243), filed on March 29, 2011).</w:t>
      </w:r>
    </w:p>
    <w:p>
      <w:pPr>
        <w:spacing w:after="0" w:line="152" w:lineRule="exact"/>
        <w:rPr>
          <w:rFonts w:ascii="Arial" w:cs="Arial" w:eastAsia="Arial" w:hAnsi="Arial"/>
          <w:sz w:val="14"/>
          <w:szCs w:val="14"/>
          <w:color w:val="auto"/>
        </w:rPr>
      </w:pPr>
    </w:p>
    <w:p>
      <w:pPr>
        <w:ind w:left="660" w:hanging="569"/>
        <w:spacing w:after="0"/>
        <w:tabs>
          <w:tab w:leader="none" w:pos="660" w:val="left"/>
        </w:tabs>
        <w:numPr>
          <w:ilvl w:val="0"/>
          <w:numId w:val="83"/>
        </w:numPr>
        <w:rPr>
          <w:rFonts w:ascii="Arial" w:cs="Arial" w:eastAsia="Arial" w:hAnsi="Arial"/>
          <w:sz w:val="12"/>
          <w:szCs w:val="12"/>
          <w:color w:val="auto"/>
        </w:rPr>
      </w:pPr>
      <w:r>
        <w:rPr>
          <w:rFonts w:ascii="Arial" w:cs="Arial" w:eastAsia="Arial" w:hAnsi="Arial"/>
          <w:sz w:val="12"/>
          <w:szCs w:val="12"/>
          <w:color w:val="auto"/>
        </w:rPr>
        <w:t>Amended and Restated Bylaws of the Registrant (Incorporated by reference to Exhibit 3.2 to the Registrant’s Quarterly Report on Form 10-Q (File No. 814-00891), filed on May 3, 2012).</w:t>
      </w:r>
    </w:p>
    <w:p>
      <w:pPr>
        <w:spacing w:after="0" w:line="186"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4"/>
          <w:szCs w:val="14"/>
          <w:color w:val="auto"/>
        </w:rPr>
        <w:t>(d)(1)</w:t>
      </w:r>
      <w:r>
        <w:rPr>
          <w:rFonts w:ascii="Arial" w:cs="Arial" w:eastAsia="Arial" w:hAnsi="Arial"/>
          <w:sz w:val="12"/>
          <w:szCs w:val="12"/>
          <w:color w:val="auto"/>
        </w:rPr>
        <w:t>Form of Share Certificate (Incorporated by reference to Exhibit 99(D) to the Registrant’s Registration Statement on Form N-2 (File No. 333-170243), filed on April 5, 2011).</w:t>
      </w:r>
    </w:p>
    <w:p>
      <w:pPr>
        <w:spacing w:after="0" w:line="163"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4"/>
          <w:szCs w:val="14"/>
          <w:color w:val="auto"/>
        </w:rPr>
        <w:t>(d)(2)</w:t>
      </w:r>
      <w:r>
        <w:rPr>
          <w:rFonts w:ascii="Arial" w:cs="Arial" w:eastAsia="Arial" w:hAnsi="Arial"/>
          <w:sz w:val="12"/>
          <w:szCs w:val="12"/>
          <w:color w:val="auto"/>
        </w:rPr>
        <w:t>Form of Subscription Certificate (Incorporated by reference to Exhibit 99(D)(2) to the Registrant’s Registration Statement on Form N-2 (File No. 333-180084), filed on March 14, 2012).</w:t>
      </w:r>
    </w:p>
    <w:p>
      <w:pPr>
        <w:spacing w:after="0" w:line="163"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4"/>
          <w:szCs w:val="14"/>
          <w:color w:val="auto"/>
        </w:rPr>
        <w:t>(d)(3)</w:t>
      </w:r>
      <w:r>
        <w:rPr>
          <w:rFonts w:ascii="Arial" w:cs="Arial" w:eastAsia="Arial" w:hAnsi="Arial"/>
          <w:sz w:val="12"/>
          <w:szCs w:val="12"/>
          <w:color w:val="auto"/>
        </w:rPr>
        <w:t>Form of Indenture (Incorporated by reference to Exhibit 99(D)(3) to the Registrant’s Registration Statement on Form N-2 (File No. 333-180084), filed on March 14, 2012).</w:t>
      </w:r>
    </w:p>
    <w:p>
      <w:pPr>
        <w:spacing w:after="0" w:line="163"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4"/>
          <w:szCs w:val="14"/>
          <w:color w:val="auto"/>
        </w:rPr>
        <w:t>(d)(4)</w:t>
      </w:r>
      <w:r>
        <w:rPr>
          <w:rFonts w:ascii="Arial" w:cs="Arial" w:eastAsia="Arial" w:hAnsi="Arial"/>
          <w:sz w:val="12"/>
          <w:szCs w:val="12"/>
          <w:color w:val="auto"/>
        </w:rPr>
        <w:t>Form of Subscription Agent Agreement (Incorporated by reference to Exhibit 99(D)(4) to the Registrant’s Registration Statement on Form N-2 (File No. 333-180084), filed on March 14, 2012).</w:t>
      </w:r>
    </w:p>
    <w:p>
      <w:pPr>
        <w:spacing w:after="0" w:line="163"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4"/>
          <w:szCs w:val="14"/>
          <w:color w:val="auto"/>
        </w:rPr>
        <w:t>(d)(5)</w:t>
      </w:r>
      <w:r>
        <w:rPr>
          <w:rFonts w:ascii="Arial" w:cs="Arial" w:eastAsia="Arial" w:hAnsi="Arial"/>
          <w:sz w:val="12"/>
          <w:szCs w:val="12"/>
          <w:color w:val="auto"/>
        </w:rPr>
        <w:t>Form of Warrant Agreement (Incorporated by reference to Exhibit 99(D)(5) to the Registrant’s Registration Statement on Form N-2 (File No. 333-180084), filed on March 14, 2012).</w:t>
      </w:r>
    </w:p>
    <w:p>
      <w:pPr>
        <w:spacing w:after="0" w:line="163" w:lineRule="exact"/>
        <w:rPr>
          <w:sz w:val="20"/>
          <w:szCs w:val="20"/>
          <w:color w:val="auto"/>
        </w:rPr>
      </w:pPr>
    </w:p>
    <w:p>
      <w:pPr>
        <w:ind w:left="660" w:hanging="639"/>
        <w:spacing w:after="0" w:line="239" w:lineRule="auto"/>
        <w:tabs>
          <w:tab w:leader="none" w:pos="640" w:val="left"/>
        </w:tabs>
        <w:rPr>
          <w:sz w:val="20"/>
          <w:szCs w:val="20"/>
          <w:color w:val="auto"/>
        </w:rPr>
      </w:pPr>
      <w:r>
        <w:rPr>
          <w:rFonts w:ascii="Arial" w:cs="Arial" w:eastAsia="Arial" w:hAnsi="Arial"/>
          <w:sz w:val="14"/>
          <w:szCs w:val="14"/>
          <w:color w:val="auto"/>
        </w:rPr>
        <w:t>(d)(6)</w:t>
      </w:r>
      <w:r>
        <w:rPr>
          <w:sz w:val="20"/>
          <w:szCs w:val="20"/>
          <w:color w:val="auto"/>
        </w:rPr>
        <w:tab/>
      </w:r>
      <w:r>
        <w:rPr>
          <w:rFonts w:ascii="Arial" w:cs="Arial" w:eastAsia="Arial" w:hAnsi="Arial"/>
          <w:sz w:val="14"/>
          <w:szCs w:val="14"/>
          <w:color w:val="auto"/>
        </w:rPr>
        <w:t>Form T-1 Statement of Eligibility with respect to the Form of Indenture (Incorporated by reference to Exhibit 99(D)(6) to the Registrant’s Registration Statement on Form N-2 (File No. 333-180084), filed on March 14, 2012).</w:t>
      </w:r>
    </w:p>
    <w:p>
      <w:pPr>
        <w:spacing w:after="0" w:line="152"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2"/>
          <w:szCs w:val="12"/>
          <w:color w:val="auto"/>
        </w:rPr>
        <w:t>(d)(7)</w:t>
      </w:r>
      <w:r>
        <w:rPr>
          <w:sz w:val="20"/>
          <w:szCs w:val="20"/>
          <w:color w:val="auto"/>
        </w:rPr>
        <w:tab/>
      </w:r>
      <w:r>
        <w:rPr>
          <w:rFonts w:ascii="Arial" w:cs="Arial" w:eastAsia="Arial" w:hAnsi="Arial"/>
          <w:sz w:val="12"/>
          <w:szCs w:val="12"/>
          <w:color w:val="auto"/>
        </w:rPr>
        <w:t>Form of Articles Supplementary (Incorporated by reference to Exhibit 99(D)(7) to the Registrant’s Registration Statement on Form N-2 (File No. 333-180084), filed on March 14, 2012).</w:t>
      </w:r>
    </w:p>
    <w:p>
      <w:pPr>
        <w:spacing w:after="0" w:line="186" w:lineRule="exact"/>
        <w:rPr>
          <w:sz w:val="20"/>
          <w:szCs w:val="20"/>
          <w:color w:val="auto"/>
        </w:rPr>
      </w:pPr>
    </w:p>
    <w:p>
      <w:pPr>
        <w:ind w:left="660" w:hanging="565"/>
        <w:spacing w:after="0"/>
        <w:tabs>
          <w:tab w:leader="none" w:pos="660" w:val="left"/>
        </w:tabs>
        <w:numPr>
          <w:ilvl w:val="0"/>
          <w:numId w:val="84"/>
        </w:numPr>
        <w:rPr>
          <w:rFonts w:ascii="Arial" w:cs="Arial" w:eastAsia="Arial" w:hAnsi="Arial"/>
          <w:sz w:val="12"/>
          <w:szCs w:val="12"/>
          <w:color w:val="auto"/>
        </w:rPr>
      </w:pPr>
      <w:r>
        <w:rPr>
          <w:rFonts w:ascii="Arial" w:cs="Arial" w:eastAsia="Arial" w:hAnsi="Arial"/>
          <w:sz w:val="12"/>
          <w:szCs w:val="12"/>
          <w:color w:val="auto"/>
        </w:rPr>
        <w:t>Dividend Reinvestment Plan (Incorporated by reference to Exhibit 99(E) to the Registrant’s Registration Statement on Form N-2 (File No. 333-170243), filed on March 29, 2011).</w:t>
      </w:r>
    </w:p>
    <w:p>
      <w:pPr>
        <w:spacing w:after="0" w:line="186" w:lineRule="exact"/>
        <w:rPr>
          <w:sz w:val="20"/>
          <w:szCs w:val="20"/>
          <w:color w:val="auto"/>
        </w:rPr>
      </w:pPr>
    </w:p>
    <w:p>
      <w:pPr>
        <w:ind w:left="660" w:right="120" w:hanging="569"/>
        <w:spacing w:after="0" w:line="239" w:lineRule="auto"/>
        <w:tabs>
          <w:tab w:leader="none" w:pos="6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Amended and Restated Investment Advisory Agreement, dated as of August 7, 2012, between PennantPark Floating Rate Capital Ltd. and PennantPark Investment Advisers, LLC (Incorporated by reference to Exhibit 10.2 to the Registrant’s Quarterly Report on Form 10-Q (File No. 814-00891), filed on August 9, 2012).</w:t>
      </w:r>
    </w:p>
    <w:p>
      <w:pPr>
        <w:spacing w:after="0" w:line="152"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2"/>
          <w:szCs w:val="12"/>
          <w:color w:val="auto"/>
        </w:rPr>
        <w:t>(h)(1)</w:t>
      </w:r>
      <w:r>
        <w:rPr>
          <w:sz w:val="20"/>
          <w:szCs w:val="20"/>
          <w:color w:val="auto"/>
        </w:rPr>
        <w:tab/>
      </w:r>
      <w:r>
        <w:rPr>
          <w:rFonts w:ascii="Arial" w:cs="Arial" w:eastAsia="Arial" w:hAnsi="Arial"/>
          <w:sz w:val="12"/>
          <w:szCs w:val="12"/>
          <w:color w:val="auto"/>
        </w:rPr>
        <w:t>Form of Underwriting Agreement for equity (Incorporated by reference to Exhibit 99(H)(1) to the Registrant’s Registration Statement on Form N-2 (File No. 333-180084), filed on March 14, 2012).</w:t>
      </w:r>
    </w:p>
    <w:p>
      <w:pPr>
        <w:spacing w:after="0" w:line="186"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2"/>
          <w:szCs w:val="12"/>
          <w:color w:val="auto"/>
        </w:rPr>
        <w:t>(h)(2)</w:t>
      </w:r>
      <w:r>
        <w:rPr>
          <w:sz w:val="20"/>
          <w:szCs w:val="20"/>
          <w:color w:val="auto"/>
        </w:rPr>
        <w:tab/>
      </w:r>
      <w:r>
        <w:rPr>
          <w:rFonts w:ascii="Arial" w:cs="Arial" w:eastAsia="Arial" w:hAnsi="Arial"/>
          <w:sz w:val="12"/>
          <w:szCs w:val="12"/>
          <w:color w:val="auto"/>
        </w:rPr>
        <w:t>Form of Underwriting Agreement for debt (Incorporated by reference to Exhibit 99(H)(2) to the Registrant’s Registration Statement on Form N-2 (File No. 333-180084), filed on March 14, 2012).</w:t>
      </w:r>
    </w:p>
    <w:p>
      <w:pPr>
        <w:spacing w:after="0" w:line="186" w:lineRule="exact"/>
        <w:rPr>
          <w:sz w:val="20"/>
          <w:szCs w:val="20"/>
          <w:color w:val="auto"/>
        </w:rPr>
      </w:pPr>
    </w:p>
    <w:p>
      <w:pPr>
        <w:ind w:left="660" w:right="140" w:hanging="554"/>
        <w:spacing w:after="0" w:line="239" w:lineRule="auto"/>
        <w:tabs>
          <w:tab w:leader="none" w:pos="6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Custodian Agreement between the Registrant and The Bank of New York Mellon (Incorporated by reference to Exhibit 99(J) to the Registrant’s Registration Statement on Form N-2 (File No. 333-170243), filed on March 29, 2011).</w:t>
      </w:r>
    </w:p>
    <w:p>
      <w:pPr>
        <w:spacing w:after="0" w:line="152" w:lineRule="exact"/>
        <w:rPr>
          <w:sz w:val="20"/>
          <w:szCs w:val="20"/>
          <w:color w:val="auto"/>
        </w:rPr>
      </w:pPr>
    </w:p>
    <w:p>
      <w:pPr>
        <w:ind w:left="660" w:right="360" w:hanging="639"/>
        <w:spacing w:after="0" w:line="239" w:lineRule="auto"/>
        <w:tabs>
          <w:tab w:leader="none" w:pos="640" w:val="left"/>
        </w:tabs>
        <w:rPr>
          <w:sz w:val="20"/>
          <w:szCs w:val="20"/>
          <w:color w:val="auto"/>
        </w:rPr>
      </w:pPr>
      <w:r>
        <w:rPr>
          <w:rFonts w:ascii="Arial" w:cs="Arial" w:eastAsia="Arial" w:hAnsi="Arial"/>
          <w:sz w:val="14"/>
          <w:szCs w:val="14"/>
          <w:color w:val="auto"/>
        </w:rPr>
        <w:t>(k)(1)</w:t>
      </w:r>
      <w:r>
        <w:rPr>
          <w:sz w:val="20"/>
          <w:szCs w:val="20"/>
          <w:color w:val="auto"/>
        </w:rPr>
        <w:tab/>
      </w:r>
      <w:r>
        <w:rPr>
          <w:rFonts w:ascii="Arial" w:cs="Arial" w:eastAsia="Arial" w:hAnsi="Arial"/>
          <w:sz w:val="14"/>
          <w:szCs w:val="14"/>
          <w:color w:val="auto"/>
        </w:rPr>
        <w:t>Stock Transfer Agency Agreement between the Registrant and American Stock Transfer &amp; Trust Company, LLC (Incorporated by reference to Exhibit 99(K)(1) to the Registrant’s Registration Statement on Form N-2 (File No. 333-170243), filed on March 29, 2011).</w:t>
      </w:r>
    </w:p>
    <w:p>
      <w:pPr>
        <w:spacing w:after="0" w:line="152" w:lineRule="exact"/>
        <w:rPr>
          <w:sz w:val="20"/>
          <w:szCs w:val="20"/>
          <w:color w:val="auto"/>
        </w:rPr>
      </w:pPr>
    </w:p>
    <w:p>
      <w:pPr>
        <w:ind w:left="660" w:right="240" w:hanging="639"/>
        <w:spacing w:after="0" w:line="239" w:lineRule="auto"/>
        <w:tabs>
          <w:tab w:leader="none" w:pos="640" w:val="left"/>
        </w:tabs>
        <w:rPr>
          <w:sz w:val="20"/>
          <w:szCs w:val="20"/>
          <w:color w:val="auto"/>
        </w:rPr>
      </w:pPr>
      <w:r>
        <w:rPr>
          <w:rFonts w:ascii="Arial" w:cs="Arial" w:eastAsia="Arial" w:hAnsi="Arial"/>
          <w:sz w:val="14"/>
          <w:szCs w:val="14"/>
          <w:color w:val="auto"/>
        </w:rPr>
        <w:t>(k)(2)</w:t>
      </w:r>
      <w:r>
        <w:rPr>
          <w:sz w:val="20"/>
          <w:szCs w:val="20"/>
          <w:color w:val="auto"/>
        </w:rPr>
        <w:tab/>
      </w:r>
      <w:r>
        <w:rPr>
          <w:rFonts w:ascii="Arial" w:cs="Arial" w:eastAsia="Arial" w:hAnsi="Arial"/>
          <w:sz w:val="14"/>
          <w:szCs w:val="14"/>
          <w:color w:val="auto"/>
        </w:rPr>
        <w:t>Administration Agreement between the Registrant and PennantPark Investment Administration, LLC (Incorporated by reference to Exhibit 99(K)(2) to the Registrant’s Registration Statement on Form N-2 (File No. 333-170243), filed on March 29, 2011).</w:t>
      </w:r>
    </w:p>
    <w:p>
      <w:pPr>
        <w:spacing w:after="0" w:line="152"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2"/>
          <w:szCs w:val="12"/>
          <w:color w:val="auto"/>
        </w:rPr>
        <w:t>(k)(3)</w:t>
      </w:r>
      <w:r>
        <w:rPr>
          <w:sz w:val="20"/>
          <w:szCs w:val="20"/>
          <w:color w:val="auto"/>
        </w:rPr>
        <w:tab/>
      </w:r>
      <w:r>
        <w:rPr>
          <w:rFonts w:ascii="Arial" w:cs="Arial" w:eastAsia="Arial" w:hAnsi="Arial"/>
          <w:sz w:val="12"/>
          <w:szCs w:val="12"/>
          <w:color w:val="auto"/>
        </w:rPr>
        <w:t>Trademark License Agreement (Incorporated by reference to Exhibit 99(K)(3) to the Registrant’s Registration Statement on Form N-2 (File No. 333-170243), filed on March 29, 2011).</w:t>
      </w:r>
    </w:p>
    <w:p>
      <w:pPr>
        <w:spacing w:after="0" w:line="186" w:lineRule="exact"/>
        <w:rPr>
          <w:sz w:val="20"/>
          <w:szCs w:val="20"/>
          <w:color w:val="auto"/>
        </w:rPr>
      </w:pPr>
    </w:p>
    <w:p>
      <w:pPr>
        <w:ind w:left="660" w:hanging="639"/>
        <w:spacing w:after="0" w:line="288" w:lineRule="auto"/>
        <w:tabs>
          <w:tab w:leader="none" w:pos="640" w:val="left"/>
        </w:tabs>
        <w:rPr>
          <w:sz w:val="20"/>
          <w:szCs w:val="20"/>
          <w:color w:val="auto"/>
        </w:rPr>
      </w:pPr>
      <w:r>
        <w:rPr>
          <w:rFonts w:ascii="Arial" w:cs="Arial" w:eastAsia="Arial" w:hAnsi="Arial"/>
          <w:sz w:val="12"/>
          <w:szCs w:val="12"/>
          <w:color w:val="auto"/>
        </w:rPr>
        <w:t>(k)(4)</w:t>
      </w:r>
      <w:r>
        <w:rPr>
          <w:sz w:val="20"/>
          <w:szCs w:val="20"/>
          <w:color w:val="auto"/>
        </w:rPr>
        <w:tab/>
      </w:r>
      <w:r>
        <w:rPr>
          <w:rFonts w:ascii="Arial" w:cs="Arial" w:eastAsia="Arial" w:hAnsi="Arial"/>
          <w:sz w:val="12"/>
          <w:szCs w:val="12"/>
          <w:color w:val="auto"/>
        </w:rPr>
        <w:t>Amended and Restated Revolving Credit and Security Agreement, dated as of May 14, 2012, among PennantPark Floating Rate Funding I, LLC, as borrower, PennantPark Investment Advisers, LLC, as collateral manager, the lenders from time to time party thereto, SunTrust Bank, as administrative agent, U.S. Bank National Association, as collateral agent, as backup collateral manager and as custodian (Incorporated by reference to Exhibit 10.1 to the Registrant’s Quarterly Report on Form 10-Q, (File No. 814-00891), filed on August 9, 2012).</w:t>
      </w:r>
    </w:p>
    <w:p>
      <w:pPr>
        <w:spacing w:after="0" w:line="124" w:lineRule="exact"/>
        <w:rPr>
          <w:sz w:val="20"/>
          <w:szCs w:val="20"/>
          <w:color w:val="auto"/>
        </w:rPr>
      </w:pPr>
    </w:p>
    <w:p>
      <w:pPr>
        <w:ind w:left="660" w:right="560" w:hanging="639"/>
        <w:spacing w:after="0" w:line="318" w:lineRule="auto"/>
        <w:tabs>
          <w:tab w:leader="none" w:pos="640" w:val="left"/>
        </w:tabs>
        <w:rPr>
          <w:sz w:val="20"/>
          <w:szCs w:val="20"/>
          <w:color w:val="auto"/>
        </w:rPr>
      </w:pPr>
      <w:r>
        <w:rPr>
          <w:rFonts w:ascii="Arial" w:cs="Arial" w:eastAsia="Arial" w:hAnsi="Arial"/>
          <w:sz w:val="12"/>
          <w:szCs w:val="12"/>
          <w:color w:val="auto"/>
        </w:rPr>
        <w:t>(k)(5)</w:t>
      </w:r>
      <w:r>
        <w:rPr>
          <w:sz w:val="20"/>
          <w:szCs w:val="20"/>
          <w:color w:val="auto"/>
        </w:rPr>
        <w:tab/>
      </w:r>
      <w:r>
        <w:rPr>
          <w:rFonts w:ascii="Arial" w:cs="Arial" w:eastAsia="Arial" w:hAnsi="Arial"/>
          <w:sz w:val="12"/>
          <w:szCs w:val="12"/>
          <w:color w:val="auto"/>
        </w:rPr>
        <w:t>Purchase and Contribution Agreement, dated as of June 23, 2011, among PennantPark Floating Rate Capital Ltd., as the seller, and PennantPark Floating Rate Funding I, LLC, as the buyer (Incorporated by reference to Exhibit 10.2 to the Registrant’s Periodic Report on Form 8-K (File No. 814-00891), filed on June 29, 2011).</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C-1</w:t>
      </w:r>
    </w:p>
    <w:p>
      <w:pPr>
        <w:sectPr>
          <w:pgSz w:w="11900" w:h="16838" w:orient="portrait"/>
          <w:cols w:equalWidth="0" w:num="1">
            <w:col w:w="11380"/>
          </w:cols>
          <w:pgMar w:left="240" w:top="460"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25.</w:t>
      </w:r>
      <w:r>
        <w:rPr>
          <w:sz w:val="20"/>
          <w:szCs w:val="20"/>
          <w:color w:val="auto"/>
        </w:rPr>
        <w:tab/>
      </w:r>
      <w:r>
        <w:rPr>
          <w:rFonts w:ascii="Arial" w:cs="Arial" w:eastAsia="Arial" w:hAnsi="Arial"/>
          <w:sz w:val="12"/>
          <w:szCs w:val="12"/>
          <w:b w:val="1"/>
          <w:bCs w:val="1"/>
          <w:color w:val="auto"/>
        </w:rPr>
        <w:t>Financial statements and exhibits (continued)</w:t>
      </w:r>
    </w:p>
    <w:p>
      <w:pPr>
        <w:spacing w:after="0" w:line="300" w:lineRule="exact"/>
        <w:rPr>
          <w:sz w:val="20"/>
          <w:szCs w:val="20"/>
          <w:color w:val="auto"/>
        </w:rPr>
      </w:pPr>
    </w:p>
    <w:p>
      <w:pPr>
        <w:ind w:left="860" w:hanging="555"/>
        <w:spacing w:after="0"/>
        <w:tabs>
          <w:tab w:leader="none" w:pos="860" w:val="left"/>
        </w:tabs>
        <w:numPr>
          <w:ilvl w:val="0"/>
          <w:numId w:val="87"/>
        </w:numPr>
        <w:rPr>
          <w:rFonts w:ascii="Arial" w:cs="Arial" w:eastAsia="Arial" w:hAnsi="Arial"/>
          <w:sz w:val="14"/>
          <w:szCs w:val="14"/>
          <w:color w:val="auto"/>
        </w:rPr>
      </w:pPr>
      <w:r>
        <w:rPr>
          <w:rFonts w:ascii="Arial" w:cs="Arial" w:eastAsia="Arial" w:hAnsi="Arial"/>
          <w:sz w:val="14"/>
          <w:szCs w:val="14"/>
          <w:i w:val="1"/>
          <w:iCs w:val="1"/>
          <w:color w:val="auto"/>
        </w:rPr>
        <w:t>Exhibits (Continued)</w:t>
      </w:r>
    </w:p>
    <w:p>
      <w:pPr>
        <w:spacing w:after="0" w:line="96" w:lineRule="exact"/>
        <w:rPr>
          <w:sz w:val="20"/>
          <w:szCs w:val="20"/>
          <w:color w:val="auto"/>
        </w:rPr>
      </w:pPr>
    </w:p>
    <w:p>
      <w:pPr>
        <w:ind w:left="860" w:right="80" w:hanging="719"/>
        <w:spacing w:after="0" w:line="239" w:lineRule="auto"/>
        <w:tabs>
          <w:tab w:leader="none" w:pos="840" w:val="left"/>
        </w:tabs>
        <w:rPr>
          <w:sz w:val="20"/>
          <w:szCs w:val="20"/>
          <w:color w:val="auto"/>
        </w:rPr>
      </w:pPr>
      <w:r>
        <w:rPr>
          <w:rFonts w:ascii="Arial" w:cs="Arial" w:eastAsia="Arial" w:hAnsi="Arial"/>
          <w:sz w:val="14"/>
          <w:szCs w:val="14"/>
          <w:color w:val="auto"/>
        </w:rPr>
        <w:t>(k)(6)</w:t>
      </w:r>
      <w:r>
        <w:rPr>
          <w:sz w:val="20"/>
          <w:szCs w:val="20"/>
          <w:color w:val="auto"/>
        </w:rPr>
        <w:tab/>
      </w:r>
      <w:r>
        <w:rPr>
          <w:rFonts w:ascii="Arial" w:cs="Arial" w:eastAsia="Arial" w:hAnsi="Arial"/>
          <w:sz w:val="14"/>
          <w:szCs w:val="14"/>
          <w:color w:val="auto"/>
        </w:rPr>
        <w:t>Third Amendment to Amended and Restated Revolving Credit and Security Agreement, dated March 29, 2013 (Incorporated by reference to Exhibit 10.1 to the Registrant’s Quarterly Report on Form 10-Q (File No. 814-00891), filed on May 9, 2013).</w:t>
      </w:r>
    </w:p>
    <w:p>
      <w:pPr>
        <w:spacing w:after="0" w:line="152" w:lineRule="exact"/>
        <w:rPr>
          <w:sz w:val="20"/>
          <w:szCs w:val="20"/>
          <w:color w:val="auto"/>
        </w:rPr>
      </w:pPr>
    </w:p>
    <w:tbl>
      <w:tblPr>
        <w:tblLayout w:type="fixed"/>
        <w:tblInd w:w="140" w:type="dxa"/>
        <w:tblCellMar>
          <w:top w:w="0" w:type="dxa"/>
          <w:left w:w="0" w:type="dxa"/>
          <w:bottom w:w="0" w:type="dxa"/>
          <w:right w:w="0" w:type="dxa"/>
        </w:tblCellMar>
      </w:tblPr>
      <w:tr>
        <w:trPr>
          <w:trHeight w:val="172"/>
        </w:trPr>
        <w:tc>
          <w:tcPr>
            <w:tcW w:w="560" w:type="dxa"/>
            <w:vAlign w:val="bottom"/>
          </w:tcPr>
          <w:p>
            <w:pPr>
              <w:jc w:val="center"/>
              <w:ind w:right="92"/>
              <w:spacing w:after="0"/>
              <w:rPr>
                <w:sz w:val="20"/>
                <w:szCs w:val="20"/>
                <w:color w:val="auto"/>
              </w:rPr>
            </w:pPr>
            <w:r>
              <w:rPr>
                <w:rFonts w:ascii="Arial" w:cs="Arial" w:eastAsia="Arial" w:hAnsi="Arial"/>
                <w:sz w:val="14"/>
                <w:szCs w:val="14"/>
                <w:color w:val="auto"/>
                <w:w w:val="94"/>
              </w:rPr>
              <w:t>(l)(1)</w:t>
            </w:r>
          </w:p>
        </w:tc>
        <w:tc>
          <w:tcPr>
            <w:tcW w:w="10680" w:type="dxa"/>
            <w:vAlign w:val="bottom"/>
          </w:tcPr>
          <w:p>
            <w:pPr>
              <w:ind w:left="160"/>
              <w:spacing w:after="0"/>
              <w:rPr>
                <w:sz w:val="20"/>
                <w:szCs w:val="20"/>
                <w:color w:val="auto"/>
              </w:rPr>
            </w:pPr>
            <w:r>
              <w:rPr>
                <w:rFonts w:ascii="Arial" w:cs="Arial" w:eastAsia="Arial" w:hAnsi="Arial"/>
                <w:sz w:val="14"/>
                <w:szCs w:val="14"/>
                <w:color w:val="auto"/>
                <w:w w:val="91"/>
              </w:rPr>
              <w:t>Opinion and Consent of Venable LLP (Incorporated by reference to Exhibit (l)(1) to the Registrant’s Registration Statement on Form N-2 (File No. 333-190602), filed on August 13, 2013).</w:t>
            </w:r>
          </w:p>
        </w:tc>
      </w:tr>
      <w:tr>
        <w:trPr>
          <w:trHeight w:val="324"/>
        </w:trPr>
        <w:tc>
          <w:tcPr>
            <w:tcW w:w="560" w:type="dxa"/>
            <w:vAlign w:val="bottom"/>
          </w:tcPr>
          <w:p>
            <w:pPr>
              <w:jc w:val="center"/>
              <w:ind w:right="92"/>
              <w:spacing w:after="0"/>
              <w:rPr>
                <w:sz w:val="20"/>
                <w:szCs w:val="20"/>
                <w:color w:val="auto"/>
              </w:rPr>
            </w:pPr>
            <w:r>
              <w:rPr>
                <w:rFonts w:ascii="Arial" w:cs="Arial" w:eastAsia="Arial" w:hAnsi="Arial"/>
                <w:sz w:val="14"/>
                <w:szCs w:val="14"/>
                <w:color w:val="auto"/>
                <w:w w:val="94"/>
              </w:rPr>
              <w:t>(l)(2)</w:t>
            </w:r>
          </w:p>
        </w:tc>
        <w:tc>
          <w:tcPr>
            <w:tcW w:w="10680" w:type="dxa"/>
            <w:vAlign w:val="bottom"/>
          </w:tcPr>
          <w:p>
            <w:pPr>
              <w:ind w:left="160"/>
              <w:spacing w:after="0"/>
              <w:rPr>
                <w:sz w:val="20"/>
                <w:szCs w:val="20"/>
                <w:color w:val="auto"/>
              </w:rPr>
            </w:pPr>
            <w:r>
              <w:rPr>
                <w:rFonts w:ascii="Arial" w:cs="Arial" w:eastAsia="Arial" w:hAnsi="Arial"/>
                <w:sz w:val="14"/>
                <w:szCs w:val="14"/>
                <w:color w:val="auto"/>
                <w:w w:val="91"/>
              </w:rPr>
              <w:t>Opinion and Consent of Dechert LLP (Incorporated by reference to Exhibit (l)(2) to the Registrant’s Registration Statement on Form N-2 (File No. 333-190602), filed on August 13, 2013).</w:t>
            </w:r>
          </w:p>
        </w:tc>
      </w:tr>
      <w:tr>
        <w:trPr>
          <w:trHeight w:val="324"/>
        </w:trPr>
        <w:tc>
          <w:tcPr>
            <w:tcW w:w="560" w:type="dxa"/>
            <w:vAlign w:val="bottom"/>
          </w:tcPr>
          <w:p>
            <w:pPr>
              <w:jc w:val="center"/>
              <w:ind w:right="92"/>
              <w:spacing w:after="0"/>
              <w:rPr>
                <w:sz w:val="20"/>
                <w:szCs w:val="20"/>
                <w:color w:val="auto"/>
              </w:rPr>
            </w:pPr>
            <w:r>
              <w:rPr>
                <w:rFonts w:ascii="Arial" w:cs="Arial" w:eastAsia="Arial" w:hAnsi="Arial"/>
                <w:sz w:val="14"/>
                <w:szCs w:val="14"/>
                <w:color w:val="auto"/>
              </w:rPr>
              <w:t>(n)(1)*</w:t>
            </w:r>
          </w:p>
        </w:tc>
        <w:tc>
          <w:tcPr>
            <w:tcW w:w="10680" w:type="dxa"/>
            <w:vAlign w:val="bottom"/>
          </w:tcPr>
          <w:p>
            <w:pPr>
              <w:ind w:left="160"/>
              <w:spacing w:after="0"/>
              <w:rPr>
                <w:sz w:val="20"/>
                <w:szCs w:val="20"/>
                <w:color w:val="auto"/>
              </w:rPr>
            </w:pPr>
            <w:r>
              <w:rPr>
                <w:rFonts w:ascii="Arial" w:cs="Arial" w:eastAsia="Arial" w:hAnsi="Arial"/>
                <w:sz w:val="14"/>
                <w:szCs w:val="14"/>
                <w:color w:val="auto"/>
              </w:rPr>
              <w:t>Consent of Independent Registered Public Accounting Firm.</w:t>
            </w:r>
          </w:p>
        </w:tc>
      </w:tr>
      <w:tr>
        <w:trPr>
          <w:trHeight w:val="324"/>
        </w:trPr>
        <w:tc>
          <w:tcPr>
            <w:tcW w:w="560" w:type="dxa"/>
            <w:vAlign w:val="bottom"/>
          </w:tcPr>
          <w:p>
            <w:pPr>
              <w:jc w:val="center"/>
              <w:ind w:right="92"/>
              <w:spacing w:after="0"/>
              <w:rPr>
                <w:sz w:val="20"/>
                <w:szCs w:val="20"/>
                <w:color w:val="auto"/>
              </w:rPr>
            </w:pPr>
            <w:r>
              <w:rPr>
                <w:rFonts w:ascii="Arial" w:cs="Arial" w:eastAsia="Arial" w:hAnsi="Arial"/>
                <w:sz w:val="14"/>
                <w:szCs w:val="14"/>
                <w:color w:val="auto"/>
              </w:rPr>
              <w:t>(n)(2)*</w:t>
            </w:r>
          </w:p>
        </w:tc>
        <w:tc>
          <w:tcPr>
            <w:tcW w:w="10680" w:type="dxa"/>
            <w:vAlign w:val="bottom"/>
          </w:tcPr>
          <w:p>
            <w:pPr>
              <w:ind w:left="160"/>
              <w:spacing w:after="0"/>
              <w:rPr>
                <w:sz w:val="20"/>
                <w:szCs w:val="20"/>
                <w:color w:val="auto"/>
              </w:rPr>
            </w:pPr>
            <w:r>
              <w:rPr>
                <w:rFonts w:ascii="Arial" w:cs="Arial" w:eastAsia="Arial" w:hAnsi="Arial"/>
                <w:sz w:val="14"/>
                <w:szCs w:val="14"/>
                <w:color w:val="auto"/>
              </w:rPr>
              <w:t>Awareness Letter of Independent Registered Public Accounting Firm.</w:t>
            </w:r>
          </w:p>
        </w:tc>
      </w:tr>
      <w:tr>
        <w:trPr>
          <w:trHeight w:val="300"/>
        </w:trPr>
        <w:tc>
          <w:tcPr>
            <w:tcW w:w="560" w:type="dxa"/>
            <w:vAlign w:val="bottom"/>
          </w:tcPr>
          <w:p>
            <w:pPr>
              <w:jc w:val="center"/>
              <w:ind w:right="92"/>
              <w:spacing w:after="0"/>
              <w:rPr>
                <w:sz w:val="20"/>
                <w:szCs w:val="20"/>
                <w:color w:val="auto"/>
              </w:rPr>
            </w:pPr>
            <w:r>
              <w:rPr>
                <w:rFonts w:ascii="Arial" w:cs="Arial" w:eastAsia="Arial" w:hAnsi="Arial"/>
                <w:sz w:val="14"/>
                <w:szCs w:val="14"/>
                <w:color w:val="auto"/>
                <w:w w:val="89"/>
              </w:rPr>
              <w:t>(r)(1)</w:t>
            </w:r>
          </w:p>
        </w:tc>
        <w:tc>
          <w:tcPr>
            <w:tcW w:w="10680" w:type="dxa"/>
            <w:vAlign w:val="bottom"/>
          </w:tcPr>
          <w:p>
            <w:pPr>
              <w:ind w:left="160"/>
              <w:spacing w:after="0"/>
              <w:rPr>
                <w:sz w:val="20"/>
                <w:szCs w:val="20"/>
                <w:color w:val="auto"/>
              </w:rPr>
            </w:pPr>
            <w:r>
              <w:rPr>
                <w:rFonts w:ascii="Arial" w:cs="Arial" w:eastAsia="Arial" w:hAnsi="Arial"/>
                <w:sz w:val="14"/>
                <w:szCs w:val="14"/>
                <w:color w:val="auto"/>
                <w:w w:val="90"/>
              </w:rPr>
              <w:t>Joint Code of Ethics of the Registrant and PennantPark Investment Advisers, LLC (Incorporated by reference to Exhibit 14.1 to the Registrant’s Annual Report on Form 10-K (File No. 814-</w:t>
            </w:r>
          </w:p>
        </w:tc>
      </w:tr>
      <w:tr>
        <w:trPr>
          <w:trHeight w:val="172"/>
        </w:trPr>
        <w:tc>
          <w:tcPr>
            <w:tcW w:w="560" w:type="dxa"/>
            <w:vAlign w:val="bottom"/>
          </w:tcPr>
          <w:p>
            <w:pPr>
              <w:spacing w:after="0"/>
              <w:rPr>
                <w:sz w:val="14"/>
                <w:szCs w:val="14"/>
                <w:color w:val="auto"/>
              </w:rPr>
            </w:pPr>
          </w:p>
        </w:tc>
        <w:tc>
          <w:tcPr>
            <w:tcW w:w="10680" w:type="dxa"/>
            <w:vAlign w:val="bottom"/>
          </w:tcPr>
          <w:p>
            <w:pPr>
              <w:ind w:left="160"/>
              <w:spacing w:after="0"/>
              <w:rPr>
                <w:sz w:val="20"/>
                <w:szCs w:val="20"/>
                <w:color w:val="auto"/>
              </w:rPr>
            </w:pPr>
            <w:r>
              <w:rPr>
                <w:rFonts w:ascii="Arial" w:cs="Arial" w:eastAsia="Arial" w:hAnsi="Arial"/>
                <w:sz w:val="14"/>
                <w:szCs w:val="14"/>
                <w:color w:val="auto"/>
              </w:rPr>
              <w:t>00891), filed on November 14, 2012).</w:t>
            </w:r>
          </w:p>
        </w:tc>
      </w:tr>
      <w:tr>
        <w:trPr>
          <w:trHeight w:val="300"/>
        </w:trPr>
        <w:tc>
          <w:tcPr>
            <w:tcW w:w="560" w:type="dxa"/>
            <w:vAlign w:val="bottom"/>
          </w:tcPr>
          <w:p>
            <w:pPr>
              <w:jc w:val="center"/>
              <w:ind w:right="112"/>
              <w:spacing w:after="0"/>
              <w:rPr>
                <w:sz w:val="20"/>
                <w:szCs w:val="20"/>
                <w:color w:val="auto"/>
              </w:rPr>
            </w:pPr>
            <w:r>
              <w:rPr>
                <w:rFonts w:ascii="Arial" w:cs="Arial" w:eastAsia="Arial" w:hAnsi="Arial"/>
                <w:sz w:val="14"/>
                <w:szCs w:val="14"/>
                <w:color w:val="auto"/>
                <w:w w:val="89"/>
              </w:rPr>
              <w:t>(s)(1)</w:t>
            </w:r>
          </w:p>
        </w:tc>
        <w:tc>
          <w:tcPr>
            <w:tcW w:w="10680" w:type="dxa"/>
            <w:vAlign w:val="bottom"/>
          </w:tcPr>
          <w:p>
            <w:pPr>
              <w:ind w:left="160"/>
              <w:spacing w:after="0"/>
              <w:rPr>
                <w:sz w:val="20"/>
                <w:szCs w:val="20"/>
                <w:color w:val="auto"/>
              </w:rPr>
            </w:pPr>
            <w:r>
              <w:rPr>
                <w:rFonts w:ascii="Arial" w:cs="Arial" w:eastAsia="Arial" w:hAnsi="Arial"/>
                <w:sz w:val="14"/>
                <w:szCs w:val="14"/>
                <w:color w:val="auto"/>
                <w:w w:val="88"/>
              </w:rPr>
              <w:t>Form of Prospectus Supplement For Common Stock Offerings (Incorporated by reference to Exhibit 99(S)(1) to the Registrant’s Registration Statement on Form N-2 (File No. 333-180084), filed</w:t>
            </w:r>
          </w:p>
        </w:tc>
      </w:tr>
      <w:tr>
        <w:trPr>
          <w:trHeight w:val="172"/>
        </w:trPr>
        <w:tc>
          <w:tcPr>
            <w:tcW w:w="560" w:type="dxa"/>
            <w:vAlign w:val="bottom"/>
          </w:tcPr>
          <w:p>
            <w:pPr>
              <w:spacing w:after="0"/>
              <w:rPr>
                <w:sz w:val="14"/>
                <w:szCs w:val="14"/>
                <w:color w:val="auto"/>
              </w:rPr>
            </w:pPr>
          </w:p>
        </w:tc>
        <w:tc>
          <w:tcPr>
            <w:tcW w:w="10680" w:type="dxa"/>
            <w:vAlign w:val="bottom"/>
          </w:tcPr>
          <w:p>
            <w:pPr>
              <w:ind w:left="160"/>
              <w:spacing w:after="0"/>
              <w:rPr>
                <w:sz w:val="20"/>
                <w:szCs w:val="20"/>
                <w:color w:val="auto"/>
              </w:rPr>
            </w:pPr>
            <w:r>
              <w:rPr>
                <w:rFonts w:ascii="Arial" w:cs="Arial" w:eastAsia="Arial" w:hAnsi="Arial"/>
                <w:sz w:val="14"/>
                <w:szCs w:val="14"/>
                <w:color w:val="auto"/>
              </w:rPr>
              <w:t>on March 14, 2012).</w:t>
            </w:r>
          </w:p>
        </w:tc>
      </w:tr>
      <w:tr>
        <w:trPr>
          <w:trHeight w:val="300"/>
        </w:trPr>
        <w:tc>
          <w:tcPr>
            <w:tcW w:w="560" w:type="dxa"/>
            <w:vAlign w:val="bottom"/>
          </w:tcPr>
          <w:p>
            <w:pPr>
              <w:jc w:val="center"/>
              <w:ind w:right="112"/>
              <w:spacing w:after="0"/>
              <w:rPr>
                <w:sz w:val="20"/>
                <w:szCs w:val="20"/>
                <w:color w:val="auto"/>
              </w:rPr>
            </w:pPr>
            <w:r>
              <w:rPr>
                <w:rFonts w:ascii="Arial" w:cs="Arial" w:eastAsia="Arial" w:hAnsi="Arial"/>
                <w:sz w:val="14"/>
                <w:szCs w:val="14"/>
                <w:color w:val="auto"/>
                <w:w w:val="89"/>
              </w:rPr>
              <w:t>(s)(2)</w:t>
            </w:r>
          </w:p>
        </w:tc>
        <w:tc>
          <w:tcPr>
            <w:tcW w:w="10680" w:type="dxa"/>
            <w:vAlign w:val="bottom"/>
          </w:tcPr>
          <w:p>
            <w:pPr>
              <w:ind w:left="160"/>
              <w:spacing w:after="0"/>
              <w:rPr>
                <w:sz w:val="20"/>
                <w:szCs w:val="20"/>
                <w:color w:val="auto"/>
              </w:rPr>
            </w:pPr>
            <w:r>
              <w:rPr>
                <w:rFonts w:ascii="Arial" w:cs="Arial" w:eastAsia="Arial" w:hAnsi="Arial"/>
                <w:sz w:val="14"/>
                <w:szCs w:val="14"/>
                <w:color w:val="auto"/>
                <w:w w:val="88"/>
              </w:rPr>
              <w:t>Form of Prospectus Supplement For Preferred Stock Offerings (Incorporated by reference to Exhibit 99(S)(2) to the Registrant’s Registration Statement on Form N-2 (File No. 333-180084), filed</w:t>
            </w:r>
          </w:p>
        </w:tc>
      </w:tr>
      <w:tr>
        <w:trPr>
          <w:trHeight w:val="172"/>
        </w:trPr>
        <w:tc>
          <w:tcPr>
            <w:tcW w:w="560" w:type="dxa"/>
            <w:vAlign w:val="bottom"/>
          </w:tcPr>
          <w:p>
            <w:pPr>
              <w:spacing w:after="0"/>
              <w:rPr>
                <w:sz w:val="14"/>
                <w:szCs w:val="14"/>
                <w:color w:val="auto"/>
              </w:rPr>
            </w:pPr>
          </w:p>
        </w:tc>
        <w:tc>
          <w:tcPr>
            <w:tcW w:w="10680" w:type="dxa"/>
            <w:vAlign w:val="bottom"/>
          </w:tcPr>
          <w:p>
            <w:pPr>
              <w:ind w:left="160"/>
              <w:spacing w:after="0"/>
              <w:rPr>
                <w:sz w:val="20"/>
                <w:szCs w:val="20"/>
                <w:color w:val="auto"/>
              </w:rPr>
            </w:pPr>
            <w:r>
              <w:rPr>
                <w:rFonts w:ascii="Arial" w:cs="Arial" w:eastAsia="Arial" w:hAnsi="Arial"/>
                <w:sz w:val="14"/>
                <w:szCs w:val="14"/>
                <w:color w:val="auto"/>
              </w:rPr>
              <w:t>on March 14, 2012).</w:t>
            </w:r>
          </w:p>
        </w:tc>
      </w:tr>
      <w:tr>
        <w:trPr>
          <w:trHeight w:val="300"/>
        </w:trPr>
        <w:tc>
          <w:tcPr>
            <w:tcW w:w="560" w:type="dxa"/>
            <w:vAlign w:val="bottom"/>
          </w:tcPr>
          <w:p>
            <w:pPr>
              <w:jc w:val="center"/>
              <w:ind w:right="112"/>
              <w:spacing w:after="0"/>
              <w:rPr>
                <w:sz w:val="20"/>
                <w:szCs w:val="20"/>
                <w:color w:val="auto"/>
              </w:rPr>
            </w:pPr>
            <w:r>
              <w:rPr>
                <w:rFonts w:ascii="Arial" w:cs="Arial" w:eastAsia="Arial" w:hAnsi="Arial"/>
                <w:sz w:val="14"/>
                <w:szCs w:val="14"/>
                <w:color w:val="auto"/>
                <w:w w:val="89"/>
              </w:rPr>
              <w:t>(s)(3)</w:t>
            </w:r>
          </w:p>
        </w:tc>
        <w:tc>
          <w:tcPr>
            <w:tcW w:w="10680" w:type="dxa"/>
            <w:vAlign w:val="bottom"/>
          </w:tcPr>
          <w:p>
            <w:pPr>
              <w:ind w:left="160"/>
              <w:spacing w:after="0"/>
              <w:rPr>
                <w:sz w:val="20"/>
                <w:szCs w:val="20"/>
                <w:color w:val="auto"/>
              </w:rPr>
            </w:pPr>
            <w:r>
              <w:rPr>
                <w:rFonts w:ascii="Arial" w:cs="Arial" w:eastAsia="Arial" w:hAnsi="Arial"/>
                <w:sz w:val="14"/>
                <w:szCs w:val="14"/>
                <w:color w:val="auto"/>
                <w:w w:val="88"/>
              </w:rPr>
              <w:t>Form of Prospectus Supplement For Debt Offerings (Incorporated by reference to Exhibit 99(S)(3) to the Registrant’s Registration Statement on Form N-2 (File No. 333-180084), filed on March</w:t>
            </w:r>
          </w:p>
        </w:tc>
      </w:tr>
      <w:tr>
        <w:trPr>
          <w:trHeight w:val="172"/>
        </w:trPr>
        <w:tc>
          <w:tcPr>
            <w:tcW w:w="560" w:type="dxa"/>
            <w:vAlign w:val="bottom"/>
          </w:tcPr>
          <w:p>
            <w:pPr>
              <w:spacing w:after="0"/>
              <w:rPr>
                <w:sz w:val="14"/>
                <w:szCs w:val="14"/>
                <w:color w:val="auto"/>
              </w:rPr>
            </w:pPr>
          </w:p>
        </w:tc>
        <w:tc>
          <w:tcPr>
            <w:tcW w:w="10680" w:type="dxa"/>
            <w:vAlign w:val="bottom"/>
          </w:tcPr>
          <w:p>
            <w:pPr>
              <w:ind w:left="160"/>
              <w:spacing w:after="0"/>
              <w:rPr>
                <w:sz w:val="20"/>
                <w:szCs w:val="20"/>
                <w:color w:val="auto"/>
              </w:rPr>
            </w:pPr>
            <w:r>
              <w:rPr>
                <w:rFonts w:ascii="Arial" w:cs="Arial" w:eastAsia="Arial" w:hAnsi="Arial"/>
                <w:sz w:val="14"/>
                <w:szCs w:val="14"/>
                <w:color w:val="auto"/>
              </w:rPr>
              <w:t>14, 2012).</w:t>
            </w:r>
          </w:p>
        </w:tc>
      </w:tr>
      <w:tr>
        <w:trPr>
          <w:trHeight w:val="300"/>
        </w:trPr>
        <w:tc>
          <w:tcPr>
            <w:tcW w:w="560" w:type="dxa"/>
            <w:vAlign w:val="bottom"/>
          </w:tcPr>
          <w:p>
            <w:pPr>
              <w:jc w:val="center"/>
              <w:ind w:right="112"/>
              <w:spacing w:after="0"/>
              <w:rPr>
                <w:sz w:val="20"/>
                <w:szCs w:val="20"/>
                <w:color w:val="auto"/>
              </w:rPr>
            </w:pPr>
            <w:r>
              <w:rPr>
                <w:rFonts w:ascii="Arial" w:cs="Arial" w:eastAsia="Arial" w:hAnsi="Arial"/>
                <w:sz w:val="14"/>
                <w:szCs w:val="14"/>
                <w:color w:val="auto"/>
                <w:w w:val="89"/>
              </w:rPr>
              <w:t>(s)(4)</w:t>
            </w:r>
          </w:p>
        </w:tc>
        <w:tc>
          <w:tcPr>
            <w:tcW w:w="10680" w:type="dxa"/>
            <w:vAlign w:val="bottom"/>
          </w:tcPr>
          <w:p>
            <w:pPr>
              <w:ind w:left="160"/>
              <w:spacing w:after="0"/>
              <w:rPr>
                <w:sz w:val="20"/>
                <w:szCs w:val="20"/>
                <w:color w:val="auto"/>
              </w:rPr>
            </w:pPr>
            <w:r>
              <w:rPr>
                <w:rFonts w:ascii="Arial" w:cs="Arial" w:eastAsia="Arial" w:hAnsi="Arial"/>
                <w:sz w:val="14"/>
                <w:szCs w:val="14"/>
                <w:color w:val="auto"/>
                <w:w w:val="90"/>
              </w:rPr>
              <w:t>Form of Prospectus Supplement For Rights Offerings (Incorporated by reference to Exhibit 99(S)(4) to the Registrant’s Registration Statement on Form N-2 (File No. 333-180084), filed on</w:t>
            </w:r>
          </w:p>
        </w:tc>
      </w:tr>
      <w:tr>
        <w:trPr>
          <w:trHeight w:val="172"/>
        </w:trPr>
        <w:tc>
          <w:tcPr>
            <w:tcW w:w="560" w:type="dxa"/>
            <w:vAlign w:val="bottom"/>
          </w:tcPr>
          <w:p>
            <w:pPr>
              <w:spacing w:after="0"/>
              <w:rPr>
                <w:sz w:val="14"/>
                <w:szCs w:val="14"/>
                <w:color w:val="auto"/>
              </w:rPr>
            </w:pPr>
          </w:p>
        </w:tc>
        <w:tc>
          <w:tcPr>
            <w:tcW w:w="10680" w:type="dxa"/>
            <w:vAlign w:val="bottom"/>
          </w:tcPr>
          <w:p>
            <w:pPr>
              <w:ind w:left="160"/>
              <w:spacing w:after="0"/>
              <w:rPr>
                <w:sz w:val="20"/>
                <w:szCs w:val="20"/>
                <w:color w:val="auto"/>
              </w:rPr>
            </w:pPr>
            <w:r>
              <w:rPr>
                <w:rFonts w:ascii="Arial" w:cs="Arial" w:eastAsia="Arial" w:hAnsi="Arial"/>
                <w:sz w:val="14"/>
                <w:szCs w:val="14"/>
                <w:color w:val="auto"/>
              </w:rPr>
              <w:t>March 14, 2012).</w:t>
            </w:r>
          </w:p>
        </w:tc>
      </w:tr>
      <w:tr>
        <w:trPr>
          <w:trHeight w:val="300"/>
        </w:trPr>
        <w:tc>
          <w:tcPr>
            <w:tcW w:w="560" w:type="dxa"/>
            <w:vAlign w:val="bottom"/>
          </w:tcPr>
          <w:p>
            <w:pPr>
              <w:jc w:val="center"/>
              <w:ind w:right="112"/>
              <w:spacing w:after="0"/>
              <w:rPr>
                <w:sz w:val="20"/>
                <w:szCs w:val="20"/>
                <w:color w:val="auto"/>
              </w:rPr>
            </w:pPr>
            <w:r>
              <w:rPr>
                <w:rFonts w:ascii="Arial" w:cs="Arial" w:eastAsia="Arial" w:hAnsi="Arial"/>
                <w:sz w:val="14"/>
                <w:szCs w:val="14"/>
                <w:color w:val="auto"/>
                <w:w w:val="89"/>
              </w:rPr>
              <w:t>(s)(5)</w:t>
            </w:r>
          </w:p>
        </w:tc>
        <w:tc>
          <w:tcPr>
            <w:tcW w:w="10680" w:type="dxa"/>
            <w:vAlign w:val="bottom"/>
          </w:tcPr>
          <w:p>
            <w:pPr>
              <w:ind w:left="160"/>
              <w:spacing w:after="0"/>
              <w:rPr>
                <w:sz w:val="20"/>
                <w:szCs w:val="20"/>
                <w:color w:val="auto"/>
              </w:rPr>
            </w:pPr>
            <w:r>
              <w:rPr>
                <w:rFonts w:ascii="Arial" w:cs="Arial" w:eastAsia="Arial" w:hAnsi="Arial"/>
                <w:sz w:val="14"/>
                <w:szCs w:val="14"/>
                <w:color w:val="auto"/>
                <w:w w:val="90"/>
              </w:rPr>
              <w:t>Form of Prospectus Supplement For Warrant Offerings (Incorporated by reference to Exhibit 99(S)(5) to the Registrant’s Registration Statement on Form N-2 (File No. 333-180084), filed on</w:t>
            </w:r>
          </w:p>
        </w:tc>
      </w:tr>
      <w:tr>
        <w:trPr>
          <w:trHeight w:val="172"/>
        </w:trPr>
        <w:tc>
          <w:tcPr>
            <w:tcW w:w="560" w:type="dxa"/>
            <w:vAlign w:val="bottom"/>
          </w:tcPr>
          <w:p>
            <w:pPr>
              <w:spacing w:after="0"/>
              <w:rPr>
                <w:sz w:val="14"/>
                <w:szCs w:val="14"/>
                <w:color w:val="auto"/>
              </w:rPr>
            </w:pPr>
          </w:p>
        </w:tc>
        <w:tc>
          <w:tcPr>
            <w:tcW w:w="10680" w:type="dxa"/>
            <w:vAlign w:val="bottom"/>
          </w:tcPr>
          <w:p>
            <w:pPr>
              <w:ind w:left="160"/>
              <w:spacing w:after="0"/>
              <w:rPr>
                <w:sz w:val="20"/>
                <w:szCs w:val="20"/>
                <w:color w:val="auto"/>
              </w:rPr>
            </w:pPr>
            <w:r>
              <w:rPr>
                <w:rFonts w:ascii="Arial" w:cs="Arial" w:eastAsia="Arial" w:hAnsi="Arial"/>
                <w:sz w:val="14"/>
                <w:szCs w:val="14"/>
                <w:color w:val="auto"/>
              </w:rPr>
              <w:t>March 14, 2012).</w:t>
            </w:r>
          </w:p>
        </w:tc>
      </w:tr>
    </w:tbl>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26.</w:t>
      </w:r>
      <w:r>
        <w:rPr>
          <w:sz w:val="20"/>
          <w:szCs w:val="20"/>
          <w:color w:val="auto"/>
        </w:rPr>
        <w:tab/>
      </w:r>
      <w:r>
        <w:rPr>
          <w:rFonts w:ascii="Arial" w:cs="Arial" w:eastAsia="Arial" w:hAnsi="Arial"/>
          <w:sz w:val="12"/>
          <w:szCs w:val="12"/>
          <w:b w:val="1"/>
          <w:bCs w:val="1"/>
          <w:color w:val="auto"/>
        </w:rPr>
        <w:t>Marketing arrangements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information contained under the heading “Plan of Distribution” in this Registration Statement is hereby incorporated by reference.</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27.</w:t>
      </w:r>
      <w:r>
        <w:rPr>
          <w:sz w:val="20"/>
          <w:szCs w:val="20"/>
          <w:color w:val="auto"/>
        </w:rPr>
        <w:tab/>
      </w:r>
      <w:r>
        <w:rPr>
          <w:rFonts w:ascii="Arial" w:cs="Arial" w:eastAsia="Arial" w:hAnsi="Arial"/>
          <w:sz w:val="11"/>
          <w:szCs w:val="11"/>
          <w:b w:val="1"/>
          <w:bCs w:val="1"/>
          <w:color w:val="auto"/>
        </w:rPr>
        <w:t>Other expenses of issuance and distribution</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sets forth the estimated expenses to be incurred by the Registrant in connection with the offering described in this registration statement:</w:t>
      </w:r>
    </w:p>
    <w:p>
      <w:pPr>
        <w:sectPr>
          <w:pgSz w:w="11900" w:h="16838" w:orient="portrait"/>
          <w:cols w:equalWidth="0" w:num="1">
            <w:col w:w="11380"/>
          </w:cols>
          <w:pgMar w:left="240" w:top="459" w:right="279" w:bottom="1440" w:gutter="0" w:footer="0" w:header="0"/>
        </w:sectPr>
      </w:pPr>
    </w:p>
    <w:p>
      <w:pPr>
        <w:spacing w:after="0" w:line="190"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-94615</wp:posOffset>
            </wp:positionV>
            <wp:extent cx="4922520" cy="946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946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FINRA filing fee</w:t>
      </w:r>
    </w:p>
    <w:p>
      <w:pPr>
        <w:ind w:left="1840"/>
        <w:spacing w:after="0" w:line="222" w:lineRule="auto"/>
        <w:rPr>
          <w:sz w:val="20"/>
          <w:szCs w:val="20"/>
          <w:color w:val="auto"/>
        </w:rPr>
      </w:pPr>
      <w:r>
        <w:rPr>
          <w:rFonts w:ascii="Arial" w:cs="Arial" w:eastAsia="Arial" w:hAnsi="Arial"/>
          <w:sz w:val="14"/>
          <w:szCs w:val="14"/>
          <w:color w:val="auto"/>
        </w:rPr>
        <w:t>Printing (other than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946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Legal fees and expenses</w:t>
      </w:r>
    </w:p>
    <w:p>
      <w:pPr>
        <w:ind w:left="1840"/>
        <w:spacing w:after="0" w:line="222" w:lineRule="auto"/>
        <w:rPr>
          <w:sz w:val="20"/>
          <w:szCs w:val="20"/>
          <w:color w:val="auto"/>
        </w:rPr>
      </w:pPr>
      <w:r>
        <w:rPr>
          <w:rFonts w:ascii="Arial" w:cs="Arial" w:eastAsia="Arial" w:hAnsi="Arial"/>
          <w:sz w:val="14"/>
          <w:szCs w:val="14"/>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946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4"/>
          <w:szCs w:val="14"/>
          <w:color w:val="auto"/>
        </w:rPr>
        <w:t>Miscellaneous fees and expenses</w:t>
      </w:r>
    </w:p>
    <w:p>
      <w:pPr>
        <w:spacing w:after="0" w:line="111"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Total</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All of the expenses set forth above shall be borne by the Registrant.</w:t>
      </w:r>
    </w:p>
    <w:p>
      <w:pPr>
        <w:spacing w:after="0" w:line="136" w:lineRule="exact"/>
        <w:rPr>
          <w:sz w:val="20"/>
          <w:szCs w:val="20"/>
          <w:color w:val="auto"/>
        </w:rPr>
      </w:pPr>
    </w:p>
    <w:p>
      <w:pPr>
        <w:jc w:val="right"/>
        <w:ind w:right="1666"/>
        <w:spacing w:after="0"/>
        <w:rPr>
          <w:sz w:val="20"/>
          <w:szCs w:val="20"/>
          <w:color w:val="auto"/>
        </w:rPr>
      </w:pPr>
      <w:r>
        <w:rPr>
          <w:rFonts w:ascii="Arial" w:cs="Arial" w:eastAsia="Arial" w:hAnsi="Arial"/>
          <w:sz w:val="14"/>
          <w:szCs w:val="14"/>
          <w:color w:val="auto"/>
        </w:rPr>
        <w:t>C-2</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814" w:hanging="814"/>
        <w:spacing w:after="0"/>
        <w:tabs>
          <w:tab w:leader="none" w:pos="814" w:val="left"/>
        </w:tabs>
        <w:numPr>
          <w:ilvl w:val="0"/>
          <w:numId w:val="88"/>
        </w:numPr>
        <w:rPr>
          <w:rFonts w:ascii="Arial" w:cs="Arial" w:eastAsia="Arial" w:hAnsi="Arial"/>
          <w:sz w:val="12"/>
          <w:szCs w:val="12"/>
          <w:color w:val="auto"/>
        </w:rPr>
      </w:pPr>
      <w:r>
        <w:rPr>
          <w:rFonts w:ascii="Arial" w:cs="Arial" w:eastAsia="Arial" w:hAnsi="Arial"/>
          <w:sz w:val="12"/>
          <w:szCs w:val="12"/>
          <w:color w:val="auto"/>
        </w:rPr>
        <w:t>109,120</w:t>
      </w:r>
    </w:p>
    <w:p>
      <w:pPr>
        <w:spacing w:after="0" w:line="23" w:lineRule="exact"/>
        <w:rPr>
          <w:sz w:val="20"/>
          <w:szCs w:val="20"/>
          <w:color w:val="auto"/>
        </w:rPr>
      </w:pPr>
    </w:p>
    <w:p>
      <w:pPr>
        <w:ind w:left="814" w:hanging="814"/>
        <w:spacing w:after="0"/>
        <w:tabs>
          <w:tab w:leader="none" w:pos="814" w:val="left"/>
        </w:tabs>
        <w:numPr>
          <w:ilvl w:val="0"/>
          <w:numId w:val="89"/>
        </w:numPr>
        <w:rPr>
          <w:rFonts w:ascii="Arial" w:cs="Arial" w:eastAsia="Arial" w:hAnsi="Arial"/>
          <w:sz w:val="12"/>
          <w:szCs w:val="12"/>
          <w:color w:val="auto"/>
        </w:rPr>
      </w:pPr>
      <w:r>
        <w:rPr>
          <w:rFonts w:ascii="Arial" w:cs="Arial" w:eastAsia="Arial" w:hAnsi="Arial"/>
          <w:sz w:val="12"/>
          <w:szCs w:val="12"/>
          <w:color w:val="auto"/>
        </w:rPr>
        <w:t>195,000</w:t>
      </w:r>
    </w:p>
    <w:p>
      <w:pPr>
        <w:spacing w:after="0" w:line="11" w:lineRule="exact"/>
        <w:rPr>
          <w:sz w:val="20"/>
          <w:szCs w:val="20"/>
          <w:color w:val="auto"/>
        </w:rPr>
      </w:pPr>
    </w:p>
    <w:p>
      <w:pPr>
        <w:ind w:left="814" w:hanging="814"/>
        <w:spacing w:after="0"/>
        <w:tabs>
          <w:tab w:leader="none" w:pos="814" w:val="left"/>
        </w:tabs>
        <w:numPr>
          <w:ilvl w:val="0"/>
          <w:numId w:val="90"/>
        </w:numPr>
        <w:rPr>
          <w:rFonts w:ascii="Arial" w:cs="Arial" w:eastAsia="Arial" w:hAnsi="Arial"/>
          <w:sz w:val="12"/>
          <w:szCs w:val="12"/>
          <w:color w:val="auto"/>
        </w:rPr>
      </w:pPr>
      <w:r>
        <w:rPr>
          <w:rFonts w:ascii="Arial" w:cs="Arial" w:eastAsia="Arial" w:hAnsi="Arial"/>
          <w:sz w:val="12"/>
          <w:szCs w:val="12"/>
          <w:color w:val="auto"/>
        </w:rPr>
        <w:t>115,016</w:t>
      </w:r>
    </w:p>
    <w:p>
      <w:pPr>
        <w:spacing w:after="0" w:line="11" w:lineRule="exact"/>
        <w:rPr>
          <w:sz w:val="20"/>
          <w:szCs w:val="20"/>
          <w:color w:val="auto"/>
        </w:rPr>
      </w:pPr>
    </w:p>
    <w:p>
      <w:pPr>
        <w:ind w:left="814" w:hanging="814"/>
        <w:spacing w:after="0"/>
        <w:tabs>
          <w:tab w:leader="none" w:pos="814" w:val="left"/>
        </w:tabs>
        <w:numPr>
          <w:ilvl w:val="0"/>
          <w:numId w:val="91"/>
        </w:numPr>
        <w:rPr>
          <w:rFonts w:ascii="Arial" w:cs="Arial" w:eastAsia="Arial" w:hAnsi="Arial"/>
          <w:sz w:val="12"/>
          <w:szCs w:val="12"/>
          <w:color w:val="auto"/>
        </w:rPr>
      </w:pPr>
      <w:r>
        <w:rPr>
          <w:rFonts w:ascii="Arial" w:cs="Arial" w:eastAsia="Arial" w:hAnsi="Arial"/>
          <w:sz w:val="12"/>
          <w:szCs w:val="12"/>
          <w:color w:val="auto"/>
        </w:rPr>
        <w:t>372,000</w:t>
      </w:r>
    </w:p>
    <w:p>
      <w:pPr>
        <w:spacing w:after="0" w:line="11" w:lineRule="exact"/>
        <w:rPr>
          <w:sz w:val="20"/>
          <w:szCs w:val="20"/>
          <w:color w:val="auto"/>
        </w:rPr>
      </w:pPr>
    </w:p>
    <w:p>
      <w:pPr>
        <w:ind w:left="814" w:hanging="814"/>
        <w:spacing w:after="0"/>
        <w:tabs>
          <w:tab w:leader="none" w:pos="814" w:val="left"/>
        </w:tabs>
        <w:numPr>
          <w:ilvl w:val="0"/>
          <w:numId w:val="92"/>
        </w:numPr>
        <w:rPr>
          <w:rFonts w:ascii="Arial" w:cs="Arial" w:eastAsia="Arial" w:hAnsi="Arial"/>
          <w:sz w:val="12"/>
          <w:szCs w:val="12"/>
          <w:color w:val="auto"/>
        </w:rPr>
      </w:pPr>
      <w:r>
        <w:rPr>
          <w:rFonts w:ascii="Arial" w:cs="Arial" w:eastAsia="Arial" w:hAnsi="Arial"/>
          <w:sz w:val="12"/>
          <w:szCs w:val="12"/>
          <w:color w:val="auto"/>
        </w:rPr>
        <w:t>800,000</w:t>
      </w:r>
    </w:p>
    <w:p>
      <w:pPr>
        <w:spacing w:after="0" w:line="11" w:lineRule="exact"/>
        <w:rPr>
          <w:sz w:val="20"/>
          <w:szCs w:val="20"/>
          <w:color w:val="auto"/>
        </w:rPr>
      </w:pPr>
    </w:p>
    <w:p>
      <w:pPr>
        <w:ind w:left="814" w:hanging="814"/>
        <w:spacing w:after="0"/>
        <w:tabs>
          <w:tab w:leader="none" w:pos="814" w:val="left"/>
        </w:tabs>
        <w:numPr>
          <w:ilvl w:val="0"/>
          <w:numId w:val="93"/>
        </w:numPr>
        <w:rPr>
          <w:rFonts w:ascii="Arial" w:cs="Arial" w:eastAsia="Arial" w:hAnsi="Arial"/>
          <w:sz w:val="12"/>
          <w:szCs w:val="12"/>
          <w:color w:val="auto"/>
        </w:rPr>
      </w:pPr>
      <w:r>
        <w:rPr>
          <w:rFonts w:ascii="Arial" w:cs="Arial" w:eastAsia="Arial" w:hAnsi="Arial"/>
          <w:sz w:val="12"/>
          <w:szCs w:val="12"/>
          <w:color w:val="auto"/>
        </w:rPr>
        <w:t>308,500</w:t>
      </w:r>
    </w:p>
    <w:p>
      <w:pPr>
        <w:spacing w:after="0" w:line="10" w:lineRule="exact"/>
        <w:rPr>
          <w:rFonts w:ascii="Arial" w:cs="Arial" w:eastAsia="Arial" w:hAnsi="Arial"/>
          <w:sz w:val="12"/>
          <w:szCs w:val="12"/>
          <w:color w:val="auto"/>
        </w:rPr>
      </w:pPr>
    </w:p>
    <w:p>
      <w:pPr>
        <w:ind w:left="814" w:hanging="814"/>
        <w:spacing w:after="0"/>
        <w:tabs>
          <w:tab w:leader="none" w:pos="814" w:val="left"/>
        </w:tabs>
        <w:numPr>
          <w:ilvl w:val="0"/>
          <w:numId w:val="93"/>
        </w:numPr>
        <w:rPr>
          <w:rFonts w:ascii="Arial" w:cs="Arial" w:eastAsia="Arial" w:hAnsi="Arial"/>
          <w:sz w:val="12"/>
          <w:szCs w:val="12"/>
          <w:color w:val="auto"/>
        </w:rPr>
      </w:pPr>
      <w:r>
        <w:rPr>
          <w:rFonts w:ascii="Arial" w:cs="Arial" w:eastAsia="Arial" w:hAnsi="Arial"/>
          <w:sz w:val="12"/>
          <w:szCs w:val="12"/>
          <w:color w:val="auto"/>
        </w:rPr>
        <w:t>100,364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5715</wp:posOffset>
            </wp:positionV>
            <wp:extent cx="84074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14" w:lineRule="exact"/>
        <w:rPr>
          <w:sz w:val="20"/>
          <w:szCs w:val="20"/>
          <w:color w:val="auto"/>
        </w:rPr>
      </w:pPr>
    </w:p>
    <w:p>
      <w:pPr>
        <w:ind w:left="714" w:hanging="714"/>
        <w:spacing w:after="0"/>
        <w:tabs>
          <w:tab w:leader="none" w:pos="714" w:val="left"/>
        </w:tabs>
        <w:numPr>
          <w:ilvl w:val="0"/>
          <w:numId w:val="94"/>
        </w:numPr>
        <w:rPr>
          <w:rFonts w:ascii="Arial" w:cs="Arial" w:eastAsia="Arial" w:hAnsi="Arial"/>
          <w:sz w:val="12"/>
          <w:szCs w:val="12"/>
          <w:color w:val="auto"/>
        </w:rPr>
      </w:pPr>
      <w:r>
        <w:rPr>
          <w:rFonts w:ascii="Arial" w:cs="Arial" w:eastAsia="Arial" w:hAnsi="Arial"/>
          <w:sz w:val="12"/>
          <w:szCs w:val="12"/>
          <w:color w:val="auto"/>
        </w:rPr>
        <w:t>2,000,000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13335</wp:posOffset>
            </wp:positionV>
            <wp:extent cx="84074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4074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30480</wp:posOffset>
            </wp:positionV>
            <wp:extent cx="84074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ectPr>
          <w:pgSz w:w="11900" w:h="16838" w:orient="portrait"/>
          <w:cols w:equalWidth="0" w:num="2">
            <w:col w:w="7486" w:space="720"/>
            <w:col w:w="3174"/>
          </w:cols>
          <w:pgMar w:left="240" w:top="459" w:right="279" w:bottom="1440" w:gutter="0" w:footer="0" w:header="0"/>
          <w:type w:val="continuous"/>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28.</w:t>
      </w:r>
      <w:r>
        <w:rPr>
          <w:sz w:val="20"/>
          <w:szCs w:val="20"/>
          <w:color w:val="auto"/>
        </w:rPr>
        <w:tab/>
      </w:r>
      <w:r>
        <w:rPr>
          <w:rFonts w:ascii="Arial" w:cs="Arial" w:eastAsia="Arial" w:hAnsi="Arial"/>
          <w:sz w:val="12"/>
          <w:szCs w:val="12"/>
          <w:b w:val="1"/>
          <w:bCs w:val="1"/>
          <w:color w:val="auto"/>
        </w:rPr>
        <w:t>Persons controlled by or under common control with the registrant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lists sets forth each of the companies considered to be controlled by us as defined by the 1940 Act.</w:t>
      </w:r>
    </w:p>
    <w:p>
      <w:pPr>
        <w:spacing w:after="0" w:line="346"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Name of entity and place of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8890</wp:posOffset>
            </wp:positionV>
            <wp:extent cx="4922520" cy="1028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922520" cy="10287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4"/>
          <w:szCs w:val="14"/>
          <w:color w:val="auto"/>
        </w:rPr>
        <w:t>PennantPark Floating Rate Funding I, LLC (Delaware)</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C-3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59"/>
        <w:spacing w:after="0"/>
        <w:rPr>
          <w:sz w:val="20"/>
          <w:szCs w:val="20"/>
          <w:color w:val="auto"/>
        </w:rPr>
      </w:pPr>
      <w:r>
        <w:rPr>
          <w:rFonts w:ascii="Arial" w:cs="Arial" w:eastAsia="Arial" w:hAnsi="Arial"/>
          <w:sz w:val="12"/>
          <w:szCs w:val="12"/>
          <w:b w:val="1"/>
          <w:bCs w:val="1"/>
          <w:color w:val="auto"/>
        </w:rPr>
        <w:t>Voting Securities</w:t>
      </w:r>
    </w:p>
    <w:p>
      <w:pPr>
        <w:spacing w:after="0" w:line="25" w:lineRule="exact"/>
        <w:rPr>
          <w:sz w:val="20"/>
          <w:szCs w:val="20"/>
          <w:color w:val="auto"/>
        </w:rPr>
      </w:pPr>
    </w:p>
    <w:p>
      <w:pPr>
        <w:jc w:val="center"/>
        <w:ind w:right="1059"/>
        <w:spacing w:after="0"/>
        <w:rPr>
          <w:sz w:val="20"/>
          <w:szCs w:val="20"/>
          <w:color w:val="auto"/>
        </w:rPr>
      </w:pPr>
      <w:r>
        <w:rPr>
          <w:rFonts w:ascii="Arial" w:cs="Arial" w:eastAsia="Arial" w:hAnsi="Arial"/>
          <w:sz w:val="11"/>
          <w:szCs w:val="11"/>
          <w:b w:val="1"/>
          <w:bCs w:val="1"/>
          <w:color w:val="auto"/>
        </w:rPr>
        <w:t>Owned Percentage</w:t>
      </w:r>
    </w:p>
    <w:p>
      <w:pPr>
        <w:spacing w:after="0" w:line="22" w:lineRule="exact"/>
        <w:rPr>
          <w:sz w:val="20"/>
          <w:szCs w:val="20"/>
          <w:color w:val="auto"/>
        </w:rPr>
      </w:pPr>
    </w:p>
    <w:p>
      <w:pPr>
        <w:jc w:val="right"/>
        <w:ind w:right="659"/>
        <w:spacing w:after="0"/>
        <w:rPr>
          <w:sz w:val="20"/>
          <w:szCs w:val="20"/>
          <w:color w:val="auto"/>
        </w:rPr>
      </w:pPr>
      <w:r>
        <w:rPr>
          <w:rFonts w:ascii="Arial" w:cs="Arial" w:eastAsia="Arial" w:hAnsi="Arial"/>
          <w:sz w:val="14"/>
          <w:szCs w:val="14"/>
          <w:color w:val="auto"/>
        </w:rPr>
        <w:t>100%</w:t>
      </w:r>
    </w:p>
    <w:p>
      <w:pPr>
        <w:sectPr>
          <w:pgSz w:w="11900" w:h="16838" w:orient="portrait"/>
          <w:cols w:equalWidth="0" w:num="2">
            <w:col w:w="7360" w:space="720"/>
            <w:col w:w="2139"/>
          </w:cols>
          <w:pgMar w:left="240" w:top="459" w:right="1440"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29.</w:t>
      </w:r>
      <w:r>
        <w:rPr>
          <w:sz w:val="20"/>
          <w:szCs w:val="20"/>
          <w:color w:val="auto"/>
        </w:rPr>
        <w:tab/>
      </w:r>
      <w:r>
        <w:rPr>
          <w:rFonts w:ascii="Arial" w:cs="Arial" w:eastAsia="Arial" w:hAnsi="Arial"/>
          <w:sz w:val="12"/>
          <w:szCs w:val="12"/>
          <w:b w:val="1"/>
          <w:bCs w:val="1"/>
          <w:color w:val="auto"/>
        </w:rPr>
        <w:t>Number of holders of shares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of September 13, 2013</w:t>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 of Record Holders</w:t>
      </w:r>
    </w:p>
    <w:tbl>
      <w:tblPr>
        <w:tblLayout w:type="fixed"/>
        <w:tblInd w:w="0" w:type="dxa"/>
        <w:tblCellMar>
          <w:top w:w="0" w:type="dxa"/>
          <w:left w:w="0" w:type="dxa"/>
          <w:bottom w:w="0" w:type="dxa"/>
          <w:right w:w="0" w:type="dxa"/>
        </w:tblCellMar>
      </w:tblPr>
      <w:tr>
        <w:trPr>
          <w:trHeight w:val="169"/>
        </w:trPr>
        <w:tc>
          <w:tcPr>
            <w:tcW w:w="40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Title of Class</w:t>
            </w:r>
          </w:p>
        </w:tc>
        <w:tc>
          <w:tcPr>
            <w:tcW w:w="468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59"/>
        </w:trPr>
        <w:tc>
          <w:tcPr>
            <w:tcW w:w="4020" w:type="dxa"/>
            <w:vAlign w:val="bottom"/>
          </w:tcPr>
          <w:p>
            <w:pPr>
              <w:jc w:val="center"/>
              <w:spacing w:after="0" w:line="159" w:lineRule="exact"/>
              <w:rPr>
                <w:sz w:val="20"/>
                <w:szCs w:val="20"/>
                <w:color w:val="auto"/>
              </w:rPr>
            </w:pPr>
            <w:r>
              <w:rPr>
                <w:rFonts w:ascii="Arial" w:cs="Arial" w:eastAsia="Arial" w:hAnsi="Arial"/>
                <w:sz w:val="14"/>
                <w:szCs w:val="14"/>
                <w:color w:val="auto"/>
                <w:w w:val="87"/>
              </w:rPr>
              <w:t>Common Stock, $0.001 par value</w:t>
            </w:r>
          </w:p>
        </w:tc>
        <w:tc>
          <w:tcPr>
            <w:tcW w:w="5960" w:type="dxa"/>
            <w:vAlign w:val="bottom"/>
            <w:gridSpan w:val="2"/>
          </w:tcPr>
          <w:p>
            <w:pPr>
              <w:jc w:val="right"/>
              <w:ind w:right="620"/>
              <w:spacing w:after="0" w:line="153" w:lineRule="exact"/>
              <w:rPr>
                <w:sz w:val="20"/>
                <w:szCs w:val="20"/>
                <w:color w:val="auto"/>
              </w:rPr>
            </w:pPr>
            <w:r>
              <w:rPr>
                <w:rFonts w:ascii="Arial" w:cs="Arial" w:eastAsia="Arial" w:hAnsi="Arial"/>
                <w:sz w:val="14"/>
                <w:szCs w:val="14"/>
                <w:color w:val="auto"/>
              </w:rPr>
              <w:t>4</w:t>
            </w:r>
          </w:p>
        </w:tc>
      </w:tr>
      <w:tr>
        <w:trPr>
          <w:trHeight w:val="286"/>
        </w:trPr>
        <w:tc>
          <w:tcPr>
            <w:tcW w:w="4020" w:type="dxa"/>
            <w:vAlign w:val="bottom"/>
          </w:tcPr>
          <w:p>
            <w:pPr>
              <w:spacing w:after="0"/>
              <w:rPr>
                <w:sz w:val="24"/>
                <w:szCs w:val="24"/>
                <w:color w:val="auto"/>
              </w:rPr>
            </w:pPr>
          </w:p>
        </w:tc>
        <w:tc>
          <w:tcPr>
            <w:tcW w:w="5960" w:type="dxa"/>
            <w:vAlign w:val="bottom"/>
            <w:gridSpan w:val="2"/>
          </w:tcPr>
          <w:p>
            <w:pPr>
              <w:jc w:val="right"/>
              <w:ind w:right="4160"/>
              <w:spacing w:after="0"/>
              <w:rPr>
                <w:sz w:val="20"/>
                <w:szCs w:val="20"/>
                <w:color w:val="auto"/>
              </w:rPr>
            </w:pPr>
            <w:r>
              <w:rPr>
                <w:rFonts w:ascii="Arial" w:cs="Arial" w:eastAsia="Arial" w:hAnsi="Arial"/>
                <w:sz w:val="14"/>
                <w:szCs w:val="14"/>
                <w:color w:val="auto"/>
              </w:rPr>
              <w:t>C-4</w:t>
            </w:r>
          </w:p>
        </w:tc>
      </w:tr>
    </w:tbl>
    <w:p>
      <w:pPr>
        <w:sectPr>
          <w:pgSz w:w="11900" w:h="16838" w:orient="portrait"/>
          <w:cols w:equalWidth="0" w:num="1">
            <w:col w:w="10520"/>
          </w:cols>
          <w:pgMar w:left="240" w:top="459" w:right="11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30.</w:t>
      </w:r>
      <w:r>
        <w:rPr>
          <w:sz w:val="20"/>
          <w:szCs w:val="20"/>
          <w:color w:val="auto"/>
        </w:rPr>
        <w:tab/>
      </w:r>
      <w:r>
        <w:rPr>
          <w:rFonts w:ascii="Arial" w:cs="Arial" w:eastAsia="Arial" w:hAnsi="Arial"/>
          <w:sz w:val="12"/>
          <w:szCs w:val="12"/>
          <w:b w:val="1"/>
          <w:bCs w:val="1"/>
          <w:color w:val="auto"/>
        </w:rPr>
        <w:t>Indemnification</w:t>
      </w:r>
    </w:p>
    <w:p>
      <w:pPr>
        <w:spacing w:after="0" w:line="152"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The information contained under the heading “Description of our Capital Stock —Limitation on Liability of Directors and Officers; Indemnification and Advance of Expenses” is incorporated herein by reference.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C-5</w:t>
      </w:r>
    </w:p>
    <w:p>
      <w:pPr>
        <w:sectPr>
          <w:pgSz w:w="11900" w:h="16838" w:orient="portrait"/>
          <w:cols w:equalWidth="0" w:num="1">
            <w:col w:w="11360"/>
          </w:cols>
          <w:pgMar w:left="240" w:top="460" w:right="2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31.</w:t>
      </w:r>
      <w:r>
        <w:rPr>
          <w:sz w:val="20"/>
          <w:szCs w:val="20"/>
          <w:color w:val="auto"/>
        </w:rPr>
        <w:tab/>
      </w:r>
      <w:r>
        <w:rPr>
          <w:rFonts w:ascii="Arial" w:cs="Arial" w:eastAsia="Arial" w:hAnsi="Arial"/>
          <w:sz w:val="11"/>
          <w:szCs w:val="11"/>
          <w:b w:val="1"/>
          <w:bCs w:val="1"/>
          <w:color w:val="auto"/>
        </w:rPr>
        <w:t>Business and other connections of Investment Adviser</w:t>
      </w:r>
    </w:p>
    <w:p>
      <w:pPr>
        <w:spacing w:after="0" w:line="152"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Investment Adviser and its officers and directors is set forth in its Form ADV, as filed with the SEC (SEC File No. 801-67622), and is incorporated herein by reference.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C-6</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32.</w:t>
      </w:r>
      <w:r>
        <w:rPr>
          <w:sz w:val="20"/>
          <w:szCs w:val="20"/>
          <w:color w:val="auto"/>
        </w:rPr>
        <w:tab/>
      </w:r>
      <w:r>
        <w:rPr>
          <w:rFonts w:ascii="Arial" w:cs="Arial" w:eastAsia="Arial" w:hAnsi="Arial"/>
          <w:sz w:val="11"/>
          <w:szCs w:val="11"/>
          <w:b w:val="1"/>
          <w:bCs w:val="1"/>
          <w:color w:val="auto"/>
        </w:rPr>
        <w:t>Location of accounts and records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All accounts, books and other documents required to be maintained by Section 31(a) of the 1940 Act, and the rules thereunder are maintained at the offices of:</w:t>
      </w:r>
    </w:p>
    <w:p>
      <w:pPr>
        <w:spacing w:after="0" w:line="173" w:lineRule="exact"/>
        <w:rPr>
          <w:sz w:val="20"/>
          <w:szCs w:val="20"/>
          <w:color w:val="auto"/>
        </w:rPr>
      </w:pPr>
    </w:p>
    <w:p>
      <w:pPr>
        <w:ind w:left="660" w:hanging="196"/>
        <w:spacing w:after="0"/>
        <w:tabs>
          <w:tab w:leader="none" w:pos="6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Registrant, PennantPark Floating Rate Capital Ltd., 590 Madison Avenue, 15th Floor, New York, NY 10022;</w:t>
      </w:r>
    </w:p>
    <w:p>
      <w:pPr>
        <w:spacing w:after="0" w:line="131" w:lineRule="exact"/>
        <w:rPr>
          <w:rFonts w:ascii="Arial" w:cs="Arial" w:eastAsia="Arial" w:hAnsi="Arial"/>
          <w:sz w:val="14"/>
          <w:szCs w:val="14"/>
          <w:color w:val="auto"/>
        </w:rPr>
      </w:pPr>
    </w:p>
    <w:p>
      <w:pPr>
        <w:ind w:left="660" w:hanging="196"/>
        <w:spacing w:after="0"/>
        <w:tabs>
          <w:tab w:leader="none" w:pos="6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Transfer Agent, American Stock Transfer &amp; Trust Company, LLC 6201 15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Avenue, 3rd floor, Brooklyn, NY 11219;</w:t>
      </w:r>
    </w:p>
    <w:p>
      <w:pPr>
        <w:spacing w:after="0" w:line="76" w:lineRule="exact"/>
        <w:rPr>
          <w:rFonts w:ascii="Arial" w:cs="Arial" w:eastAsia="Arial" w:hAnsi="Arial"/>
          <w:sz w:val="14"/>
          <w:szCs w:val="14"/>
          <w:color w:val="auto"/>
        </w:rPr>
      </w:pPr>
    </w:p>
    <w:p>
      <w:pPr>
        <w:ind w:left="660" w:hanging="196"/>
        <w:spacing w:after="0"/>
        <w:tabs>
          <w:tab w:leader="none" w:pos="6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Custodian, The Bank of New York Mellon, One Wall Street, New York, NY 10286; and</w:t>
      </w:r>
    </w:p>
    <w:p>
      <w:pPr>
        <w:spacing w:after="0" w:line="149" w:lineRule="exact"/>
        <w:rPr>
          <w:rFonts w:ascii="Arial" w:cs="Arial" w:eastAsia="Arial" w:hAnsi="Arial"/>
          <w:sz w:val="14"/>
          <w:szCs w:val="14"/>
          <w:color w:val="auto"/>
        </w:rPr>
      </w:pPr>
    </w:p>
    <w:p>
      <w:pPr>
        <w:ind w:left="660" w:hanging="196"/>
        <w:spacing w:after="0"/>
        <w:tabs>
          <w:tab w:leader="none" w:pos="6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Adviser, PennantPark Investment Advisers, LLC, 590 Madison Avenue, 15th Floor, New York, NY 10022.</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C-7</w:t>
      </w:r>
    </w:p>
    <w:p>
      <w:pPr>
        <w:sectPr>
          <w:pgSz w:w="11900" w:h="16838" w:orient="portrait"/>
          <w:cols w:equalWidth="0" w:num="1">
            <w:col w:w="10219"/>
          </w:cols>
          <w:pgMar w:left="240" w:top="460" w:right="1440"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33.</w:t>
      </w:r>
      <w:r>
        <w:rPr>
          <w:sz w:val="20"/>
          <w:szCs w:val="20"/>
          <w:color w:val="auto"/>
        </w:rPr>
        <w:tab/>
      </w:r>
      <w:r>
        <w:rPr>
          <w:rFonts w:ascii="Arial" w:cs="Arial" w:eastAsia="Arial" w:hAnsi="Arial"/>
          <w:sz w:val="11"/>
          <w:szCs w:val="11"/>
          <w:b w:val="1"/>
          <w:bCs w:val="1"/>
          <w:color w:val="auto"/>
        </w:rPr>
        <w:t>Management services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Not Applicable.</w:t>
      </w:r>
    </w:p>
    <w:p>
      <w:pPr>
        <w:spacing w:after="0" w:line="136"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C-8</w:t>
      </w:r>
    </w:p>
    <w:p>
      <w:pPr>
        <w:sectPr>
          <w:pgSz w:w="11900" w:h="16838" w:orient="portrait"/>
          <w:cols w:equalWidth="0" w:num="1">
            <w:col w:w="10219"/>
          </w:cols>
          <w:pgMar w:left="240" w:top="459" w:right="1440"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34.</w:t>
      </w:r>
      <w:r>
        <w:rPr>
          <w:sz w:val="20"/>
          <w:szCs w:val="20"/>
          <w:color w:val="auto"/>
        </w:rPr>
        <w:tab/>
      </w:r>
      <w:r>
        <w:rPr>
          <w:rFonts w:ascii="Arial" w:cs="Arial" w:eastAsia="Arial" w:hAnsi="Arial"/>
          <w:sz w:val="12"/>
          <w:szCs w:val="12"/>
          <w:b w:val="1"/>
          <w:bCs w:val="1"/>
          <w:color w:val="auto"/>
        </w:rPr>
        <w:t>Undertakings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Registrant hereby undertakes:</w:t>
      </w:r>
    </w:p>
    <w:p>
      <w:pPr>
        <w:spacing w:after="0" w:line="150" w:lineRule="exact"/>
        <w:rPr>
          <w:sz w:val="20"/>
          <w:szCs w:val="20"/>
          <w:color w:val="auto"/>
        </w:rPr>
      </w:pPr>
    </w:p>
    <w:p>
      <w:pPr>
        <w:ind w:left="460" w:right="140" w:firstLine="4"/>
        <w:spacing w:after="0" w:line="318" w:lineRule="auto"/>
        <w:tabs>
          <w:tab w:leader="none" w:pos="651" w:val="left"/>
        </w:tabs>
        <w:numPr>
          <w:ilvl w:val="0"/>
          <w:numId w:val="96"/>
        </w:numPr>
        <w:rPr>
          <w:rFonts w:ascii="Arial" w:cs="Arial" w:eastAsia="Arial" w:hAnsi="Arial"/>
          <w:sz w:val="12"/>
          <w:szCs w:val="12"/>
          <w:color w:val="auto"/>
        </w:rPr>
      </w:pPr>
      <w:r>
        <w:rPr>
          <w:rFonts w:ascii="Arial" w:cs="Arial" w:eastAsia="Arial" w:hAnsi="Arial"/>
          <w:sz w:val="12"/>
          <w:szCs w:val="12"/>
          <w:color w:val="auto"/>
        </w:rPr>
        <w:t>to suspend the offering of shares until it amends its prospectus if (1) subsequent to the effective date of its registration statement, the net asset value declines more than 10 percent from its net asset value as of the effective date of the registrations statement or (2) the net asset value increases to an amount greater than its net proceeds as stated in the prospectus;</w:t>
      </w:r>
    </w:p>
    <w:p>
      <w:pPr>
        <w:spacing w:after="0" w:line="93" w:lineRule="exact"/>
        <w:rPr>
          <w:rFonts w:ascii="Arial" w:cs="Arial" w:eastAsia="Arial" w:hAnsi="Arial"/>
          <w:sz w:val="12"/>
          <w:szCs w:val="12"/>
          <w:color w:val="auto"/>
        </w:rPr>
      </w:pPr>
    </w:p>
    <w:p>
      <w:pPr>
        <w:ind w:left="660" w:hanging="196"/>
        <w:spacing w:after="0"/>
        <w:tabs>
          <w:tab w:leader="none" w:pos="6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49" w:lineRule="exact"/>
        <w:rPr>
          <w:rFonts w:ascii="Arial" w:cs="Arial" w:eastAsia="Arial" w:hAnsi="Arial"/>
          <w:sz w:val="14"/>
          <w:szCs w:val="14"/>
          <w:color w:val="auto"/>
        </w:rPr>
      </w:pPr>
    </w:p>
    <w:p>
      <w:pPr>
        <w:ind w:left="460" w:firstLine="4"/>
        <w:spacing w:after="0" w:line="278" w:lineRule="auto"/>
        <w:tabs>
          <w:tab w:leader="none" w:pos="651" w:val="left"/>
        </w:tabs>
        <w:numPr>
          <w:ilvl w:val="0"/>
          <w:numId w:val="96"/>
        </w:numPr>
        <w:rPr>
          <w:rFonts w:ascii="Arial" w:cs="Arial" w:eastAsia="Arial" w:hAnsi="Arial"/>
          <w:sz w:val="12"/>
          <w:szCs w:val="12"/>
          <w:color w:val="auto"/>
        </w:rPr>
      </w:pPr>
      <w:r>
        <w:rPr>
          <w:rFonts w:ascii="Arial" w:cs="Arial" w:eastAsia="Arial" w:hAnsi="Arial"/>
          <w:sz w:val="12"/>
          <w:szCs w:val="12"/>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(4)(a) to file, during any period in which offers or sales are being made, a post-effective amendment to the registration statement:</w:t>
      </w:r>
    </w:p>
    <w:p>
      <w:pPr>
        <w:spacing w:after="0" w:line="69" w:lineRule="exact"/>
        <w:rPr>
          <w:sz w:val="20"/>
          <w:szCs w:val="20"/>
          <w:color w:val="auto"/>
        </w:rPr>
      </w:pPr>
    </w:p>
    <w:p>
      <w:pPr>
        <w:ind w:left="860" w:hanging="167"/>
        <w:spacing w:after="0"/>
        <w:tabs>
          <w:tab w:leader="none" w:pos="860" w:val="left"/>
        </w:tabs>
        <w:numPr>
          <w:ilvl w:val="1"/>
          <w:numId w:val="97"/>
        </w:numPr>
        <w:rPr>
          <w:rFonts w:ascii="Arial" w:cs="Arial" w:eastAsia="Arial" w:hAnsi="Arial"/>
          <w:sz w:val="14"/>
          <w:szCs w:val="14"/>
          <w:color w:val="auto"/>
        </w:rPr>
      </w:pPr>
      <w:r>
        <w:rPr>
          <w:rFonts w:ascii="Arial" w:cs="Arial" w:eastAsia="Arial" w:hAnsi="Arial"/>
          <w:sz w:val="14"/>
          <w:szCs w:val="14"/>
          <w:color w:val="auto"/>
        </w:rPr>
        <w:t>to include any prospectus required by Section 10(a)(3) of the Securities Act;</w:t>
      </w:r>
    </w:p>
    <w:p>
      <w:pPr>
        <w:spacing w:after="0" w:line="68" w:lineRule="exact"/>
        <w:rPr>
          <w:rFonts w:ascii="Arial" w:cs="Arial" w:eastAsia="Arial" w:hAnsi="Arial"/>
          <w:sz w:val="14"/>
          <w:szCs w:val="14"/>
          <w:color w:val="auto"/>
        </w:rPr>
      </w:pPr>
    </w:p>
    <w:p>
      <w:pPr>
        <w:ind w:left="700" w:right="120" w:hanging="7"/>
        <w:spacing w:after="0" w:line="239" w:lineRule="auto"/>
        <w:tabs>
          <w:tab w:leader="none" w:pos="899" w:val="left"/>
        </w:tabs>
        <w:numPr>
          <w:ilvl w:val="1"/>
          <w:numId w:val="97"/>
        </w:numPr>
        <w:rPr>
          <w:rFonts w:ascii="Arial" w:cs="Arial" w:eastAsia="Arial" w:hAnsi="Arial"/>
          <w:sz w:val="14"/>
          <w:szCs w:val="14"/>
          <w:color w:val="auto"/>
        </w:rPr>
      </w:pPr>
      <w:r>
        <w:rPr>
          <w:rFonts w:ascii="Arial" w:cs="Arial" w:eastAsia="Arial" w:hAnsi="Arial"/>
          <w:sz w:val="14"/>
          <w:szCs w:val="14"/>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57" w:lineRule="exact"/>
        <w:rPr>
          <w:rFonts w:ascii="Arial" w:cs="Arial" w:eastAsia="Arial" w:hAnsi="Arial"/>
          <w:sz w:val="14"/>
          <w:szCs w:val="14"/>
          <w:color w:val="auto"/>
        </w:rPr>
      </w:pPr>
    </w:p>
    <w:p>
      <w:pPr>
        <w:ind w:left="700" w:right="220" w:hanging="7"/>
        <w:spacing w:after="0" w:line="239" w:lineRule="auto"/>
        <w:tabs>
          <w:tab w:leader="none" w:pos="936" w:val="left"/>
        </w:tabs>
        <w:numPr>
          <w:ilvl w:val="1"/>
          <w:numId w:val="97"/>
        </w:numPr>
        <w:rPr>
          <w:rFonts w:ascii="Arial" w:cs="Arial" w:eastAsia="Arial" w:hAnsi="Arial"/>
          <w:sz w:val="14"/>
          <w:szCs w:val="14"/>
          <w:color w:val="auto"/>
        </w:rPr>
      </w:pPr>
      <w:r>
        <w:rPr>
          <w:rFonts w:ascii="Arial" w:cs="Arial" w:eastAsia="Arial" w:hAnsi="Arial"/>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38" w:lineRule="exact"/>
        <w:rPr>
          <w:rFonts w:ascii="Arial" w:cs="Arial" w:eastAsia="Arial" w:hAnsi="Arial"/>
          <w:sz w:val="14"/>
          <w:szCs w:val="14"/>
          <w:color w:val="auto"/>
        </w:rPr>
      </w:pPr>
    </w:p>
    <w:p>
      <w:pPr>
        <w:ind w:left="580" w:right="40" w:hanging="1"/>
        <w:spacing w:after="0" w:line="239" w:lineRule="auto"/>
        <w:tabs>
          <w:tab w:leader="none" w:pos="771" w:val="left"/>
        </w:tabs>
        <w:numPr>
          <w:ilvl w:val="0"/>
          <w:numId w:val="98"/>
        </w:numPr>
        <w:rPr>
          <w:rFonts w:ascii="Arial" w:cs="Arial" w:eastAsia="Arial" w:hAnsi="Arial"/>
          <w:sz w:val="14"/>
          <w:szCs w:val="14"/>
          <w:color w:val="auto"/>
        </w:rPr>
      </w:pPr>
      <w:r>
        <w:rPr>
          <w:rFonts w:ascii="Arial" w:cs="Arial" w:eastAsia="Arial" w:hAnsi="Arial"/>
          <w:sz w:val="14"/>
          <w:szCs w:val="14"/>
          <w:color w:val="auto"/>
        </w:rPr>
        <w:t>to file, in connection with any offering of securities, a post-effective amendment to the registration statement under Rule 462(d) to include as an exhibit a legal opinion regarding the valid issuance of any shares of common stock being sold;</w:t>
      </w:r>
    </w:p>
    <w:p>
      <w:pPr>
        <w:spacing w:after="0" w:line="57" w:lineRule="exact"/>
        <w:rPr>
          <w:rFonts w:ascii="Arial" w:cs="Arial" w:eastAsia="Arial" w:hAnsi="Arial"/>
          <w:sz w:val="14"/>
          <w:szCs w:val="14"/>
          <w:color w:val="auto"/>
        </w:rPr>
      </w:pPr>
    </w:p>
    <w:p>
      <w:pPr>
        <w:ind w:left="580" w:right="140" w:hanging="1"/>
        <w:spacing w:after="0" w:line="239" w:lineRule="auto"/>
        <w:tabs>
          <w:tab w:leader="none" w:pos="764"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7" w:lineRule="exact"/>
        <w:rPr>
          <w:rFonts w:ascii="Arial" w:cs="Arial" w:eastAsia="Arial" w:hAnsi="Arial"/>
          <w:sz w:val="14"/>
          <w:szCs w:val="14"/>
          <w:color w:val="auto"/>
        </w:rPr>
      </w:pPr>
    </w:p>
    <w:p>
      <w:pPr>
        <w:ind w:left="760" w:hanging="181"/>
        <w:spacing w:after="0"/>
        <w:tabs>
          <w:tab w:leader="none" w:pos="7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the offering;</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C-9</w:t>
      </w:r>
    </w:p>
    <w:p>
      <w:pPr>
        <w:sectPr>
          <w:pgSz w:w="11900" w:h="16838" w:orient="portrait"/>
          <w:cols w:equalWidth="0" w:num="1">
            <w:col w:w="11380"/>
          </w:cols>
          <w:pgMar w:left="240" w:top="460"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580" w:hanging="1"/>
        <w:spacing w:after="0" w:line="270" w:lineRule="auto"/>
        <w:tabs>
          <w:tab w:leader="none" w:pos="764" w:val="left"/>
        </w:tabs>
        <w:numPr>
          <w:ilvl w:val="0"/>
          <w:numId w:val="99"/>
        </w:numPr>
        <w:rPr>
          <w:rFonts w:ascii="Arial" w:cs="Arial" w:eastAsia="Arial" w:hAnsi="Arial"/>
          <w:sz w:val="12"/>
          <w:szCs w:val="12"/>
          <w:color w:val="auto"/>
        </w:rPr>
      </w:pPr>
      <w:r>
        <w:rPr>
          <w:rFonts w:ascii="Arial" w:cs="Arial" w:eastAsia="Arial" w:hAnsi="Arial"/>
          <w:sz w:val="12"/>
          <w:szCs w:val="12"/>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40" w:lineRule="exact"/>
        <w:rPr>
          <w:rFonts w:ascii="Arial" w:cs="Arial" w:eastAsia="Arial" w:hAnsi="Arial"/>
          <w:sz w:val="12"/>
          <w:szCs w:val="12"/>
          <w:color w:val="auto"/>
        </w:rPr>
      </w:pPr>
    </w:p>
    <w:p>
      <w:pPr>
        <w:ind w:left="580" w:hanging="1"/>
        <w:spacing w:after="0" w:line="230" w:lineRule="auto"/>
        <w:tabs>
          <w:tab w:leader="none" w:pos="749"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58" w:lineRule="exact"/>
        <w:rPr>
          <w:rFonts w:ascii="Arial" w:cs="Arial" w:eastAsia="Arial" w:hAnsi="Arial"/>
          <w:sz w:val="14"/>
          <w:szCs w:val="14"/>
          <w:color w:val="auto"/>
        </w:rPr>
      </w:pPr>
    </w:p>
    <w:p>
      <w:pPr>
        <w:ind w:left="860" w:hanging="167"/>
        <w:spacing w:after="0"/>
        <w:tabs>
          <w:tab w:leader="none" w:pos="860" w:val="left"/>
        </w:tabs>
        <w:numPr>
          <w:ilvl w:val="1"/>
          <w:numId w:val="99"/>
        </w:numPr>
        <w:rPr>
          <w:rFonts w:ascii="Arial" w:cs="Arial" w:eastAsia="Arial" w:hAnsi="Arial"/>
          <w:sz w:val="14"/>
          <w:szCs w:val="14"/>
          <w:color w:val="auto"/>
        </w:rPr>
      </w:pPr>
      <w:r>
        <w:rPr>
          <w:rFonts w:ascii="Arial" w:cs="Arial" w:eastAsia="Arial" w:hAnsi="Arial"/>
          <w:sz w:val="14"/>
          <w:szCs w:val="14"/>
          <w:color w:val="auto"/>
        </w:rPr>
        <w:t>any preliminary prospectus or prospectus of the undersigned Registrant relating to the offering required to be filed pursuant to Rule 497 under the Securities Act;</w:t>
      </w:r>
    </w:p>
    <w:p>
      <w:pPr>
        <w:spacing w:after="0" w:line="68" w:lineRule="exact"/>
        <w:rPr>
          <w:rFonts w:ascii="Arial" w:cs="Arial" w:eastAsia="Arial" w:hAnsi="Arial"/>
          <w:sz w:val="14"/>
          <w:szCs w:val="14"/>
          <w:color w:val="auto"/>
        </w:rPr>
      </w:pPr>
    </w:p>
    <w:p>
      <w:pPr>
        <w:ind w:left="700" w:right="100" w:hanging="7"/>
        <w:spacing w:after="0" w:line="239" w:lineRule="auto"/>
        <w:tabs>
          <w:tab w:leader="none" w:pos="899" w:val="left"/>
        </w:tabs>
        <w:numPr>
          <w:ilvl w:val="1"/>
          <w:numId w:val="99"/>
        </w:numPr>
        <w:rPr>
          <w:rFonts w:ascii="Arial" w:cs="Arial" w:eastAsia="Arial" w:hAnsi="Arial"/>
          <w:sz w:val="14"/>
          <w:szCs w:val="14"/>
          <w:color w:val="auto"/>
        </w:rPr>
      </w:pPr>
      <w:r>
        <w:rPr>
          <w:rFonts w:ascii="Arial" w:cs="Arial" w:eastAsia="Arial" w:hAnsi="Arial"/>
          <w:sz w:val="14"/>
          <w:szCs w:val="14"/>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57" w:lineRule="exact"/>
        <w:rPr>
          <w:rFonts w:ascii="Arial" w:cs="Arial" w:eastAsia="Arial" w:hAnsi="Arial"/>
          <w:sz w:val="14"/>
          <w:szCs w:val="14"/>
          <w:color w:val="auto"/>
        </w:rPr>
      </w:pPr>
    </w:p>
    <w:p>
      <w:pPr>
        <w:ind w:left="920" w:hanging="227"/>
        <w:spacing w:after="0"/>
        <w:tabs>
          <w:tab w:leader="none" w:pos="920" w:val="left"/>
        </w:tabs>
        <w:numPr>
          <w:ilvl w:val="1"/>
          <w:numId w:val="99"/>
        </w:numPr>
        <w:rPr>
          <w:rFonts w:ascii="Arial" w:cs="Arial" w:eastAsia="Arial" w:hAnsi="Arial"/>
          <w:sz w:val="14"/>
          <w:szCs w:val="14"/>
          <w:color w:val="auto"/>
        </w:rPr>
      </w:pPr>
      <w:r>
        <w:rPr>
          <w:rFonts w:ascii="Arial" w:cs="Arial" w:eastAsia="Arial" w:hAnsi="Arial"/>
          <w:sz w:val="14"/>
          <w:szCs w:val="14"/>
          <w:color w:val="auto"/>
        </w:rPr>
        <w:t>any other communication that is an offer in the offering made by the undersigned Registrant to the purchaser;</w:t>
      </w:r>
    </w:p>
    <w:p>
      <w:pPr>
        <w:spacing w:after="0" w:line="68" w:lineRule="exact"/>
        <w:rPr>
          <w:rFonts w:ascii="Arial" w:cs="Arial" w:eastAsia="Arial" w:hAnsi="Arial"/>
          <w:sz w:val="14"/>
          <w:szCs w:val="14"/>
          <w:color w:val="auto"/>
        </w:rPr>
      </w:pPr>
    </w:p>
    <w:p>
      <w:pPr>
        <w:ind w:left="580" w:right="380" w:hanging="1"/>
        <w:spacing w:after="0" w:line="228" w:lineRule="auto"/>
        <w:tabs>
          <w:tab w:leader="none" w:pos="771" w:val="left"/>
        </w:tabs>
        <w:numPr>
          <w:ilvl w:val="0"/>
          <w:numId w:val="99"/>
        </w:numPr>
        <w:rPr>
          <w:rFonts w:ascii="Arial" w:cs="Arial" w:eastAsia="Arial" w:hAnsi="Arial"/>
          <w:sz w:val="14"/>
          <w:szCs w:val="14"/>
          <w:color w:val="auto"/>
        </w:rPr>
      </w:pPr>
      <w:r>
        <w:rPr>
          <w:rFonts w:ascii="Arial" w:cs="Arial" w:eastAsia="Arial" w:hAnsi="Arial"/>
          <w:sz w:val="14"/>
          <w:szCs w:val="14"/>
          <w:color w:val="auto"/>
        </w:rPr>
        <w:t>to file a post-effective amendment to the registration statement, and to suspend any offers or sales pursuant the registration statement until such post-effective amendment has been declared effective under the 1993 Act, in the event the shares of the Registrant are trading below its net asset value and either (a) the Registrant receives, or has been advised by its independent registered accounting firm that it will receive, an audit report reflecting substantial doubt regarding the Registrant’s ability to continue as a going concern or (b) the Registrant has concluded that a material adverse change has occurred in its financial position or results of operations that has caused the financial statements and other disclosures on the basis of which the offering would be made to be materially misleading; and</w:t>
      </w:r>
    </w:p>
    <w:p>
      <w:pPr>
        <w:spacing w:after="0" w:line="140" w:lineRule="exact"/>
        <w:rPr>
          <w:sz w:val="20"/>
          <w:szCs w:val="20"/>
          <w:color w:val="auto"/>
        </w:rPr>
      </w:pPr>
    </w:p>
    <w:p>
      <w:pPr>
        <w:ind w:left="460"/>
        <w:spacing w:after="0" w:line="233" w:lineRule="auto"/>
        <w:rPr>
          <w:sz w:val="20"/>
          <w:szCs w:val="20"/>
          <w:color w:val="auto"/>
        </w:rPr>
      </w:pPr>
      <w:r>
        <w:rPr>
          <w:rFonts w:ascii="Arial" w:cs="Arial" w:eastAsia="Arial" w:hAnsi="Arial"/>
          <w:sz w:val="14"/>
          <w:szCs w:val="14"/>
          <w:color w:val="auto"/>
        </w:rPr>
        <w:t>(5)(a) that for the purposes of determining any liability under the Securities Act of 1933, the information omitted from the form of prospectus filed as part of a registration statement in reliance upon Rule 430A and contained in the form of prospectus filed by the Registrant under Rule 497(h) under the Securities Act of 1933 shall be deemed to be part of the Registration Statement as of the time it was declared effective and</w:t>
      </w:r>
    </w:p>
    <w:p>
      <w:pPr>
        <w:spacing w:after="0" w:line="58" w:lineRule="exact"/>
        <w:rPr>
          <w:sz w:val="20"/>
          <w:szCs w:val="20"/>
          <w:color w:val="auto"/>
        </w:rPr>
      </w:pPr>
    </w:p>
    <w:p>
      <w:pPr>
        <w:ind w:left="580" w:right="460" w:hanging="1"/>
        <w:spacing w:after="0" w:line="318" w:lineRule="auto"/>
        <w:tabs>
          <w:tab w:leader="none" w:pos="771" w:val="left"/>
        </w:tabs>
        <w:numPr>
          <w:ilvl w:val="1"/>
          <w:numId w:val="100"/>
        </w:numPr>
        <w:rPr>
          <w:rFonts w:ascii="Arial" w:cs="Arial" w:eastAsia="Arial" w:hAnsi="Arial"/>
          <w:sz w:val="12"/>
          <w:szCs w:val="12"/>
          <w:color w:val="auto"/>
        </w:rPr>
      </w:pPr>
      <w:r>
        <w:rPr>
          <w:rFonts w:ascii="Arial" w:cs="Arial" w:eastAsia="Arial" w:hAnsi="Arial"/>
          <w:sz w:val="12"/>
          <w:szCs w:val="12"/>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93" w:lineRule="exact"/>
        <w:rPr>
          <w:rFonts w:ascii="Arial" w:cs="Arial" w:eastAsia="Arial" w:hAnsi="Arial"/>
          <w:sz w:val="12"/>
          <w:szCs w:val="12"/>
          <w:color w:val="auto"/>
        </w:rPr>
      </w:pPr>
    </w:p>
    <w:p>
      <w:pPr>
        <w:ind w:left="660" w:hanging="196"/>
        <w:spacing w:after="0"/>
        <w:tabs>
          <w:tab w:leader="none" w:pos="6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49" w:lineRule="exact"/>
        <w:rPr>
          <w:rFonts w:ascii="Arial" w:cs="Arial" w:eastAsia="Arial" w:hAnsi="Arial"/>
          <w:sz w:val="14"/>
          <w:szCs w:val="14"/>
          <w:color w:val="auto"/>
        </w:rPr>
      </w:pPr>
    </w:p>
    <w:p>
      <w:pPr>
        <w:ind w:left="460" w:right="80" w:firstLine="4"/>
        <w:spacing w:after="0" w:line="228" w:lineRule="auto"/>
        <w:tabs>
          <w:tab w:leader="none" w:pos="651"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to not seek to sell shares under a prospectus supplement to the registration statement, or a post-effective amendment to the registration statement, of which the prospectus forms a part (the “current registration statement”) if the cumulative dilution to the Registrant’s net asset value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If the Registrant files a new post-effective amendment, the threshold would reset.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C-10</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52" w:lineRule="exact"/>
        <w:rPr>
          <w:sz w:val="20"/>
          <w:szCs w:val="20"/>
          <w:color w:val="auto"/>
        </w:rPr>
      </w:pPr>
    </w:p>
    <w:p>
      <w:pPr>
        <w:ind w:right="100" w:firstLine="342"/>
        <w:spacing w:after="0" w:line="239" w:lineRule="auto"/>
        <w:rPr>
          <w:sz w:val="20"/>
          <w:szCs w:val="20"/>
          <w:color w:val="auto"/>
        </w:rPr>
      </w:pPr>
      <w:r>
        <w:rPr>
          <w:rFonts w:ascii="Arial" w:cs="Arial" w:eastAsia="Arial" w:hAnsi="Arial"/>
          <w:sz w:val="14"/>
          <w:szCs w:val="14"/>
          <w:color w:val="auto"/>
        </w:rPr>
        <w:t>Pursuant to the requirements of the Securities Act of 1933, the Registrant has duly caused this Pre-Effective Amendment No. 1 to the Registration Statement on Form N-2 to be signed on its behalf by the undersigned, thereunto duly authorized, in the City of New York, and State of New York, on the 18th day of September 2013.</w:t>
      </w:r>
    </w:p>
    <w:p>
      <w:pPr>
        <w:spacing w:after="0" w:line="17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  Arthur H. Penn</w:t>
            </w:r>
          </w:p>
        </w:tc>
      </w:tr>
      <w:tr>
        <w:trPr>
          <w:trHeight w:val="169"/>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1"/>
              </w:rPr>
              <w:t>Arthur H. Penn</w:t>
            </w:r>
          </w:p>
        </w:tc>
      </w:tr>
      <w:tr>
        <w:trPr>
          <w:trHeight w:val="204"/>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 and Chairman of the</w:t>
            </w:r>
          </w:p>
        </w:tc>
      </w:tr>
      <w:tr>
        <w:trPr>
          <w:trHeight w:val="174"/>
        </w:trPr>
        <w:tc>
          <w:tcPr>
            <w:tcW w:w="42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Board</w:t>
            </w:r>
          </w:p>
        </w:tc>
      </w:tr>
    </w:tbl>
    <w:p>
      <w:pPr>
        <w:spacing w:after="0" w:line="152" w:lineRule="exact"/>
        <w:rPr>
          <w:sz w:val="20"/>
          <w:szCs w:val="20"/>
          <w:color w:val="auto"/>
        </w:rPr>
      </w:pPr>
    </w:p>
    <w:p>
      <w:pPr>
        <w:ind w:right="100" w:firstLine="342"/>
        <w:spacing w:after="0" w:line="239" w:lineRule="auto"/>
        <w:rPr>
          <w:sz w:val="20"/>
          <w:szCs w:val="20"/>
          <w:color w:val="auto"/>
        </w:rPr>
      </w:pPr>
      <w:r>
        <w:rPr>
          <w:rFonts w:ascii="Arial" w:cs="Arial" w:eastAsia="Arial" w:hAnsi="Arial"/>
          <w:sz w:val="14"/>
          <w:szCs w:val="14"/>
          <w:color w:val="auto"/>
        </w:rPr>
        <w:t>Pursuant to the requirements of the Securities Act of 1933, this Pre-Effective Amendment No. 1 to the Registration Statement has been signed by the following persons in the capacities set forth below on the 18th day of September 2013.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w:t>
            </w:r>
          </w:p>
        </w:tc>
        <w:tc>
          <w:tcPr>
            <w:tcW w:w="800" w:type="dxa"/>
            <w:vAlign w:val="bottom"/>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547"/>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/s/ Arthur H. Penn</w:t>
            </w:r>
          </w:p>
        </w:tc>
        <w:tc>
          <w:tcPr>
            <w:tcW w:w="80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145"/>
        </w:trPr>
        <w:tc>
          <w:tcPr>
            <w:tcW w:w="52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Arthur H. Penn</w:t>
            </w:r>
          </w:p>
        </w:tc>
        <w:tc>
          <w:tcPr>
            <w:tcW w:w="800" w:type="dxa"/>
            <w:vAlign w:val="bottom"/>
          </w:tcPr>
          <w:p>
            <w:pPr>
              <w:spacing w:after="0"/>
              <w:rPr>
                <w:sz w:val="12"/>
                <w:szCs w:val="12"/>
                <w:color w:val="auto"/>
              </w:rPr>
            </w:pPr>
          </w:p>
        </w:tc>
        <w:tc>
          <w:tcPr>
            <w:tcW w:w="5360" w:type="dxa"/>
            <w:vAlign w:val="bottom"/>
          </w:tcPr>
          <w:p>
            <w:pPr>
              <w:jc w:val="center"/>
              <w:spacing w:after="0" w:line="145" w:lineRule="exact"/>
              <w:rPr>
                <w:sz w:val="20"/>
                <w:szCs w:val="20"/>
                <w:color w:val="auto"/>
              </w:rPr>
            </w:pPr>
            <w:r>
              <w:rPr>
                <w:rFonts w:ascii="Arial" w:cs="Arial" w:eastAsia="Arial" w:hAnsi="Arial"/>
                <w:sz w:val="14"/>
                <w:szCs w:val="14"/>
                <w:color w:val="auto"/>
                <w:w w:val="89"/>
              </w:rPr>
              <w:t>Chairman of the Board of Directors and Chief Executive Officer</w:t>
            </w:r>
          </w:p>
        </w:tc>
      </w:tr>
      <w:tr>
        <w:trPr>
          <w:trHeight w:val="172"/>
        </w:trPr>
        <w:tc>
          <w:tcPr>
            <w:tcW w:w="5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90"/>
              </w:rPr>
              <w:t>(Principal Executive Officer)</w:t>
            </w:r>
          </w:p>
        </w:tc>
      </w:tr>
      <w:tr>
        <w:trPr>
          <w:trHeight w:val="35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 Aviv Efrat</w:t>
            </w:r>
          </w:p>
        </w:tc>
        <w:tc>
          <w:tcPr>
            <w:tcW w:w="80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169"/>
        </w:trPr>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91"/>
              </w:rPr>
              <w:t>Aviv Efrat</w:t>
            </w:r>
          </w:p>
        </w:tc>
        <w:tc>
          <w:tcPr>
            <w:tcW w:w="800" w:type="dxa"/>
            <w:vAlign w:val="bottom"/>
          </w:tcPr>
          <w:p>
            <w:pPr>
              <w:spacing w:after="0"/>
              <w:rPr>
                <w:sz w:val="14"/>
                <w:szCs w:val="1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Chief Financial Officer and Treasurer (Principal Financial and Accounting Officer)</w:t>
            </w:r>
          </w:p>
        </w:tc>
      </w:tr>
      <w:tr>
        <w:trPr>
          <w:trHeight w:val="35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169"/>
        </w:trPr>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9"/>
              </w:rPr>
              <w:t>Adam K. Bernstein</w:t>
            </w:r>
          </w:p>
        </w:tc>
        <w:tc>
          <w:tcPr>
            <w:tcW w:w="800" w:type="dxa"/>
            <w:vAlign w:val="bottom"/>
          </w:tcPr>
          <w:p>
            <w:pPr>
              <w:spacing w:after="0"/>
              <w:rPr>
                <w:sz w:val="14"/>
                <w:szCs w:val="1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35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169"/>
        </w:trPr>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8"/>
              </w:rPr>
              <w:t>Jeffrey Flug</w:t>
            </w:r>
          </w:p>
        </w:tc>
        <w:tc>
          <w:tcPr>
            <w:tcW w:w="800" w:type="dxa"/>
            <w:vAlign w:val="bottom"/>
          </w:tcPr>
          <w:p>
            <w:pPr>
              <w:spacing w:after="0"/>
              <w:rPr>
                <w:sz w:val="14"/>
                <w:szCs w:val="1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35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169"/>
        </w:trPr>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8"/>
              </w:rPr>
              <w:t>Marshall Brozost</w:t>
            </w:r>
          </w:p>
        </w:tc>
        <w:tc>
          <w:tcPr>
            <w:tcW w:w="800" w:type="dxa"/>
            <w:vAlign w:val="bottom"/>
          </w:tcPr>
          <w:p>
            <w:pPr>
              <w:spacing w:after="0"/>
              <w:rPr>
                <w:sz w:val="14"/>
                <w:szCs w:val="1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35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169"/>
        </w:trPr>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90"/>
              </w:rPr>
              <w:t>Samuel L. Katz</w:t>
            </w:r>
          </w:p>
        </w:tc>
        <w:tc>
          <w:tcPr>
            <w:tcW w:w="800" w:type="dxa"/>
            <w:vAlign w:val="bottom"/>
          </w:tcPr>
          <w:p>
            <w:pPr>
              <w:spacing w:after="0"/>
              <w:rPr>
                <w:sz w:val="14"/>
                <w:szCs w:val="1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bl>
    <w:p>
      <w:pPr>
        <w:spacing w:after="0" w:line="179" w:lineRule="exact"/>
        <w:rPr>
          <w:sz w:val="20"/>
          <w:szCs w:val="20"/>
          <w:color w:val="auto"/>
        </w:rPr>
      </w:pPr>
    </w:p>
    <w:p>
      <w:pPr>
        <w:ind w:left="5580" w:right="4320" w:hanging="5572"/>
        <w:spacing w:after="0" w:line="459" w:lineRule="auto"/>
        <w:tabs>
          <w:tab w:leader="none" w:pos="223" w:val="left"/>
        </w:tabs>
        <w:numPr>
          <w:ilvl w:val="0"/>
          <w:numId w:val="102"/>
        </w:numPr>
        <w:rPr>
          <w:rFonts w:ascii="Arial" w:cs="Arial" w:eastAsia="Arial" w:hAnsi="Arial"/>
          <w:sz w:val="14"/>
          <w:szCs w:val="14"/>
          <w:color w:val="auto"/>
        </w:rPr>
      </w:pPr>
      <w:r>
        <w:rPr>
          <w:rFonts w:ascii="Arial" w:cs="Arial" w:eastAsia="Arial" w:hAnsi="Arial"/>
          <w:sz w:val="14"/>
          <w:szCs w:val="14"/>
          <w:color w:val="auto"/>
        </w:rPr>
        <w:t>Signed by Aviv Efrat on behalf of those identified pursuant to his designation as an attorney-in-fact signed on August 13, 2013. C-11</w:t>
      </w:r>
    </w:p>
    <w:p>
      <w:pPr>
        <w:sectPr>
          <w:pgSz w:w="11900" w:h="16838" w:orient="portrait"/>
          <w:cols w:equalWidth="0" w:num="1">
            <w:col w:w="11420"/>
          </w:cols>
          <w:pgMar w:left="240" w:top="459"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(n)(1)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Subsidiary</w:t>
      </w:r>
    </w:p>
    <w:p>
      <w:pPr>
        <w:spacing w:after="0" w:line="138" w:lineRule="exact"/>
        <w:rPr>
          <w:sz w:val="20"/>
          <w:szCs w:val="20"/>
          <w:color w:val="auto"/>
        </w:rPr>
      </w:pPr>
    </w:p>
    <w:p>
      <w:pPr>
        <w:ind w:right="80"/>
        <w:spacing w:after="0" w:line="230" w:lineRule="auto"/>
        <w:rPr>
          <w:sz w:val="20"/>
          <w:szCs w:val="20"/>
          <w:color w:val="auto"/>
        </w:rPr>
      </w:pPr>
      <w:r>
        <w:rPr>
          <w:rFonts w:ascii="Arial" w:cs="Arial" w:eastAsia="Arial" w:hAnsi="Arial"/>
          <w:sz w:val="14"/>
          <w:szCs w:val="14"/>
          <w:color w:val="auto"/>
        </w:rPr>
        <w:t>We consent to the use of our audit reports dated November 14, 2012 with respect to the consolidated financial statements of PennantPark Floating Rate Capital Ltd. and its subsidiary (the “Company”) as of September 30, 2012 and 2011, and for the year ended September 30, 2012 and for the period from March 4, 2011 (commencement of operations) to September 30, 2011, and the effectiveness of internal control over financial reporting as of September 30, 2012, included in the Registration Statement on Form N-2/A, and to the references to our firm under the headings “Selected Financial Data,” “Senior Securities” and “Independent Registered Public Accounting Firm” in such registration statement.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September 18, 2013</w:t>
      </w:r>
    </w:p>
    <w:p>
      <w:pPr>
        <w:sectPr>
          <w:pgSz w:w="11900" w:h="16838" w:orient="portrait"/>
          <w:cols w:equalWidth="0" w:num="1">
            <w:col w:w="11420"/>
          </w:cols>
          <w:pgMar w:left="240" w:top="125"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(n)(2)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Awareness Letter of Independent Registered Public Accounting Firm</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Subsidiary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Re: Securities Act of 1933 Registration No. 333-190602 and Investment Company Act of 1940</w:t>
      </w:r>
    </w:p>
    <w:p>
      <w:pPr>
        <w:spacing w:after="0"/>
        <w:rPr>
          <w:sz w:val="20"/>
          <w:szCs w:val="20"/>
          <w:color w:val="auto"/>
        </w:rPr>
      </w:pPr>
      <w:r>
        <w:rPr>
          <w:rFonts w:ascii="Arial" w:cs="Arial" w:eastAsia="Arial" w:hAnsi="Arial"/>
          <w:sz w:val="14"/>
          <w:szCs w:val="14"/>
          <w:color w:val="auto"/>
        </w:rPr>
        <w:t>File No. 814-00891</w:t>
      </w:r>
    </w:p>
    <w:p>
      <w:pPr>
        <w:spacing w:after="0" w:line="138" w:lineRule="exact"/>
        <w:rPr>
          <w:sz w:val="20"/>
          <w:szCs w:val="20"/>
          <w:color w:val="auto"/>
        </w:rPr>
      </w:pPr>
    </w:p>
    <w:p>
      <w:pPr>
        <w:ind w:right="20"/>
        <w:spacing w:after="0" w:line="233" w:lineRule="auto"/>
        <w:rPr>
          <w:sz w:val="20"/>
          <w:szCs w:val="20"/>
          <w:color w:val="auto"/>
        </w:rPr>
      </w:pPr>
      <w:r>
        <w:rPr>
          <w:rFonts w:ascii="Arial" w:cs="Arial" w:eastAsia="Arial" w:hAnsi="Arial"/>
          <w:sz w:val="14"/>
          <w:szCs w:val="14"/>
          <w:color w:val="auto"/>
        </w:rPr>
        <w:t>With respect to the subject registration statement, we acknowledge our awareness of the use therein of our report dated August 8, 2013 related to our review of interim financial information. 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September 18, 2013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1"/>
      <w:numFmt w:val="decimal"/>
      <w:start w:val="590"/>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1)"/>
      <w:numFmt w:val="decimal"/>
      <w:start w:val="1"/>
    </w:lvl>
  </w:abstractNum>
  <w:abstractNum w:abstractNumId="3">
    <w:nsid w:val="70C6A529"/>
    <w:multiLevelType w:val="hybridMultilevel"/>
    <w:lvl w:ilvl="0">
      <w:lvlJc w:val="left"/>
      <w:lvlText w:val="(%1)"/>
      <w:numFmt w:val="decimal"/>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1)"/>
      <w:numFmt w:val="decimal"/>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1)"/>
      <w:numFmt w:val="decimal"/>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1)"/>
      <w:numFmt w:val="decimal"/>
      <w:start w:val="1"/>
    </w:lvl>
  </w:abstractNum>
  <w:abstractNum w:abstractNumId="17">
    <w:nsid w:val="741226BB"/>
    <w:multiLevelType w:val="hybridMultilevel"/>
    <w:lvl w:ilvl="0">
      <w:lvlJc w:val="left"/>
      <w:lvlText w:val="(%1)"/>
      <w:numFmt w:val="decimal"/>
      <w:start w:val="1"/>
    </w:lvl>
  </w:abstractNum>
  <w:abstractNum w:abstractNumId="18">
    <w:nsid w:val="D34B6A8"/>
    <w:multiLevelType w:val="hybridMultilevel"/>
    <w:lvl w:ilvl="0">
      <w:lvlJc w:val="left"/>
      <w:lvlText w:val="(%1)"/>
      <w:numFmt w:val="decimal"/>
      <w:start w:val="1"/>
    </w:lvl>
  </w:abstractNum>
  <w:abstractNum w:abstractNumId="19">
    <w:nsid w:val="10233C99"/>
    <w:multiLevelType w:val="hybridMultilevel"/>
    <w:lvl w:ilvl="0">
      <w:lvlJc w:val="left"/>
      <w:lvlText w:val="(%1)"/>
      <w:numFmt w:val="decimal"/>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1)"/>
      <w:numFmt w:val="decimal"/>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1)"/>
      <w:numFmt w:val="decimal"/>
      <w:start w:val="4"/>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1)"/>
      <w:numFmt w:val="decimal"/>
      <w:start w:val="1"/>
    </w:lvl>
  </w:abstractNum>
  <w:abstractNum w:abstractNumId="31">
    <w:nsid w:val="1F48EAA1"/>
    <w:multiLevelType w:val="hybridMultilevel"/>
    <w:lvl w:ilvl="0">
      <w:lvlJc w:val="left"/>
      <w:lvlText w:val="(%1)"/>
      <w:numFmt w:val="decimal"/>
      <w:start w:val="3"/>
    </w:lvl>
  </w:abstractNum>
  <w:abstractNum w:abstractNumId="32">
    <w:nsid w:val="1381823A"/>
    <w:multiLevelType w:val="hybridMultilevel"/>
    <w:lvl w:ilvl="0">
      <w:lvlJc w:val="left"/>
      <w:lvlText w:val="(%1)"/>
      <w:numFmt w:val="decimal"/>
      <w:start w:val="1"/>
    </w:lvl>
  </w:abstractNum>
  <w:abstractNum w:abstractNumId="33">
    <w:nsid w:val="5DB70AE5"/>
    <w:multiLevelType w:val="hybridMultilevel"/>
    <w:lvl w:ilvl="0">
      <w:lvlJc w:val="left"/>
      <w:lvlText w:val="(%1)"/>
      <w:numFmt w:val="decimal"/>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1)"/>
      <w:numFmt w:val="decimal"/>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1)"/>
      <w:numFmt w:val="decimal"/>
      <w:start w:val="1"/>
    </w:lvl>
  </w:abstractNum>
  <w:abstractNum w:abstractNumId="41">
    <w:nsid w:val="42C296BD"/>
    <w:multiLevelType w:val="hybridMultilevel"/>
    <w:lvl w:ilvl="0">
      <w:lvlJc w:val="left"/>
      <w:lvlText w:val="(%1)"/>
      <w:numFmt w:val="decimal"/>
      <w:start w:val="1"/>
    </w:lvl>
  </w:abstractNum>
  <w:abstractNum w:abstractNumId="42">
    <w:nsid w:val="168E121F"/>
    <w:multiLevelType w:val="hybridMultilevel"/>
    <w:lvl w:ilvl="0">
      <w:lvlJc w:val="left"/>
      <w:lvlText w:val="(%1)"/>
      <w:numFmt w:val="decimal"/>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1)"/>
      <w:numFmt w:val="lowerLetter"/>
      <w:start w:val="3"/>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
      <w:numFmt w:val="bullet"/>
      <w:start w:val="1"/>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
      <w:numFmt w:val="bullet"/>
      <w:start w:val="1"/>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
      <w:numFmt w:val="bullet"/>
      <w:start w:val="1"/>
    </w:lvl>
  </w:abstractNum>
  <w:abstractNum w:abstractNumId="55">
    <w:nsid w:val="1A32234B"/>
    <w:multiLevelType w:val="hybridMultilevel"/>
    <w:lvl w:ilvl="0">
      <w:lvlJc w:val="left"/>
      <w:lvlText w:val="•"/>
      <w:numFmt w:val="bullet"/>
      <w:start w:val="1"/>
    </w:lvl>
  </w:abstractNum>
  <w:abstractNum w:abstractNumId="56">
    <w:nsid w:val="3B0FD379"/>
    <w:multiLevelType w:val="hybridMultilevel"/>
    <w:lvl w:ilvl="0">
      <w:lvlJc w:val="left"/>
      <w:lvlText w:val="•"/>
      <w:numFmt w:val="bullet"/>
      <w:start w:val="1"/>
    </w:lvl>
  </w:abstractNum>
  <w:abstractNum w:abstractNumId="57">
    <w:nsid w:val="68EB2F63"/>
    <w:multiLevelType w:val="hybridMultilevel"/>
    <w:lvl w:ilvl="0">
      <w:lvlJc w:val="left"/>
      <w:lvlText w:val="•"/>
      <w:numFmt w:val="bullet"/>
      <w:start w:val="1"/>
    </w:lvl>
  </w:abstractNum>
  <w:abstractNum w:abstractNumId="58">
    <w:nsid w:val="4962813B"/>
    <w:multiLevelType w:val="hybridMultilevel"/>
    <w:lvl w:ilvl="0">
      <w:lvlJc w:val="left"/>
      <w:lvlText w:val="•"/>
      <w:numFmt w:val="bullet"/>
      <w:start w:val="1"/>
    </w:lvl>
  </w:abstractNum>
  <w:abstractNum w:abstractNumId="59">
    <w:nsid w:val="60B6DF70"/>
    <w:multiLevelType w:val="hybridMultilevel"/>
    <w:lvl w:ilvl="0">
      <w:lvlJc w:val="left"/>
      <w:lvlText w:val="•"/>
      <w:numFmt w:val="bullet"/>
      <w:start w:val="1"/>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
      <w:numFmt w:val="bullet"/>
      <w:start w:val="1"/>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
      <w:numFmt w:val="bullet"/>
      <w:start w:val="1"/>
    </w:lvl>
  </w:abstractNum>
  <w:abstractNum w:abstractNumId="64">
    <w:nsid w:val="71EA1109"/>
    <w:multiLevelType w:val="hybridMultilevel"/>
    <w:lvl w:ilvl="0">
      <w:lvlJc w:val="left"/>
      <w:lvlText w:val="•"/>
      <w:numFmt w:val="bullet"/>
      <w:start w:val="1"/>
    </w:lvl>
  </w:abstractNum>
  <w:abstractNum w:abstractNumId="65">
    <w:nsid w:val="100F59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6">
    <w:nsid w:val="7FB7E0AA"/>
    <w:multiLevelType w:val="hybridMultilevel"/>
    <w:lvl w:ilvl="0">
      <w:lvlJc w:val="left"/>
      <w:lvlText w:val="•"/>
      <w:numFmt w:val="bullet"/>
      <w:start w:val="1"/>
    </w:lvl>
  </w:abstractNum>
  <w:abstractNum w:abstractNumId="67">
    <w:nsid w:val="6EB5BD4"/>
    <w:multiLevelType w:val="hybridMultilevel"/>
    <w:lvl w:ilvl="0">
      <w:lvlJc w:val="left"/>
      <w:lvlText w:val="•"/>
      <w:numFmt w:val="bullet"/>
      <w:start w:val="1"/>
    </w:lvl>
  </w:abstractNum>
  <w:abstractNum w:abstractNumId="68">
    <w:nsid w:val="6F6DD9AC"/>
    <w:multiLevelType w:val="hybridMultilevel"/>
    <w:lvl w:ilvl="0">
      <w:lvlJc w:val="left"/>
      <w:lvlText w:val="•"/>
      <w:numFmt w:val="bullet"/>
      <w:start w:val="1"/>
    </w:lvl>
    <w:lvl w:ilvl="1">
      <w:lvlJc w:val="left"/>
      <w:lvlText w:val="%2)"/>
      <w:numFmt w:val="decimal"/>
      <w:start w:val="1"/>
    </w:lvl>
  </w:abstractNum>
  <w:abstractNum w:abstractNumId="69">
    <w:nsid w:val="94211F2"/>
    <w:multiLevelType w:val="hybridMultilevel"/>
    <w:lvl w:ilvl="0">
      <w:lvlJc w:val="left"/>
      <w:lvlText w:val="•"/>
      <w:numFmt w:val="bullet"/>
      <w:start w:val="1"/>
    </w:lvl>
  </w:abstractNum>
  <w:abstractNum w:abstractNumId="70">
    <w:nsid w:val="885E1B"/>
    <w:multiLevelType w:val="hybridMultilevel"/>
    <w:lvl w:ilvl="0">
      <w:lvlJc w:val="left"/>
      <w:lvlText w:val="(%1)"/>
      <w:numFmt w:val="decimal"/>
      <w:start w:val="1"/>
    </w:lvl>
  </w:abstractNum>
  <w:abstractNum w:abstractNumId="71">
    <w:nsid w:val="76272110"/>
    <w:multiLevelType w:val="hybridMultilevel"/>
    <w:lvl w:ilvl="0">
      <w:lvlJc w:val="left"/>
      <w:lvlText w:val="(%1)"/>
      <w:numFmt w:val="decimal"/>
      <w:start w:val="1"/>
    </w:lvl>
  </w:abstractNum>
  <w:abstractNum w:abstractNumId="72">
    <w:nsid w:val="4C04A8AF"/>
    <w:multiLevelType w:val="hybridMultilevel"/>
    <w:lvl w:ilvl="0">
      <w:lvlJc w:val="left"/>
      <w:lvlText w:val="(%1)"/>
      <w:numFmt w:val="decimal"/>
      <w:start w:val="1"/>
    </w:lvl>
    <w:lvl w:ilvl="1">
      <w:lvlJc w:val="left"/>
      <w:lvlText w:val="(%2)"/>
      <w:numFmt w:val="lowerLetter"/>
      <w:start w:val="2"/>
    </w:lvl>
  </w:abstractNum>
  <w:abstractNum w:abstractNumId="73">
    <w:nsid w:val="1716703B"/>
    <w:multiLevelType w:val="hybridMultilevel"/>
    <w:lvl w:ilvl="0">
      <w:lvlJc w:val="left"/>
      <w:lvlText w:val="*"/>
      <w:numFmt w:val="bullet"/>
      <w:start w:val="1"/>
    </w:lvl>
  </w:abstractNum>
  <w:abstractNum w:abstractNumId="74">
    <w:nsid w:val="14E17E33"/>
    <w:multiLevelType w:val="hybridMultilevel"/>
    <w:lvl w:ilvl="0">
      <w:lvlJc w:val="left"/>
      <w:lvlText w:val="*"/>
      <w:numFmt w:val="bullet"/>
      <w:start w:val="1"/>
    </w:lvl>
  </w:abstractNum>
  <w:abstractNum w:abstractNumId="75">
    <w:nsid w:val="3222E7CD"/>
    <w:multiLevelType w:val="hybridMultilevel"/>
    <w:lvl w:ilvl="0">
      <w:lvlJc w:val="left"/>
      <w:lvlText w:val="(%1)"/>
      <w:numFmt w:val="decimal"/>
      <w:start w:val="1"/>
    </w:lvl>
  </w:abstractNum>
  <w:abstractNum w:abstractNumId="76">
    <w:nsid w:val="74DE0EE3"/>
    <w:multiLevelType w:val="hybridMultilevel"/>
    <w:lvl w:ilvl="0">
      <w:lvlJc w:val="left"/>
      <w:lvlText w:val="(%1)"/>
      <w:numFmt w:val="decimal"/>
      <w:start w:val="1"/>
    </w:lvl>
  </w:abstractNum>
  <w:abstractNum w:abstractNumId="77">
    <w:nsid w:val="68EBC550"/>
    <w:multiLevelType w:val="hybridMultilevel"/>
    <w:lvl w:ilvl="0">
      <w:lvlJc w:val="left"/>
      <w:lvlText w:val="(%1)"/>
      <w:numFmt w:val="decimal"/>
      <w:start w:val="1"/>
    </w:lvl>
  </w:abstractNum>
  <w:abstractNum w:abstractNumId="78">
    <w:nsid w:val="2DF6D648"/>
    <w:multiLevelType w:val="hybridMultilevel"/>
    <w:lvl w:ilvl="0">
      <w:lvlJc w:val="left"/>
      <w:lvlText w:val="(%1)"/>
      <w:numFmt w:val="decimal"/>
      <w:start w:val="1"/>
    </w:lvl>
    <w:lvl w:ilvl="1">
      <w:lvlJc w:val="left"/>
      <w:lvlText w:val="(%2)"/>
      <w:numFmt w:val="lowerLetter"/>
      <w:start w:val="2"/>
    </w:lvl>
  </w:abstractNum>
  <w:abstractNum w:abstractNumId="79">
    <w:nsid w:val="46B7D447"/>
    <w:multiLevelType w:val="hybridMultilevel"/>
    <w:lvl w:ilvl="0">
      <w:lvlJc w:val="left"/>
      <w:lvlText w:val="*"/>
      <w:numFmt w:val="bullet"/>
      <w:start w:val="1"/>
    </w:lvl>
  </w:abstractNum>
  <w:abstractNum w:abstractNumId="80">
    <w:nsid w:val="4A2AC315"/>
    <w:multiLevelType w:val="hybridMultilevel"/>
    <w:lvl w:ilvl="0">
      <w:lvlJc w:val="left"/>
      <w:lvlText w:val="1"/>
      <w:numFmt w:val="bullet"/>
      <w:start w:val="1"/>
    </w:lvl>
  </w:abstractNum>
  <w:abstractNum w:abstractNumId="81">
    <w:nsid w:val="39EE015C"/>
    <w:multiLevelType w:val="hybridMultilevel"/>
    <w:lvl w:ilvl="0">
      <w:lvlJc w:val="left"/>
      <w:lvlText w:val="2"/>
      <w:numFmt w:val="bullet"/>
      <w:start w:val="1"/>
    </w:lvl>
  </w:abstractNum>
  <w:abstractNum w:abstractNumId="82">
    <w:nsid w:val="57FC4FBB"/>
    <w:multiLevelType w:val="hybridMultilevel"/>
    <w:lvl w:ilvl="0">
      <w:lvlJc w:val="left"/>
      <w:lvlText w:val="(%1)"/>
      <w:numFmt w:val="lowerLetter"/>
      <w:start w:val="1"/>
    </w:lvl>
  </w:abstractNum>
  <w:abstractNum w:abstractNumId="83">
    <w:nsid w:val="CC1016F"/>
    <w:multiLevelType w:val="hybridMultilevel"/>
    <w:lvl w:ilvl="0">
      <w:lvlJc w:val="left"/>
      <w:lvlText w:val="(%1)"/>
      <w:numFmt w:val="lowerLetter"/>
      <w:start w:val="5"/>
    </w:lvl>
  </w:abstractNum>
  <w:abstractNum w:abstractNumId="84">
    <w:nsid w:val="43F18422"/>
    <w:multiLevelType w:val="hybridMultilevel"/>
    <w:lvl w:ilvl="0">
      <w:lvlJc w:val="left"/>
      <w:lvlText w:val="(%1)"/>
      <w:numFmt w:val="lowerLetter"/>
      <w:start w:val="7"/>
    </w:lvl>
  </w:abstractNum>
  <w:abstractNum w:abstractNumId="85">
    <w:nsid w:val="60EF0119"/>
    <w:multiLevelType w:val="hybridMultilevel"/>
    <w:lvl w:ilvl="0">
      <w:lvlJc w:val="left"/>
      <w:lvlText w:val="(%1)"/>
      <w:numFmt w:val="lowerLetter"/>
      <w:start w:val="10"/>
    </w:lvl>
  </w:abstractNum>
  <w:abstractNum w:abstractNumId="86">
    <w:nsid w:val="26F324BA"/>
    <w:multiLevelType w:val="hybridMultilevel"/>
    <w:lvl w:ilvl="0">
      <w:lvlJc w:val="left"/>
      <w:lvlText w:val="2"/>
      <w:numFmt w:val="bullet"/>
      <w:start w:val="1"/>
    </w:lvl>
  </w:abstractNum>
  <w:abstractNum w:abstractNumId="87">
    <w:nsid w:val="7F01579B"/>
    <w:multiLevelType w:val="hybridMultilevel"/>
    <w:lvl w:ilvl="0">
      <w:lvlJc w:val="left"/>
      <w:lvlText w:val="$"/>
      <w:numFmt w:val="bullet"/>
      <w:start w:val="1"/>
    </w:lvl>
  </w:abstractNum>
  <w:abstractNum w:abstractNumId="88">
    <w:nsid w:val="49DA307D"/>
    <w:multiLevelType w:val="hybridMultilevel"/>
    <w:lvl w:ilvl="0">
      <w:lvlJc w:val="left"/>
      <w:lvlText w:val="$"/>
      <w:numFmt w:val="bullet"/>
      <w:start w:val="1"/>
    </w:lvl>
  </w:abstractNum>
  <w:abstractNum w:abstractNumId="89">
    <w:nsid w:val="7055A5F5"/>
    <w:multiLevelType w:val="hybridMultilevel"/>
    <w:lvl w:ilvl="0">
      <w:lvlJc w:val="left"/>
      <w:lvlText w:val="$"/>
      <w:numFmt w:val="bullet"/>
      <w:start w:val="1"/>
    </w:lvl>
  </w:abstractNum>
  <w:abstractNum w:abstractNumId="90">
    <w:nsid w:val="5FB8370B"/>
    <w:multiLevelType w:val="hybridMultilevel"/>
    <w:lvl w:ilvl="0">
      <w:lvlJc w:val="left"/>
      <w:lvlText w:val="$"/>
      <w:numFmt w:val="bullet"/>
      <w:start w:val="1"/>
    </w:lvl>
  </w:abstractNum>
  <w:abstractNum w:abstractNumId="91">
    <w:nsid w:val="50801EE1"/>
    <w:multiLevelType w:val="hybridMultilevel"/>
    <w:lvl w:ilvl="0">
      <w:lvlJc w:val="left"/>
      <w:lvlText w:val="$"/>
      <w:numFmt w:val="bullet"/>
      <w:start w:val="1"/>
    </w:lvl>
  </w:abstractNum>
  <w:abstractNum w:abstractNumId="92">
    <w:nsid w:val="488AC1A"/>
    <w:multiLevelType w:val="hybridMultilevel"/>
    <w:lvl w:ilvl="0">
      <w:lvlJc w:val="left"/>
      <w:lvlText w:val="$"/>
      <w:numFmt w:val="bullet"/>
      <w:start w:val="1"/>
    </w:lvl>
  </w:abstractNum>
  <w:abstractNum w:abstractNumId="93">
    <w:nsid w:val="5FB8011C"/>
    <w:multiLevelType w:val="hybridMultilevel"/>
    <w:lvl w:ilvl="0">
      <w:lvlJc w:val="left"/>
      <w:lvlText w:val="$"/>
      <w:numFmt w:val="bullet"/>
      <w:start w:val="1"/>
    </w:lvl>
  </w:abstractNum>
  <w:abstractNum w:abstractNumId="94">
    <w:nsid w:val="6AA78F7F"/>
    <w:multiLevelType w:val="hybridMultilevel"/>
    <w:lvl w:ilvl="0">
      <w:lvlJc w:val="left"/>
      <w:lvlText w:val="(%1)"/>
      <w:numFmt w:val="decimal"/>
      <w:start w:val="1"/>
    </w:lvl>
  </w:abstractNum>
  <w:abstractNum w:abstractNumId="95">
    <w:nsid w:val="7672BD23"/>
    <w:multiLevelType w:val="hybridMultilevel"/>
    <w:lvl w:ilvl="0">
      <w:lvlJc w:val="left"/>
      <w:lvlText w:val="(%1)"/>
      <w:numFmt w:val="decimal"/>
      <w:start w:val="1"/>
    </w:lvl>
  </w:abstractNum>
  <w:abstractNum w:abstractNumId="96">
    <w:nsid w:val="6FC75AF8"/>
    <w:multiLevelType w:val="hybridMultilevel"/>
    <w:lvl w:ilvl="0">
      <w:lvlJc w:val="left"/>
      <w:lvlText w:val="%1"/>
      <w:numFmt w:val="lowerLetter"/>
      <w:start w:val="1"/>
    </w:lvl>
    <w:lvl w:ilvl="1">
      <w:lvlJc w:val="left"/>
      <w:lvlText w:val="(%2)"/>
      <w:numFmt w:val="lowerRoman"/>
      <w:start w:val="1"/>
    </w:lvl>
  </w:abstractNum>
  <w:abstractNum w:abstractNumId="97">
    <w:nsid w:val="6A5F7029"/>
    <w:multiLevelType w:val="hybridMultilevel"/>
    <w:lvl w:ilvl="0">
      <w:lvlJc w:val="left"/>
      <w:lvlText w:val="(%1)"/>
      <w:numFmt w:val="lowerLetter"/>
      <w:start w:val="2"/>
    </w:lvl>
    <w:lvl w:ilvl="1">
      <w:lvlJc w:val="left"/>
      <w:lvlText w:val="%2"/>
      <w:numFmt w:val="lowerRoman"/>
      <w:start w:val="1"/>
    </w:lvl>
  </w:abstractNum>
  <w:abstractNum w:abstractNumId="98">
    <w:nsid w:val="7D5E18F8"/>
    <w:multiLevelType w:val="hybridMultilevel"/>
    <w:lvl w:ilvl="0">
      <w:lvlJc w:val="left"/>
      <w:lvlText w:val="(%1)"/>
      <w:numFmt w:val="lowerLetter"/>
      <w:start w:val="5"/>
    </w:lvl>
    <w:lvl w:ilvl="1">
      <w:lvlJc w:val="left"/>
      <w:lvlText w:val="(%2)"/>
      <w:numFmt w:val="lowerRoman"/>
      <w:start w:val="1"/>
    </w:lvl>
  </w:abstractNum>
  <w:abstractNum w:abstractNumId="99">
    <w:nsid w:val="5F3534A4"/>
    <w:multiLevelType w:val="hybridMultilevel"/>
    <w:lvl w:ilvl="0">
      <w:lvlJc w:val="left"/>
      <w:lvlText w:val="%1"/>
      <w:numFmt w:val="decimal"/>
      <w:start w:val="1"/>
    </w:lvl>
    <w:lvl w:ilvl="1">
      <w:lvlJc w:val="left"/>
      <w:lvlText w:val="(%2)"/>
      <w:numFmt w:val="lowerLetter"/>
      <w:start w:val="2"/>
    </w:lvl>
  </w:abstractNum>
  <w:abstractNum w:abstractNumId="100">
    <w:nsid w:val="73A1821B"/>
    <w:multiLevelType w:val="hybridMultilevel"/>
    <w:lvl w:ilvl="0">
      <w:lvlJc w:val="left"/>
      <w:lvlText w:val="(%1)"/>
      <w:numFmt w:val="decimal"/>
      <w:start w:val="6"/>
    </w:lvl>
    <w:lvl w:ilvl="1">
      <w:lvlJc w:val="left"/>
      <w:lvlText w:val="%2"/>
      <w:numFmt w:val="lowerLetter"/>
      <w:start w:val="1"/>
    </w:lvl>
  </w:abstractNum>
  <w:abstractNum w:abstractNumId="101">
    <w:nsid w:val="7DE6771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2019-12-07T23:14:59Z</dcterms:created>
  <dcterms:modified xsi:type="dcterms:W3CDTF">2019-12-07T23:14:59Z</dcterms:modified>
</cp:coreProperties>
</file>